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 Explore, Clarify, Emit —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 they must be spelled consistently across all rows for the same group. (If manually entering data, consistency in spelling can be achieved by `dragging’ an already-filled cell across unfilled cells, rather than retyping words.)</w:t>
      </w:r>
    </w:p>
    <w:bookmarkEnd w:id="18"/>
    <w:bookmarkStart w:id="19" w:name="obtaining-uncertainty-estimates"/>
    <w:p>
      <w:pPr>
        <w:pStyle w:val="Heading2"/>
      </w:pPr>
      <w:r>
        <w:t xml:space="preserve">Obtaining uncertainty estimates</w:t>
      </w:r>
    </w:p>
    <w:p>
      <w:pPr>
        <w:pStyle w:val="FirstParagraph"/>
      </w:pPr>
    </w:p>
    <w:p>
      <w:pPr>
        <w:pStyle w:val="BodyText"/>
      </w:pPr>
    </w:p>
    <w:p>
      <w:pPr>
        <w:pStyle w:val="Compact"/>
        <w:numPr>
          <w:ilvl w:val="0"/>
          <w:numId w:val="1007"/>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 12 parameters, dairy/cows, including a synthetic 5-year time series.</w:t>
      </w:r>
    </w:p>
    <w:p>
      <w:pPr>
        <w:pStyle w:val="Compact"/>
        <w:numPr>
          <w:ilvl w:val="0"/>
          <w:numId w:val="1009"/>
        </w:numPr>
      </w:pPr>
      <w:r>
        <w:t xml:space="preserve">: A fictional semi-arid pastoral beef system —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 Warn / Fail thresholds based on ±50% and ±200% from the IPCC default) is applied</w:t>
      </w:r>
      <w:r>
        <w:t xml:space="preserve"> </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50–200%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Either the</w:t>
      </w:r>
      <w:r>
        <w:t xml:space="preserve"> </w:t>
      </w:r>
      <w:r>
        <w:t xml:space="preserve"> </w:t>
      </w:r>
      <w:r>
        <w:t xml:space="preserve">mean deviates more than 200% from the continental IPCC default (likely a data-entry error such as a live weight of 50,000 kg), or another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w:t>
      </w:r>
      <w:r>
        <w:t xml:space="preserve"> </w:t>
      </w:r>
      <m:oMath>
        <m:r>
          <m:t>l</m:t>
        </m:r>
        <m:r>
          <m:t>o</m:t>
        </m:r>
        <m:r>
          <m:t>w</m:t>
        </m:r>
        <m:r>
          <m:t>e</m:t>
        </m:r>
        <m:r>
          <m:t>r</m:t>
        </m:r>
        <m:r>
          <m:rPr>
            <m:sty m:val="p"/>
          </m:rPr>
          <m:t>&gt;</m:t>
        </m:r>
        <m:r>
          <m:t>u</m:t>
        </m:r>
        <m:r>
          <m:t>p</m:t>
        </m:r>
        <m:r>
          <m:t>p</m:t>
        </m:r>
        <m:r>
          <m:t>e</m:t>
        </m:r>
        <m:r>
          <m:t>r</m:t>
        </m:r>
      </m:oMath>
      <w:r>
        <w:t xml:space="preserve">; an MMS fraction-sum more than 1% off 100%; or a Beta configured with mean outside</w:t>
      </w:r>
      <w:r>
        <w:t xml:space="preserve"> </w:t>
      </w:r>
      <m:oMath>
        <m:r>
          <m:rPr>
            <m:sty m:val="p"/>
          </m:rPr>
          <m:t>(</m:t>
        </m:r>
        <m:r>
          <m:t>0</m:t>
        </m:r>
        <m:r>
          <m:rPr>
            <m:sty m:val="p"/>
          </m:rPr>
          <m:t>,</m:t>
        </m:r>
        <m:r>
          <m:t>1</m:t>
        </m:r>
        <m:r>
          <m:rPr>
            <m:sty m:val="p"/>
          </m:rPr>
          <m:t>)</m:t>
        </m:r>
      </m:oMath>
      <w:r>
        <w:t xml:space="preserve">. Correct the value before proceeding.</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 Correlations)</w:t>
      </w:r>
    </w:p>
    <w:p>
      <w:pPr>
        <w:pStyle w:val="FirstParagraph"/>
      </w:pPr>
      <w:r>
        <w:t xml:space="preserve"> </w:t>
      </w:r>
      <w:r>
        <w:t xml:space="preserve">For a side-by-side worked comparison of all four correlation modes applied to the Country X / Country Y built-in examples — including how each mode changes the 95% confidence interval on total CO</w:t>
      </w:r>
      <m:oMath>
        <m:sSub>
          <m:e>
            <m:r>
              <m:t>​</m:t>
            </m:r>
          </m:e>
          <m:sub>
            <m:r>
              <m:t>2</m:t>
            </m:r>
          </m:sub>
        </m:sSub>
      </m:oMath>
      <w:r>
        <w:t xml:space="preserve">eq, the structural-defaults heatmap with per-pair sources, and the common mistakes to avoid —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 which option do I pick?</w:t>
      </w:r>
    </w:p>
    <w:p>
      <w:pPr>
        <w:pStyle w:val="FirstParagraph"/>
      </w:pPr>
      <w:r>
        <w:t xml:space="preserve"> </w:t>
      </w:r>
      <w:r>
        <w:t xml:space="preserve">If a mode would have nothing to work with — e.g. </w:t>
      </w:r>
      <w:r>
        <w:rPr>
          <w:rStyle w:val="VerbatimChar"/>
        </w:rPr>
        <w:t xml:space="preserve">From template'' when your \texttt{Parameter\_TimeSeries} sheet is empty, or</w:t>
      </w:r>
      <w:r>
        <w:t xml:space="preserve">Advanced — manual entry’’ before you’ve uploaded a CSV —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38"/>
    <w:bookmarkEnd w:id="39"/>
    <w:bookmarkStart w:id="44" w:name="running-the-simulation-tab-5-simulate"/>
    <w:p>
      <w:pPr>
        <w:pStyle w:val="Heading1"/>
      </w:pPr>
      <w:r>
        <w:t xml:space="preserve">Running the simulation (Tab 5 —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0"/>
    <w:bookmarkStart w:id="41" w:name="X18e631fcb5b21c13cd2a1ff2b22c533ae0ca5c3"/>
    <w:p>
      <w:pPr>
        <w:pStyle w:val="Heading2"/>
      </w:pPr>
      <w:r>
        <w:t xml:space="preserve">Trend mode —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 there are no chains, no warmup, and no burn-in.</w:t>
      </w:r>
    </w:p>
    <w:p>
      <w:r>
        <w:br w:type="page"/>
      </w:r>
    </w:p>
    <w:bookmarkEnd w:id="43"/>
    <w:bookmarkEnd w:id="44"/>
    <w:bookmarkStart w:id="48" w:name="understanding-results-tab-5-results"/>
    <w:p>
      <w:pPr>
        <w:pStyle w:val="Heading1"/>
      </w:pPr>
      <w:r>
        <w:t xml:space="preserve">Understanding results (Tab 5 —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 i.e. </w:t>
      </w:r>
      <w:r>
        <w:t xml:space="preserve">.</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 Country X (hypothetical dairy)</w:t>
      </w:r>
    </w:p>
    <w:p>
      <w:pPr>
        <w:pStyle w:val="FirstParagraph"/>
      </w:pPr>
      <w:r>
        <w:t xml:space="preserve">To illustrate the workflow, the following example uses the Country X built-in dataset.</w:t>
      </w:r>
    </w:p>
    <w:p>
      <w:pPr>
        <w:pStyle w:val="BodyText"/>
      </w:pPr>
      <w:r>
        <w:rPr>
          <w:b/>
          <w:bCs/>
        </w:rPr>
        <w:t xml:space="preserve">Step 1 —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 a deliberate country-specific value can be documented in the inventory report rather than corrected.</w:t>
      </w:r>
    </w:p>
    <w:p>
      <w:pPr>
        <w:pStyle w:val="BodyText"/>
      </w:pPr>
      <w:r>
        <w:rPr>
          <w:b/>
          <w:bCs/>
        </w:rPr>
        <w:t xml:space="preserve">Step 3 — Uncertainty</w:t>
      </w:r>
      <w:r>
        <w:t xml:space="preserve">: Go to Tab 3. Note that activity data (N, BW, Milk, WG, Fat) use Normal distributions and coefficients (Ym, DE, Bo, etc.) use PERT or lognormal distributions.</w:t>
      </w:r>
    </w:p>
    <w:p>
      <w:pPr>
        <w:pStyle w:val="BodyText"/>
      </w:pPr>
      <w:r>
        <w:rPr>
          <w:b/>
          <w:bCs/>
        </w:rPr>
        <w:t xml:space="preserve">Step 4 — Correlations</w:t>
      </w:r>
      <w:r>
        <w:t xml:space="preserve">: Go to Tab 4. Select</w:t>
      </w:r>
      <w:r>
        <w:t xml:space="preserve"> </w:t>
      </w:r>
      <w:r>
        <w:t xml:space="preserve">“From template (auto, time-series)”</w:t>
      </w:r>
      <w:r>
        <w:t xml:space="preserve"> </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C035C401-7197-4C08-B253-85BEF793A19D}"/>
</file>

<file path=customXml/itemProps2.xml><?xml version="1.0" encoding="utf-8"?>
<ds:datastoreItem xmlns:ds="http://schemas.openxmlformats.org/officeDocument/2006/customXml" ds:itemID="{C7CB049F-CED1-4812-B776-C32928F01FA2}"/>
</file>

<file path=customXml/itemProps3.xml><?xml version="1.0" encoding="utf-8"?>
<ds:datastoreItem xmlns:ds="http://schemas.openxmlformats.org/officeDocument/2006/customXml" ds:itemID="{D346BFBD-9BAC-41FC-AF96-B27BE87D1F66}"/>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2026-07-10T08:53:22Z</dcterms:created>
  <dcterms:modified xsi:type="dcterms:W3CDTF">2026-07-10T08:53:22Z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