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dairy),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N</w:t>
      </w:r>
      <w:r>
        <w:t xml:space="preserve">O): The percentage of manure allocated to each management system (pasture, solid storage, liquid, etc.). If you are uncertain about the allocation itself, the Manure_Management tab also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(enteric, manure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that do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 Explore, Clarify, Emit —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non-standard shape,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w:t>
      </w: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r>
        <w:t xml:space="preserve"> </w:t>
      </w:r>
      <w:r>
        <w:t xml:space="preserve">: this is the canonical name (matches IPCC Vol.4 Ch.10 Eq. 10.13’s</w:t>
      </w:r>
      <w:r>
        <w:t xml:space="preserve"> </w:t>
      </w:r>
      <w:r>
        <w:t xml:space="preserve">“% females pregnant”</w:t>
      </w:r>
      <w:r>
        <w:t xml:space="preserve"> </w:t>
      </w:r>
      <w:r>
        <w:t xml:space="preserve">— includes pregnant heifers that have not yet calved). Legacy column names</w:t>
      </w:r>
      <w:r>
        <w:t xml:space="preserve"> </w:t>
      </w:r>
      <w:r>
        <w:t xml:space="preserve"> </w:t>
      </w:r>
      <w:r>
        <w:t xml:space="preserve">and</w:t>
      </w:r>
      <w:r>
        <w:t xml:space="preserve"> </w:t>
      </w:r>
      <w:r>
        <w:t xml:space="preserve"> </w:t>
      </w:r>
      <w:r>
        <w:t xml:space="preserve">are automatically renamed to</w:t>
      </w:r>
      <w:r>
        <w:t xml:space="preserve"> </w:t>
      </w:r>
      <w:r>
        <w:t xml:space="preserve"> </w:t>
      </w:r>
      <w:r>
        <w:t xml:space="preserve">on upload, so existing templates continue to work without edits.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Download the template from the</w:t>
      </w:r>
      <w:r>
        <w:t xml:space="preserve"> </w:t>
      </w:r>
      <w:r>
        <w:rPr>
          <w:b/>
          <w:bCs/>
        </w:rPr>
        <w:t xml:space="preserve">Data Input</w:t>
      </w:r>
      <w:r>
        <w:t xml:space="preserve"> </w:t>
      </w:r>
      <w:r>
        <w:t xml:space="preserve">tab (Tab 1) by clicking</w:t>
      </w:r>
      <w:r>
        <w:t xml:space="preserve"> </w:t>
      </w:r>
      <w:r>
        <w:t xml:space="preserve">“Download Excel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who and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 if you uploaded a template downloaded before this region field was split out (i.e. only the old single</w:t>
      </w:r>
      <w:r>
        <w:t xml:space="preserve"> </w:t>
      </w:r>
      <w:r>
        <w:rPr>
          <w:rStyle w:val="VerbatimChar"/>
        </w:rPr>
        <w:t xml:space="preserve">Country / region'' cell), the parser maps common country names (Zimbabwe, India, Brazil, …) to the right continent automatically. Anything unrecognised falls back to \texttt{global} (no false BW warnings; the QA message will just say</w:t>
      </w:r>
      <w:r>
        <w:t xml:space="preserve">global’’). Re-downloading the current template is recommended but not required.</w:t>
      </w:r>
    </w:p>
    <w:p>
      <w:pPr>
        <w:pStyle w:val="BodyText"/>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w:t>
      </w:r>
    </w:p>
    <w:bookmarkEnd w:id="17"/>
    <w:bookmarkStart w:id="18" w:name="defining-sub-categories"/>
    <w:p>
      <w:pPr>
        <w:pStyle w:val="Heading2"/>
      </w:pPr>
      <w:r>
        <w:t xml:space="preserve">Defining sub-categories</w:t>
      </w:r>
    </w:p>
    <w:p>
      <w:pPr>
        <w:pStyle w:val="FirstParagraph"/>
      </w:pPr>
      <w:r>
        <w:t xml:space="preserve">Sub-categories should match your national inventory.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all relevant parameters.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w:t>
      </w:r>
    </w:p>
    <w:bookmarkEnd w:id="18"/>
    <w:bookmarkStart w:id="19" w:name="obtaining-uncertainty-estimates"/>
    <w:p>
      <w:pPr>
        <w:pStyle w:val="Heading2"/>
      </w:pPr>
      <w:r>
        <w:t xml:space="preserve">Obtaining uncertainty estimates</w:t>
      </w:r>
    </w:p>
    <w:p>
      <w:pPr>
        <w:pStyle w:val="FirstParagraph"/>
      </w:pPr>
    </w:p>
    <w:p>
      <w:pPr>
        <w:pStyle w:val="Compact"/>
        <w:numPr>
          <w:ilvl w:val="0"/>
          <w:numId w:val="1007"/>
        </w:numPr>
      </w:pPr>
      <w:r>
        <w:t xml:space="preserve">: If populations are estimated from livestock surveys, the survey sampling error provides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lower / upper bounds for several emission factors (e.g. EF</w:t>
      </w:r>
      <w:r>
        <w:t xml:space="preserve">, Ym, MCF). The template pre-fills these where IPCC publishes them; where IPCC does not publish a CI,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possible, supply country-specific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 Warn / Fail thresholds based on ±50% and ±200% from the IPCC default) is applied</w:t>
      </w:r>
      <w:r>
        <w:t xml:space="preserve"> </w:t>
      </w:r>
      <w:r>
        <w:t xml:space="preserve"> </w:t>
      </w:r>
      <w:r>
        <w:t xml:space="preserve">— the one parameter for which the tool keeps a defensible continental IPCC table lookup: Annex Tables 10A.1 (dairy cows), 10A.2 (non-dairy cattle), and 10A.3 (buffalo). Earlier versions of the tool also flagged deviations on Milk, MW, DE, Ym, and Bo, but those benchmarks were heuristic mid-points derived from the same Annex 10A tables rather than direct IPCC defaults — a reviewer auditing the QA tab could not locate the cited values in the guidelines, so they were removed (Andreas Wilkes review, May 2026). The remaining parameters are still auto-filled with the catalogue IPCC default when missing (flagged</w:t>
      </w:r>
      <w:r>
        <w:t xml:space="preserve"> </w:t>
      </w:r>
      <w:r>
        <w:t xml:space="preserve">); they just no longer raise a</w:t>
      </w:r>
      <w:r>
        <w:t xml:space="preserve"> </w:t>
      </w:r>
      <w:r>
        <w:t xml:space="preserve"> </w:t>
      </w:r>
      <w:r>
        <w:t xml:space="preserve">purely for differing from a mid-point that was not citable to a published IPCC table. Reinstating per-parameter benchmarks properly would require a multi-dimensional lookup (parameter × continent × IPCC version × production system × animal sub-category) and is deferred to a future release.</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50–200%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Either the</w:t>
      </w:r>
      <w:r>
        <w:t xml:space="preserve"> </w:t>
      </w:r>
      <w:r>
        <w:t xml:space="preserve"> </w:t>
      </w:r>
      <w:r>
        <w:t xml:space="preserve">mean deviates more than 200% from the continental IPCC default (likely a data-entry error such as a live weight of 50,000 kg), or another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w:t>
      </w:r>
      <w:r>
        <w:t xml:space="preserve"> </w:t>
      </w:r>
      <m:oMath>
        <m:r>
          <m:t>l</m:t>
        </m:r>
        <m:r>
          <m:t>o</m:t>
        </m:r>
        <m:r>
          <m:t>w</m:t>
        </m:r>
        <m:r>
          <m:t>e</m:t>
        </m:r>
        <m:r>
          <m:t>r</m:t>
        </m:r>
        <m:r>
          <m:rPr>
            <m:sty m:val="p"/>
          </m:rPr>
          <m:t>&gt;</m:t>
        </m:r>
        <m:r>
          <m:t>u</m:t>
        </m:r>
        <m:r>
          <m:t>p</m:t>
        </m:r>
        <m:r>
          <m:t>p</m:t>
        </m:r>
        <m:r>
          <m:t>e</m:t>
        </m:r>
        <m:r>
          <m:t>r</m:t>
        </m:r>
      </m:oMath>
      <w:r>
        <w:t xml:space="preserve">; an MMS fraction-sum more than 1% off 100%; or a Beta configured with mean outside</w:t>
      </w:r>
      <w:r>
        <w:t xml:space="preserve"> </w:t>
      </w:r>
      <m:oMath>
        <m:r>
          <m:rPr>
            <m:sty m:val="p"/>
          </m:rPr>
          <m:t>(</m:t>
        </m:r>
        <m:r>
          <m:t>0</m:t>
        </m:r>
        <m:r>
          <m:rPr>
            <m:sty m:val="p"/>
          </m:rPr>
          <m:t>,</m:t>
        </m:r>
        <m:r>
          <m:t>1</m:t>
        </m:r>
        <m:r>
          <m:rPr>
            <m:sty m:val="p"/>
          </m:rPr>
          <m:t>)</m:t>
        </m:r>
      </m:oMath>
      <w:r>
        <w:t xml:space="preserve">. Correct the value before proceeding.</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 Legacy aliases such as</w:t>
      </w:r>
      <w:r>
        <w:t xml:space="preserve"> </w:t>
      </w:r>
      <w:r>
        <w:t xml:space="preserve"> </w:t>
      </w:r>
      <w:r>
        <w:t xml:space="preserve">are resolved on the</w:t>
      </w:r>
      <w:r>
        <w:t xml:space="preserve"> </w:t>
      </w:r>
      <w:r>
        <w:t xml:space="preserve"> </w:t>
      </w:r>
      <w:r>
        <w:t xml:space="preserve">upload only; on the correlation matrix they need to be the canonical names listed above.</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p>
      <w:pPr>
        <w:pStyle w:val="BodyText"/>
      </w:pPr>
      <w:r>
        <w:t xml:space="preserve"> </w:t>
      </w:r>
      <w:r>
        <w:t xml:space="preserve">A previously included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was removed (no defensible cross-country source); DE</w:t>
      </w:r>
      <w:r>
        <w:t xml:space="preserve"> </w:t>
      </w:r>
      <m:oMath>
        <m:r>
          <m:rPr>
            <m:sty m:val="p"/>
          </m:rPr>
          <m:t>↔</m:t>
        </m:r>
      </m:oMath>
      <w:r>
        <w:t xml:space="preserve"> </w:t>
      </w:r>
      <w:r>
        <w:t xml:space="preserve">Ym is set to</w:t>
      </w:r>
      <w:r>
        <w:t xml:space="preserve"> </w:t>
      </w:r>
      <m:oMath>
        <m:r>
          <m:rPr>
            <m:sty m:val="p"/>
          </m:rPr>
          <m:t>−</m:t>
        </m:r>
        <m:r>
          <m:t>0.50</m:t>
        </m:r>
      </m:oMath>
      <w:r>
        <w:t xml:space="preserve"> </w:t>
      </w:r>
      <w:r>
        <w:t xml:space="preserve">rather than</w:t>
      </w:r>
      <w:r>
        <w:t xml:space="preserve"> </w:t>
      </w:r>
      <m:oMath>
        <m:r>
          <m:rPr>
            <m:sty m:val="p"/>
          </m:rPr>
          <m:t>−</m:t>
        </m:r>
        <m:r>
          <m:t>0.40</m:t>
        </m:r>
      </m:oMath>
      <w:r>
        <w:t xml:space="preserve"> </w:t>
      </w:r>
      <w:r>
        <w:t xml:space="preserve">(cross-diet meta-analyses); Cfi</w:t>
      </w:r>
      <w:r>
        <w:t xml:space="preserve"> </w:t>
      </w:r>
      <m:oMath>
        <m:r>
          <m:rPr>
            <m:sty m:val="p"/>
          </m:rPr>
          <m:t>↔</m:t>
        </m:r>
      </m:oMath>
      <w:r>
        <w:t xml:space="preserve"> </w:t>
      </w:r>
      <w:r>
        <w:t xml:space="preserve">Ca is set to</w:t>
      </w:r>
      <w:r>
        <w:t xml:space="preserve"> </w:t>
      </w:r>
      <m:oMath>
        <m:r>
          <m:t>0.30</m:t>
        </m:r>
      </m:oMath>
      <w:r>
        <w:t xml:space="preserve"> </w:t>
      </w:r>
      <w:r>
        <w:t xml:space="preserve">rather than</w:t>
      </w:r>
      <w:r>
        <w:t xml:space="preserve"> </w:t>
      </w:r>
      <m:oMath>
        <m:r>
          <m:t>0.60</m:t>
        </m:r>
      </m:oMath>
      <w:r>
        <w:t xml:space="preserve"> </w:t>
      </w:r>
      <w:r>
        <w:t xml:space="preserve">(Cfi and Ca are independent inputs in IPCC Eq 10.3 / 10.4); BW</w:t>
      </w:r>
      <w:r>
        <w:t xml:space="preserve"> </w:t>
      </w:r>
      <m:oMath>
        <m:r>
          <m:rPr>
            <m:sty m:val="p"/>
          </m:rPr>
          <m:t>↔</m:t>
        </m:r>
      </m:oMath>
      <w:r>
        <w:t xml:space="preserve"> </w:t>
      </w:r>
      <w:r>
        <w:t xml:space="preserve">MW is set to</w:t>
      </w:r>
      <w:r>
        <w:t xml:space="preserve"> </w:t>
      </w:r>
      <m:oMath>
        <m:r>
          <m:t>0.50</m:t>
        </m:r>
      </m:oMath>
      <w:r>
        <w:t xml:space="preserve"> </w:t>
      </w:r>
      <w:r>
        <w:t xml:space="preserve">rather than</w:t>
      </w:r>
      <w:r>
        <w:t xml:space="preserve"> </w:t>
      </w:r>
      <m:oMath>
        <m:r>
          <m:t>0.85</m:t>
        </m:r>
      </m:oMath>
      <w:r>
        <w:t xml:space="preserve"> </w:t>
      </w:r>
      <w:r>
        <w:t xml:space="preserve">(typical mixed-source data provenance);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were added; Milk</w:t>
      </w:r>
      <w:r>
        <w:t xml:space="preserve"> </w:t>
      </w:r>
      <m:oMath>
        <m:r>
          <m:rPr>
            <m:sty m:val="p"/>
          </m:rPr>
          <m:t>↔</m:t>
        </m:r>
      </m:oMath>
      <w:r>
        <w:t xml:space="preserve"> </w:t>
      </w:r>
      <w:r>
        <w:t xml:space="preserve">pct_pregnant is not included (sign ambiguous).</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pPr>
        <w:pStyle w:val="BodyText"/>
      </w:pP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AR5 (CH</w:t>
      </w:r>
      <w:r>
        <w:t xml:space="preserve"> </w:t>
      </w:r>
      <w:r>
        <w:t xml:space="preserve">GWP = 28, N</w:t>
      </w:r>
      <w:r>
        <w:t xml:space="preserve">O = 265) and AR6 (CH</w:t>
      </w:r>
      <w:r>
        <w:t xml:space="preserve"> </w:t>
      </w:r>
      <w:r>
        <w:t xml:space="preserve">GWP = 27.9, N</w:t>
      </w:r>
      <w:r>
        <w:t xml:space="preserve">O = 273).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(most common) or Trend (multi-year time series).</w:t>
      </w:r>
    </w:p>
    <w:p>
      <w:pPr>
        <w:pStyle w:val="BodyText"/>
      </w:pPr>
      <w:r>
        <w:t xml:space="preserve">: Tick all sources applicable to your inventory. Unticked sources contribute zero emissions to the total.</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series (the typical case — either IPCC defaults or one national estimation), then a high-Ym draw in your base year should also be a high-Ym draw in the current year. The coefficient uncertainty then cancels when you compare the two years, so the trend uncertainty reflects only the activity-data changes. This is what IPCC V1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 now labelled explicitly so there is no ambiguity:</w:t>
      </w:r>
    </w:p>
    <w:p>
      <w:pPr>
        <w:pStyle w:val="BodyText"/>
      </w:pPr>
      <w:r>
        <w:t xml:space="preserve">: Following IPCC Table 3.3 conventions, all values are expressed as the half-width of the 95% confidence interval divided by the mean, multiplied by 100 — i.e. </w:t>
      </w:r>
      <w:r>
        <w:t xml:space="preserve">. CV (</w:t>
      </w:r>
      <w:r>
        <w:t xml:space="preserve">) is a different metric and is</w:t>
      </w:r>
      <w:r>
        <w:t xml:space="preserve"> </w:t>
      </w:r>
      <w:r>
        <w:t xml:space="preserve"> </w:t>
      </w:r>
      <w:r>
        <w:t xml:space="preserve">what IPCC Annex 7 expects in this column.</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14B8DB9A-4155-4193-B670-8FAEC0E3CCB3}"/>
</file>

<file path=customXml/itemProps2.xml><?xml version="1.0" encoding="utf-8"?>
<ds:datastoreItem xmlns:ds="http://schemas.openxmlformats.org/officeDocument/2006/customXml" ds:itemID="{D3D66437-E8F2-4DD1-8308-3AEBA651F379}"/>
</file>

<file path=customXml/itemProps3.xml><?xml version="1.0" encoding="utf-8"?>
<ds:datastoreItem xmlns:ds="http://schemas.openxmlformats.org/officeDocument/2006/customXml" ds:itemID="{D14A302A-0FFA-4E9D-9E09-7358C7ED157B}"/>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2026-06-09T13:12:43Z</dcterms:created>
  <dcterms:modified xsi:type="dcterms:W3CDTF">2026-06-09T13:12:43Z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