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 Earlier versions of the tool also flagged deviations on Milk, MW, DE, Ym, and Bo, but those benchmarks were heuristic mid-points derived from the same Annex 10A tables rather than direct IPCC defaults — a reviewer auditing the QA tab could not locate the cited values in the guidelines, so they were removed (Andreas Wilkes review, May 2026). The remaining parameters are still auto-filled with the catalogue IPCC default when missing (flagged</w:t>
      </w:r>
      <w:r>
        <w:t xml:space="preserve"> </w:t>
      </w:r>
      <w:r>
        <w:t xml:space="preserve">); they just no longer raise a</w:t>
      </w:r>
      <w:r>
        <w:t xml:space="preserve"> </w:t>
      </w:r>
      <w:r>
        <w:t xml:space="preserve"> </w:t>
      </w:r>
      <w:r>
        <w:t xml:space="preserve">purely for differing from a mid-point that was not citable to a published IPCC table. Reinstating per-parameter benchmarks properly would require a multi-dimensional lookup (parameter × continent × IPCC version × production system × animal sub-category) and is deferred to a future release.</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A20E8BDB-B139-4839-9E07-1C80289F8F26}"/>
</file>

<file path=customXml/itemProps2.xml><?xml version="1.0" encoding="utf-8"?>
<ds:datastoreItem xmlns:ds="http://schemas.openxmlformats.org/officeDocument/2006/customXml" ds:itemID="{DE1005C8-043D-4489-87AC-3DBEB99AB822}"/>
</file>

<file path=customXml/itemProps3.xml><?xml version="1.0" encoding="utf-8"?>
<ds:datastoreItem xmlns:ds="http://schemas.openxmlformats.org/officeDocument/2006/customXml" ds:itemID="{650E13CD-95B6-45D1-9989-99BE9ACF02CC}"/>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2026-06-09T11:57:04Z</dcterms:created>
  <dcterms:modified xsi:type="dcterms:W3CDTF">2026-06-09T11:57:04Z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