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1.0.1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centres’ nominations provide a strong starting point.</w:t>
      </w:r>
      <w:r>
        <w:t xml:space="preserve"> </w:t>
      </w:r>
      <w:r>
        <w:t xml:space="preserve">The 28 top-three nominations come with written justifications and are the primary starting set for immediate Hub consideration, but not the only assets that may enter Phase 1 review (</w:t>
      </w:r>
      <w:hyperlink w:anchor="sec-6-2">
        <w:r>
          <w:rPr>
            <w:rStyle w:val="Hyperlink"/>
          </w:rPr>
          <w:t xml:space="preserve">Section 6.2</w:t>
        </w:r>
      </w:hyperlink>
      <w:r>
        <w:t xml:space="preserve">;</w:t>
      </w:r>
      <w:r>
        <w:t xml:space="preserve"> </w:t>
      </w:r>
      <w:hyperlink w:anchor="sec-8">
        <w:r>
          <w:rPr>
            <w:rStyle w:val="Hyperlink"/>
          </w:rPr>
          <w:t xml:space="preserve">Section 8</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pPr>
        <w:pStyle w:val="BlockText"/>
      </w:pPr>
      <w:r>
        <w:rPr>
          <w:b/>
          <w:bCs/>
        </w:rPr>
        <w:t xml:space="preserve">Work-in-progress caveat.</w:t>
      </w:r>
      <w:r>
        <w:t xml:space="preserve"> </w:t>
      </w:r>
      <w:r>
        <w:t xml:space="preserve">This report is one piece of evidence to guide the Climate Data Hub, alongside other technical, strategic, and governance inputs; it does</w:t>
      </w:r>
      <w:r>
        <w:t xml:space="preserve"> </w:t>
      </w:r>
      <w:r>
        <w:rPr>
          <w:b/>
          <w:bCs/>
        </w:rPr>
        <w:t xml:space="preserve">not</w:t>
      </w:r>
      <w:r>
        <w:t xml:space="preserve"> </w:t>
      </w:r>
      <w:r>
        <w:t xml:space="preserve">by itself dictate exactly what the Hub will do. The mapping is iterative and will be updated as centres review their entries, flag corrections, and suggest additions. Centres and partners will have multiple opportunities across the annual CDH cycle to engage, refine priorities, and shape what comes next.</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and IFPRI came through a single nominator). Segment colour is arbitrary and carries no meaning (hence no legend); the number is the centre total. Centres marked with an asterisk indicate cases where a single listed nominator may understate broader internal consultation or contribution.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p>
      <w:pPr>
        <w:pStyle w:val="BodyText"/>
      </w:pPr>
      <w:r>
        <w:t xml:space="preserve">A further interpretation caveat is that current centre profiles may reflect how assets were surfaced, not only the full thematic breadth held within each centre. In particular, IFPRI’s current submission sits entirely in Exposure and ILRI’s entirely in Hazard, so targeted next-round outreach would help test whether those centre-level profiles are complete or mainly reflect the first-round submission pathway.</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p>
      <w:pPr>
        <w:sectPr>
          <w:pgSz w:w="15840" w:h="12240" w:orient="landscape"/>
          <w:pgMar w:top="720" w:bottom="720" w:left="720" w:right="720"/>
        </w:sectPr>
      </w:pPr>
    </w:p>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p>
      <w:pPr>
        <w:sectPr>
          <w:pgSz w:w="15840" w:h="12240" w:orient="landscape"/>
          <w:pgMar w:top="720" w:bottom="720" w:left="720" w:right="720"/>
        </w:sectPr>
      </w:pPr>
    </w:p>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now; use the centres’ 28 strategic nominations as the primary starting set rather than the only filter; open access conversations for the high-value-but-restricted assets in parallel; preprocess shared climate inputs once; and run a targeted next-round outreach to close visible gaps, especially where current submissions likely under-represent important domains such as adaptive capacity.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Run targeted gap-filling outreach</w:t>
      </w:r>
      <w:r>
        <w:t xml:space="preserve"> </w:t>
      </w:r>
      <w:r>
        <w:t xml:space="preserve">— use the Q2 workshop and other CGIAR channels to identify strong but currently under-represented assets in missing domains or geographies, especially adaptive-capacity assets and gaps in Latin America and Asia. A next round of outreach with ILRI and IFPRI could also usefully broaden thematic coverage, helping ensure that the current submissions are complemented by a wider range of climate-relevant assets from across each centre.</w:t>
      </w:r>
    </w:p>
    <w:p>
      <w:pPr>
        <w:pStyle w:val="Compact"/>
        <w:numPr>
          <w:ilvl w:val="0"/>
          <w:numId w:val="1008"/>
        </w:numPr>
      </w:pPr>
      <w:r>
        <w:rPr>
          <w:b/>
          <w:bCs/>
        </w:rPr>
        <w:t xml:space="preserve">Prioritise assets for Hub integration</w:t>
      </w:r>
      <w:r>
        <w:t xml:space="preserve"> </w:t>
      </w:r>
      <w:r>
        <w:t xml:space="preserve">— use centre rank and Hub role to sequence technical work, but do not limit Phase 1 consideration strictly to the current top-three nominations where wider strategic value or obvious submission gaps suggest additional assets should be reviewed.</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p>
      <w:pPr>
        <w:pStyle w:val="BodyText"/>
      </w:pPr>
      <w:r>
        <w:rPr>
          <w:i/>
          <w:iCs/>
        </w:rPr>
        <w:t xml:space="preserve">Coordinator names are shown in bold in the table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w:t>
            </w:r>
            <w:r>
              <w:t xml:space="preserve"> </w:t>
            </w:r>
            <w:r>
              <w:rPr>
                <w:b/>
                <w:bCs/>
              </w:rPr>
              <w:t xml:space="preserve">Elliott Dossou-Yovo</w:t>
            </w:r>
            <w:r>
              <w:t xml:space="preserve">;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w:t>
            </w:r>
            <w:r>
              <w:t xml:space="preserve"> </w:t>
            </w:r>
            <w:r>
              <w:rPr>
                <w:b/>
                <w:bCs/>
              </w:rPr>
              <w:t xml:space="preserve">Xiaojing Wei</w:t>
            </w:r>
          </w:p>
        </w:tc>
      </w:tr>
      <w:tr>
        <w:tc>
          <w:tcPr/>
          <w:p>
            <w:pPr>
              <w:pStyle w:val="Compact"/>
            </w:pPr>
            <w:r>
              <w:t xml:space="preserve">CIFOR-ICRAF</w:t>
            </w:r>
          </w:p>
        </w:tc>
        <w:tc>
          <w:tcPr/>
          <w:p>
            <w:pPr>
              <w:pStyle w:val="Compact"/>
            </w:pPr>
            <w:r>
              <w:t xml:space="preserve">Ardhani, Trialaksita; Brockhaus, M.; Ickowitz, A.;</w:t>
            </w:r>
            <w:r>
              <w:t xml:space="preserve"> </w:t>
            </w:r>
            <w:r>
              <w:rPr>
                <w:b/>
                <w:bCs/>
              </w:rPr>
              <w:t xml:space="preserve">Sufiet Erlita</w:t>
            </w:r>
            <w:r>
              <w:t xml:space="preserve">; Tamba, Yvonne; Winowiecki, Leigh Ann; Winowiecki, Leigh Ann (ICRAF)</w:t>
            </w:r>
          </w:p>
        </w:tc>
      </w:tr>
      <w:tr>
        <w:tc>
          <w:tcPr/>
          <w:p>
            <w:pPr>
              <w:pStyle w:val="Compact"/>
            </w:pPr>
            <w:r>
              <w:t xml:space="preserve">CIP</w:t>
            </w:r>
          </w:p>
        </w:tc>
        <w:tc>
          <w:tcPr/>
          <w:p>
            <w:pPr>
              <w:pStyle w:val="Compact"/>
            </w:pPr>
            <w:r>
              <w:t xml:space="preserve">David Ramirez; Heidy Gamarra;</w:t>
            </w:r>
            <w:r>
              <w:t xml:space="preserve"> </w:t>
            </w:r>
            <w:r>
              <w:rPr>
                <w:b/>
                <w:bCs/>
              </w:rPr>
              <w:t xml:space="preserve">Henry Juarez</w:t>
            </w:r>
            <w:r>
              <w:t xml:space="preserve">; Robert Hijmans</w:t>
            </w:r>
          </w:p>
        </w:tc>
      </w:tr>
      <w:tr>
        <w:tc>
          <w:tcPr/>
          <w:p>
            <w:pPr>
              <w:pStyle w:val="Compact"/>
            </w:pPr>
            <w:r>
              <w:t xml:space="preserve">ICRISAT</w:t>
            </w:r>
          </w:p>
        </w:tc>
        <w:tc>
          <w:tcPr/>
          <w:p>
            <w:pPr>
              <w:pStyle w:val="Compact"/>
            </w:pPr>
            <w:r>
              <w:rPr>
                <w:b/>
                <w:bCs/>
              </w:rPr>
              <w:t xml:space="preserve">Mamta Sharma</w:t>
            </w:r>
            <w:r>
              <w:t xml:space="preserve">;</w:t>
            </w:r>
            <w:r>
              <w:t xml:space="preserve"> </w:t>
            </w:r>
            <w:r>
              <w:rPr>
                <w:b/>
                <w:bCs/>
              </w:rPr>
              <w:t xml:space="preserve">Raman Babu</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w:t>
            </w:r>
            <w:r>
              <w:t xml:space="preserve"> </w:t>
            </w:r>
            <w:r>
              <w:rPr>
                <w:b/>
                <w:bCs/>
              </w:rPr>
              <w:t xml:space="preserve">Francis Muthoni</w:t>
            </w:r>
            <w:r>
              <w:t xml:space="preserve">;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Anton Urfels;</w:t>
            </w:r>
            <w:r>
              <w:t xml:space="preserve"> </w:t>
            </w:r>
            <w:r>
              <w:rPr>
                <w:b/>
                <w:bCs/>
              </w:rPr>
              <w:t xml:space="preserve">Emma Quicho-Diangkinay</w:t>
            </w:r>
          </w:p>
        </w:tc>
      </w:tr>
      <w:tr>
        <w:tc>
          <w:tcPr/>
          <w:p>
            <w:pPr>
              <w:pStyle w:val="Compact"/>
            </w:pPr>
            <w:r>
              <w:t xml:space="preserve">IWMI</w:t>
            </w:r>
          </w:p>
        </w:tc>
        <w:tc>
          <w:tcPr/>
          <w:p>
            <w:pPr>
              <w:pStyle w:val="Compact"/>
            </w:pPr>
            <w:r>
              <w:rPr>
                <w:b/>
                <w:bCs/>
              </w:rPr>
              <w:t xml:space="preserve">Giriraj Amarnath</w:t>
            </w:r>
            <w:r>
              <w:t xml:space="preserve">; Niranga Alahacoon</w:t>
            </w:r>
          </w:p>
        </w:tc>
      </w:tr>
      <w:tr>
        <w:tc>
          <w:tcPr/>
          <w:p>
            <w:pPr>
              <w:pStyle w:val="Compact"/>
            </w:pPr>
            <w:r>
              <w:t xml:space="preserve">WorldFish</w:t>
            </w:r>
          </w:p>
        </w:tc>
        <w:tc>
          <w:tcPr/>
          <w:p>
            <w:pPr>
              <w:pStyle w:val="Compact"/>
            </w:pPr>
            <w:r>
              <w:t xml:space="preserve">Michelle Tigchelaar; Thomas Kirina</w:t>
            </w:r>
          </w:p>
        </w:tc>
      </w:tr>
    </w:tbl>
    <w:p>
      <w:pPr>
        <w:pStyle w:val="BodyText"/>
      </w:pPr>
      <w:r>
        <w:rPr>
          <w:i/>
          <w:iCs/>
        </w:rPr>
        <w:t xml:space="preserve">IRRI note:</w:t>
      </w:r>
      <w:r>
        <w:t xml:space="preserve"> </w:t>
      </w:r>
      <w:r>
        <w:t xml:space="preserve">Emma Quicho-Diangkinay coordinated the IRRI submission. The current submission records list Anton Urfels as nominator on the catalogued items, but broader IRRI contributor attribution is being checked and may be updated after review.</w:t>
      </w:r>
    </w:p>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4" w:name="data-access-and-reproducibility"/>
    <w:p>
      <w:pPr>
        <w:pStyle w:val="Heading2"/>
      </w:pPr>
      <w:r>
        <w:t xml:space="preserve">Data Access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p>
      <w:r>
        <w:pict>
          <v:rect style="width:0;height:1.5pt" o:hralign="center" o:hrstd="t" o:hr="t"/>
        </w:pict>
      </w:r>
    </w:p>
    <w:bookmarkEnd w:id="94"/>
    <w:bookmarkStart w:id="109" w:name="feedback-and-review"/>
    <w:p>
      <w:pPr>
        <w:pStyle w:val="Heading2"/>
      </w:pPr>
      <w:r>
        <w:t xml:space="preserve">Feedback and Review</w:t>
      </w:r>
    </w:p>
    <w:bookmarkStart w:id="108"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We want to hear it.</w:t>
      </w:r>
      <w:r>
        <w:t xml:space="preserve"> </w:t>
      </w:r>
      <w:r>
        <w:rPr>
          <w:b/>
          <w:bCs/>
        </w:rPr>
        <w:t xml:space="preserve">No GitHub account is needed</w:t>
      </w:r>
      <w:r>
        <w:t xml:space="preserve"> </w:t>
      </w:r>
      <w:r>
        <w:t xml:space="preserve">— use the feedback form; responses are routed automatically into the project’s GitHub issue tracker so every item is triaged and resolved (pipeline documented in</w:t>
      </w:r>
      <w:r>
        <w:t xml:space="preserve"> </w:t>
      </w:r>
      <w:hyperlink r:id="rId95">
        <w:r>
          <w:rPr>
            <w:rStyle w:val="VerbatimChar"/>
          </w:rPr>
          <w:t xml:space="preserve">FEEDBACK.md</w:t>
        </w:r>
      </w:hyperlink>
      <w:r>
        <w:t xml:space="preserve">).</w:t>
      </w:r>
    </w:p>
    <w:p>
      <w:pPr>
        <w:pStyle w:val="BlockText"/>
      </w:pPr>
      <w:r>
        <w:t xml:space="preserve">📝</w:t>
      </w:r>
      <w:r>
        <w:t xml:space="preserve"> </w:t>
      </w:r>
      <w:hyperlink r:id="rId96">
        <w:r>
          <w:rPr>
            <w:rStyle w:val="Hyperlink"/>
            <w:b/>
            <w:bCs/>
          </w:rPr>
          <w:t xml:space="preserve">Give feedback / suggest a correction or asset</w:t>
        </w:r>
      </w:hyperlink>
      <w:r>
        <w:t xml:space="preserve"> </w:t>
      </w:r>
      <w:r>
        <w:t xml:space="preserve">— 2-minute form, no login.</w:t>
      </w:r>
    </w:p>
    <w:p>
      <w:pPr>
        <w:pStyle w:val="FirstParagraph"/>
      </w:pPr>
      <w:r>
        <w:t xml:space="preserve">If you do use GitHub, you can instead open a pre-filled issue directly:</w:t>
      </w:r>
      <w:r>
        <w:t xml:space="preserve"> </w:t>
      </w:r>
      <w:hyperlink r:id="rId97">
        <w:r>
          <w:rPr>
            <w:rStyle w:val="Hyperlink"/>
          </w:rPr>
          <w:t xml:space="preserve">correct a record</w:t>
        </w:r>
      </w:hyperlink>
      <w:r>
        <w:t xml:space="preserve">,</w:t>
      </w:r>
      <w:r>
        <w:t xml:space="preserve"> </w:t>
      </w:r>
      <w:hyperlink r:id="rId98">
        <w:r>
          <w:rPr>
            <w:rStyle w:val="Hyperlink"/>
          </w:rPr>
          <w:t xml:space="preserve">suggest a missing asset</w:t>
        </w:r>
      </w:hyperlink>
      <w:r>
        <w:t xml:space="preserve">, or</w:t>
      </w:r>
      <w:r>
        <w:t xml:space="preserve"> </w:t>
      </w:r>
      <w:hyperlink r:id="rId99">
        <w:r>
          <w:rPr>
            <w:rStyle w:val="Hyperlink"/>
          </w:rPr>
          <w:t xml:space="preserve">general feedback</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1" name="Picture"/>
                  <a:graphic>
                    <a:graphicData uri="http://schemas.openxmlformats.org/drawingml/2006/picture">
                      <pic:pic>
                        <pic:nvPicPr>
                          <pic:cNvPr descr="/Applications/quarto/share/formats/docx/note.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Current review feedback themes</w:t>
            </w:r>
          </w:p>
          <w:p>
            <w:pPr>
              <w:pStyle w:val="BodyText"/>
            </w:pPr>
            <w:pPr>
              <w:spacing w:before="16"/>
            </w:pPr>
            <w:r>
              <w:rPr>
                <w:i/>
                <w:iCs/>
              </w:rPr>
              <w:t xml:space="preserve">Last updated: 30 June 2026.</w:t>
            </w:r>
            <w:r>
              <w:t xml:space="preserve"> </w:t>
            </w:r>
            <w:r>
              <w:t xml:space="preserve">This internal-review note summarises the current open feedback themes logged in GitHub. It is included for transparency and may change as comments are resolved; it is</w:t>
            </w:r>
            <w:r>
              <w:t xml:space="preserve"> </w:t>
            </w:r>
            <w:r>
              <w:rPr>
                <w:b/>
                <w:bCs/>
              </w:rPr>
              <w:t xml:space="preserve">not</w:t>
            </w:r>
            <w:r>
              <w:t xml:space="preserve"> </w:t>
            </w:r>
            <w:r>
              <w:t xml:space="preserve">part of the asset statistics above. Some points from this feedback have already been incorporated into</w:t>
            </w:r>
            <w:r>
              <w:t xml:space="preserve"> </w:t>
            </w:r>
            <w:hyperlink w:anchor="sec-8">
              <w:r>
                <w:rPr>
                  <w:rStyle w:val="Hyperlink"/>
                </w:rPr>
                <w:t xml:space="preserve">Section 8</w:t>
              </w:r>
            </w:hyperlink>
            <w:r>
              <w:t xml:space="preserve"> </w:t>
            </w:r>
            <w:r>
              <w:t xml:space="preserve">(Next Steps).</w:t>
            </w:r>
          </w:p>
          <w:p>
            <w:pPr>
              <w:pStyle w:val="Compact"/>
              <w:numPr>
                <w:ilvl w:val="0"/>
                <w:numId w:val="1011"/>
              </w:numPr>
            </w:pPr>
            <w:r>
              <w:rPr>
                <w:b/>
                <w:bCs/>
              </w:rPr>
              <w:t xml:space="preserve">Implemented in the revised recommendations</w:t>
            </w:r>
            <w:r>
              <w:t xml:space="preserve"> </w:t>
            </w:r>
            <w:r>
              <w:t xml:space="preserve">— targeted gap-filling outreach and a broader prioritisation approach that does not treat current top-three nominations as the only candidates for Phase 1 review (</w:t>
            </w:r>
            <w:hyperlink r:id="rId103">
              <w:r>
                <w:rPr>
                  <w:rStyle w:val="Hyperlink"/>
                </w:rPr>
                <w:t xml:space="preserve">#5</w:t>
              </w:r>
            </w:hyperlink>
            <w:r>
              <w:t xml:space="preserve">,</w:t>
            </w:r>
            <w:r>
              <w:t xml:space="preserve"> </w:t>
            </w:r>
            <w:hyperlink r:id="rId104">
              <w:r>
                <w:rPr>
                  <w:rStyle w:val="Hyperlink"/>
                </w:rPr>
                <w:t xml:space="preserve">#6</w:t>
              </w:r>
            </w:hyperlink>
            <w:r>
              <w:t xml:space="preserve">).</w:t>
            </w:r>
          </w:p>
          <w:p>
            <w:pPr>
              <w:pStyle w:val="Compact"/>
              <w:numPr>
                <w:ilvl w:val="0"/>
                <w:numId w:val="1011"/>
              </w:numPr>
            </w:pPr>
            <w:r>
              <w:rPr>
                <w:b/>
                <w:bCs/>
              </w:rPr>
              <w:t xml:space="preserve">Still open for discussion</w:t>
            </w:r>
            <w:r>
              <w:t xml:space="preserve"> </w:t>
            </w:r>
            <w:r>
              <w:t xml:space="preserve">— complement this catalogue of assets produced with evidence on which climate datasets, boundaries, and crop or land-use maps people actually use across CGIAR (</w:t>
            </w:r>
            <w:hyperlink r:id="rId105">
              <w:r>
                <w:rPr>
                  <w:rStyle w:val="Hyperlink"/>
                </w:rPr>
                <w:t xml:space="preserve">#4</w:t>
              </w:r>
            </w:hyperlink>
            <w:r>
              <w:t xml:space="preserve">).</w:t>
            </w:r>
          </w:p>
          <w:p>
            <w:pPr>
              <w:pStyle w:val="Compact"/>
              <w:numPr>
                <w:ilvl w:val="0"/>
                <w:numId w:val="1011"/>
              </w:numPr>
            </w:pPr>
            <w:r>
              <w:rPr>
                <w:b/>
                <w:bCs/>
              </w:rPr>
              <w:t xml:space="preserve">Still open for discussion</w:t>
            </w:r>
            <w:r>
              <w:t xml:space="preserve"> </w:t>
            </w:r>
            <w:r>
              <w:t xml:space="preserve">— clarify governance for inclusion decisions, consider whether restricted-access assets should receive lower near-term priority, and distinguish underlying datasets from tools or catalogues (</w:t>
            </w:r>
            <w:hyperlink r:id="rId106">
              <w:r>
                <w:rPr>
                  <w:rStyle w:val="Hyperlink"/>
                </w:rPr>
                <w:t xml:space="preserve">#1</w:t>
              </w:r>
            </w:hyperlink>
            <w:r>
              <w:t xml:space="preserve">).</w:t>
            </w:r>
          </w:p>
          <w:p>
            <w:pPr>
              <w:pStyle w:val="FirstParagraph"/>
            </w:pPr>
            <w:pPr>
              <w:spacing w:after="16"/>
            </w:pPr>
            <w:r>
              <w:t xml:space="preserve">Interested readers can view the live GitHub discussion:</w:t>
            </w:r>
            <w:r>
              <w:t xml:space="preserve"> </w:t>
            </w:r>
            <w:hyperlink r:id="rId107">
              <w:r>
                <w:rPr>
                  <w:rStyle w:val="Hyperlink"/>
                </w:rPr>
                <w:t xml:space="preserve">all open feedback issues</w:t>
              </w:r>
            </w:hyperlink>
            <w:r>
              <w:t xml:space="preserve"> </w:t>
            </w:r>
            <w:r>
              <w:t xml:space="preserve">or</w:t>
            </w:r>
            <w:r>
              <w:t xml:space="preserve"> </w:t>
            </w:r>
            <w:hyperlink r:id="rId104">
              <w:r>
                <w:rPr>
                  <w:rStyle w:val="Hyperlink"/>
                </w:rPr>
                <w:t xml:space="preserve">#6</w:t>
              </w:r>
            </w:hyperlink>
            <w:r>
              <w:t xml:space="preserve">,</w:t>
            </w:r>
            <w:r>
              <w:t xml:space="preserve"> </w:t>
            </w:r>
            <w:hyperlink r:id="rId103">
              <w:r>
                <w:rPr>
                  <w:rStyle w:val="Hyperlink"/>
                </w:rPr>
                <w:t xml:space="preserve">#5</w:t>
              </w:r>
            </w:hyperlink>
            <w:r>
              <w:t xml:space="preserve">,</w:t>
            </w:r>
            <w:r>
              <w:t xml:space="preserve"> </w:t>
            </w:r>
            <w:hyperlink r:id="rId105">
              <w:r>
                <w:rPr>
                  <w:rStyle w:val="Hyperlink"/>
                </w:rPr>
                <w:t xml:space="preserve">#4</w:t>
              </w:r>
            </w:hyperlink>
            <w:r>
              <w:t xml:space="preserve">,</w:t>
            </w:r>
            <w:r>
              <w:t xml:space="preserve"> </w:t>
            </w:r>
            <w:hyperlink r:id="rId106">
              <w:r>
                <w:rPr>
                  <w:rStyle w:val="Hyperlink"/>
                </w:rPr>
                <w:t xml:space="preserve">#1</w:t>
              </w:r>
            </w:hyperlink>
            <w:r>
              <w:t xml:space="preserve">.</w:t>
            </w:r>
          </w:p>
        </w:tc>
      </w:tr>
    </w:tbl>
    <w:p>
      <w:r>
        <w:pict>
          <v:rect style="width:0;height:1.5pt" o:hralign="center" o:hrstd="t" o:hr="t"/>
        </w:pict>
      </w:r>
    </w:p>
    <w:bookmarkEnd w:id="108"/>
    <w:bookmarkEnd w:id="109"/>
    <w:bookmarkStart w:id="110"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p>
      <w:pPr>
        <w:sectPr>
          <w:type w:val="nextPage"/>
          <w:pgSz w:w="12240" w:h="15840"/>
        </w:sectPr>
      </w:pP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w:t>
            </w:r>
          </w:p>
        </w:tc>
        <w:tc>
          <w:tcPr/>
          <w:p>
            <w:pPr>
              <w:pStyle w:val="Compact"/>
            </w:pPr>
            <w:r>
              <w:t xml:space="preserve">Open</w:t>
            </w:r>
          </w:p>
        </w:tc>
        <w:tc>
          <w:tcPr/>
          <w:p>
            <w:pPr>
              <w:pStyle w:val="Compact"/>
            </w:pPr>
            <w:r>
              <w:t xml:space="preserve">Federate or</w:t>
            </w:r>
            <w:r>
              <w:t xml:space="preserve"> </w:t>
            </w:r>
            <w:r>
              <w:t xml:space="preserve">light ingest</w:t>
            </w:r>
          </w:p>
        </w:tc>
      </w:tr>
    </w:tbl>
    <w:p>
      <w:pPr>
        <w:sectPr>
          <w:pgSz w:w="15840" w:h="12240" w:orient="landscape"/>
          <w:pgMar w:top="720" w:bottom="720" w:left="720" w:right="720"/>
        </w:sectPr>
      </w:pPr>
    </w:p>
    <w:p>
      <w:r>
        <w:pict>
          <v:rect style="width:0;height:1.5pt" o:hralign="center" o:hrstd="t" o:hr="t"/>
        </w:pict>
      </w:r>
    </w:p>
    <w:bookmarkEnd w:id="110"/>
    <w:bookmarkStart w:id="111"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11"/>
    <w:bookmarkStart w:id="114" w:name="annex-c"/>
    <w:p>
      <w:pPr>
        <w:pStyle w:val="Heading2"/>
      </w:pPr>
      <w:r>
        <w:t xml:space="preserve">Annex C — Merge log</w:t>
      </w:r>
    </w:p>
    <w:bookmarkStart w:id="112"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12"/>
    <w:bookmarkStart w:id="113"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6" Target="https://github.com/CGIAR-Climate-Data-Hub/cdh-asset-mapping/issues/1" TargetMode="External" /><Relationship Type="http://schemas.openxmlformats.org/officeDocument/2006/relationships/hyperlink" Id="rId105" Target="https://github.com/CGIAR-Climate-Data-Hub/cdh-asset-mapping/issues/4" TargetMode="External" /><Relationship Type="http://schemas.openxmlformats.org/officeDocument/2006/relationships/hyperlink" Id="rId103" Target="https://github.com/CGIAR-Climate-Data-Hub/cdh-asset-mapping/issues/5" TargetMode="External" /><Relationship Type="http://schemas.openxmlformats.org/officeDocument/2006/relationships/hyperlink" Id="rId104" Target="https://github.com/CGIAR-Climate-Data-Hub/cdh-asset-mapping/issues/6"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07"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6" Target="https://github.com/CGIAR-Climate-Data-Hub/cdh-asset-mapping/issues/1" TargetMode="External" /><Relationship Type="http://schemas.openxmlformats.org/officeDocument/2006/relationships/hyperlink" Id="rId105" Target="https://github.com/CGIAR-Climate-Data-Hub/cdh-asset-mapping/issues/4" TargetMode="External" /><Relationship Type="http://schemas.openxmlformats.org/officeDocument/2006/relationships/hyperlink" Id="rId103" Target="https://github.com/CGIAR-Climate-Data-Hub/cdh-asset-mapping/issues/5" TargetMode="External" /><Relationship Type="http://schemas.openxmlformats.org/officeDocument/2006/relationships/hyperlink" Id="rId104" Target="https://github.com/CGIAR-Climate-Data-Hub/cdh-asset-mapping/issues/6"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07"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2026-06-30T09:31:28Z</dcterms:created>
  <dcterms:modified xsi:type="dcterms:W3CDTF">2026-06-30T09:31:28Z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2026-06-30</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Internal review draft</vt:lpwstr>
  </property>
  <property fmtid="{D5CDD505-2E9C-101B-9397-08002B2CF9AE}" pid="11" name="toc-title">
    <vt:lpwstr>Table of contents</vt:lpwstr>
  </property>
</Properties>
</file>