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2026-07-21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1.2.0-draft</w:t>
      </w:r>
      <w:r>
        <w:t xml:space="preserve"> </w:t>
      </w:r>
      <w:r>
        <w:t xml:space="preserve">— 128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odyText"/>
      </w:pPr>
      <w:r>
        <w:rPr>
          <w:i/>
          <w:iCs/>
        </w:rPr>
        <w:t xml:space="preserve">Changes in 1.2.0-draft:</w:t>
      </w:r>
      <w:r>
        <w:t xml:space="preserve"> </w:t>
      </w:r>
      <w:r>
        <w:t xml:space="preserve">IFPRI follow-up additions — adaptation-focused assets entering the catalogue as provisional and unranked pending IFPRI’s combined ranking; descriptions AI-drafted and marked for IFPRI review.</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128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75 (59%)</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centres’ nominations provide a strong starting point.</w:t>
      </w:r>
      <w:r>
        <w:t xml:space="preserve"> </w:t>
      </w:r>
      <w:r>
        <w:t xml:space="preserve">The 28 top-three nominations come with written justifications and are the primary starting set for immediate Hub consideration, but not the only assets that may enter Phase 1 review (</w:t>
      </w:r>
      <w:hyperlink w:anchor="sec-6-2">
        <w:r>
          <w:rPr>
            <w:rStyle w:val="Hyperlink"/>
          </w:rPr>
          <w:t xml:space="preserve">Section 6.2</w:t>
        </w:r>
      </w:hyperlink>
      <w:r>
        <w:t xml:space="preserve">;</w:t>
      </w:r>
      <w:r>
        <w:t xml:space="preserve"> </w:t>
      </w:r>
      <w:hyperlink w:anchor="sec-8">
        <w:r>
          <w:rPr>
            <w:rStyle w:val="Hyperlink"/>
          </w:rPr>
          <w:t xml:space="preserve">Section 8</w:t>
        </w:r>
      </w:hyperlink>
      <w:r>
        <w:t xml:space="preserve">).</w:t>
      </w:r>
    </w:p>
    <w:p>
      <w:pPr>
        <w:pStyle w:val="Compact"/>
        <w:numPr>
          <w:ilvl w:val="0"/>
          <w:numId w:val="1003"/>
        </w:numPr>
      </w:pPr>
      <w:r>
        <w:rPr>
          <w:b/>
          <w:bCs/>
        </w:rPr>
        <w:t xml:space="preserve">The gaps are specific and actionable.</w:t>
      </w:r>
      <w:r>
        <w:t xml:space="preserve"> </w:t>
      </w:r>
      <w:r>
        <w:t xml:space="preserve">Adaptive Capacity was absent in the first round and now holds 4 assets, all from IFPRI’s provisional July 2026 follow-up (unranked pending their combined ranking);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pPr>
        <w:pStyle w:val="BlockText"/>
      </w:pPr>
      <w:r>
        <w:rPr>
          <w:b/>
          <w:bCs/>
        </w:rPr>
        <w:t xml:space="preserve">Work-in-progress caveat.</w:t>
      </w:r>
      <w:r>
        <w:t xml:space="preserve"> </w:t>
      </w:r>
      <w:r>
        <w:t xml:space="preserve">This report is one piece of evidence to guide the Climate Data Hub, alongside other technical, strategic, and governance inputs; it does</w:t>
      </w:r>
      <w:r>
        <w:t xml:space="preserve"> </w:t>
      </w:r>
      <w:r>
        <w:rPr>
          <w:b/>
          <w:bCs/>
        </w:rPr>
        <w:t xml:space="preserve">not</w:t>
      </w:r>
      <w:r>
        <w:t xml:space="preserve"> </w:t>
      </w:r>
      <w:r>
        <w:t xml:space="preserve">by itself dictate exactly what the Hub will do. The mapping is iterative and will be updated as centres review their entries, flag corrections, and suggest additions. Centres and partners will have multiple opportunities across the annual CDH cycle to engage, refine priorities, and shape what comes next.</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134</w:t>
      </w:r>
      <w:r>
        <w:t xml:space="preserve"> </w:t>
      </w:r>
      <w:r>
        <w:t xml:space="preserve">to</w:t>
      </w:r>
      <w:r>
        <w:t xml:space="preserve"> </w:t>
      </w:r>
      <w:r>
        <w:rPr>
          <w:b/>
          <w:bCs/>
        </w:rPr>
        <w:t xml:space="preserve">128</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128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and IFPRI came through a single nominator). Segment colour is arbitrary and carries no meaning (hence no legend); the number is the centre total. Centres marked with an asterisk indicate cases where a single listed nominator may understate broader internal consultation or contribution.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IFPRI</w:t>
            </w:r>
          </w:p>
        </w:tc>
        <w:tc>
          <w:tcPr/>
          <w:p>
            <w:pPr>
              <w:pStyle w:val="Compact"/>
            </w:pPr>
            <w:r>
              <w:t xml:space="preserve">15</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128</w:t>
            </w:r>
          </w:p>
        </w:tc>
        <w:tc>
          <w:tcPr/>
          <w:p>
            <w:pPr>
              <w:pStyle w:val="Compact"/>
            </w:pPr>
          </w:p>
        </w:tc>
      </w:tr>
    </w:tbl>
    <w:p>
      <w:pPr>
        <w:pStyle w:val="BodyText"/>
      </w:pPr>
      <w:r>
        <w:t xml:space="preserve">Hub-funded centres account for</w:t>
      </w:r>
      <w:r>
        <w:t xml:space="preserve"> </w:t>
      </w:r>
      <w:r>
        <w:rPr>
          <w:b/>
          <w:bCs/>
        </w:rPr>
        <w:t xml:space="preserve">75 assets (59%)</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(33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p>
      <w:pPr>
        <w:pStyle w:val="BodyText"/>
      </w:pPr>
      <w:r>
        <w:t xml:space="preserve">A further interpretation caveat is that current centre profiles may reflect how assets were surfaced, not only the full thematic breadth held within each centre. IFPRI’s first-round submission sat entirely in Exposure; their July 2026 follow-up added five adaptation-focused assets (one Adaptation Analytics, four Adaptive Capacity — provisional and unranked pending IFPRI’s combined ranking, with descriptions drafted from public records and awaiting IFPRI confirmation). ILRI’s submission remains entirely in Hazard, so targeted next-round outreach would help test whether that profile is complete or mainly reflects the first-round submission pathway — the IFPRI follow-up shows such outreach works.</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51 assets (40%)</w:t>
      </w:r>
      <w:r>
        <w:t xml:space="preserve"> </w:t>
      </w:r>
      <w:r>
        <w:t xml:space="preserve">are CGIAR-produced;</w:t>
      </w:r>
      <w:r>
        <w:t xml:space="preserve"> </w:t>
      </w:r>
      <w:r>
        <w:rPr>
          <w:b/>
          <w:bCs/>
        </w:rPr>
        <w:t xml:space="preserve">29 (23%)</w:t>
      </w:r>
      <w:r>
        <w:t xml:space="preserve"> </w:t>
      </w:r>
      <w:r>
        <w:t xml:space="preserve">are external datasets adopted into CGIAR workflows; and</w:t>
      </w:r>
      <w:r>
        <w:t xml:space="preserve"> </w:t>
      </w:r>
      <w:r>
        <w:rPr>
          <w:b/>
          <w:bCs/>
        </w:rPr>
        <w:t xml:space="preserve">33 (26%)</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(60 assets) and Global (47 assets) together represent 84% of portfolio. Asia and South/Southeast Asia (12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128 catalogued assets,</w:t>
      </w:r>
      <w:r>
        <w:t xml:space="preserve"> </w:t>
      </w:r>
      <w:r>
        <w:rPr>
          <w:b/>
          <w:bCs/>
        </w:rPr>
        <w:t xml:space="preserve">106 (83%)</w:t>
      </w:r>
      <w:r>
        <w:t xml:space="preserve"> </w:t>
      </w:r>
      <w:r>
        <w:t xml:space="preserve">include Asset Rank (Section F&amp;G of submission template) and</w:t>
      </w:r>
      <w:r>
        <w:t xml:space="preserve"> </w:t>
      </w:r>
      <w:r>
        <w:rPr>
          <w:b/>
          <w:bCs/>
        </w:rPr>
        <w:t xml:space="preserve">53 (41%)</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124 of 128</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 empty across every region in the first round — holds only 4 provisional IFPRI additions</w:t>
      </w:r>
      <w:r>
        <w:t xml:space="preserve">, 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19 are empty</w:t>
      </w:r>
      <w:r>
        <w:t xml:space="preserve">.</w:t>
      </w:r>
    </w:p>
    <w:bookmarkEnd w:id="48"/>
    <w:bookmarkStart w:id="49" w:name="sec-5-2"/>
    <w:p>
      <w:pPr>
        <w:pStyle w:val="Heading3"/>
      </w:pPr>
      <w:r>
        <w:t xml:space="preserve">5.2 Concentration risk</w:t>
      </w:r>
    </w:p>
    <w:p>
      <w:pPr>
        <w:pStyle w:val="FirstParagraph"/>
      </w:pPr>
      <w:r>
        <w:rPr>
          <w:b/>
          <w:bCs/>
        </w:rPr>
        <w:t xml:space="preserve">3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Adaptive Capacity</w:t>
            </w:r>
          </w:p>
        </w:tc>
        <w:tc>
          <w:tcPr/>
          <w:p>
            <w:pPr>
              <w:pStyle w:val="Compact"/>
            </w:pPr>
            <w:r>
              <w:t xml:space="preserve">IFPRI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15</w:t>
            </w:r>
          </w:p>
        </w:tc>
        <w:tc>
          <w:tcPr/>
          <w:p>
            <w:pPr>
              <w:pStyle w:val="Compact"/>
            </w:pPr>
            <w:r>
              <w:t xml:space="preserve">69</w:t>
            </w:r>
          </w:p>
        </w:tc>
        <w:tc>
          <w:tcPr/>
          <w:p>
            <w:pPr>
              <w:pStyle w:val="Compact"/>
            </w:pPr>
            <w:r>
              <w:t xml:space="preserve">3</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401"/>
        <w:gridCol w:w="1893"/>
        <w:gridCol w:w="1033"/>
        <w:gridCol w:w="746"/>
        <w:gridCol w:w="2812"/>
      </w:tblGrid>
      <w:tr>
        <w:trPr>
          <w:tblHeader w:val="on"/>
        </w:trPr>
        <w:tc>
          <w:tcPr/>
          <w:p>
            <w:pPr>
              <w:pStyle w:val="Compact"/>
            </w:pPr>
            <w:r>
              <w:t xml:space="preserve">Centre</w:t>
            </w:r>
          </w:p>
        </w:tc>
        <w:tc>
          <w:tcPr/>
          <w:p>
            <w:pPr>
              <w:pStyle w:val="Compact"/>
            </w:pPr>
            <w:r>
              <w:t xml:space="preserve">Rank</w:t>
            </w:r>
          </w:p>
        </w:tc>
        <w:tc>
          <w:tcPr/>
          <w:p>
            <w:pPr>
              <w:pStyle w:val="Compact"/>
            </w:pPr>
            <w:r>
              <w:t xml:space="preserve">Asset</w:t>
            </w:r>
          </w:p>
        </w:tc>
        <w:tc>
          <w:tcPr/>
          <w:p>
            <w:pPr>
              <w:pStyle w:val="Compact"/>
            </w:pPr>
            <w:r>
              <w:t xml:space="preserve">Domain</w:t>
            </w:r>
          </w:p>
        </w:tc>
        <w:tc>
          <w:tcPr/>
          <w:p>
            <w:pPr>
              <w:pStyle w:val="Compact"/>
            </w:pPr>
            <w:r>
              <w:t xml:space="preserve">Access</w:t>
            </w:r>
          </w:p>
        </w:tc>
        <w:tc>
          <w:tcPr/>
          <w:p>
            <w:pPr>
              <w:pStyle w:val="Compact"/>
            </w:pPr>
            <w:r>
              <w:t xml:space="preserve">Justification</w:t>
            </w:r>
          </w:p>
        </w:tc>
      </w:tr>
      <w:tr>
        <w:tc>
          <w:tcPr/>
          <w:p>
            <w:pPr>
              <w:pStyle w:val="Compact"/>
            </w:pPr>
            <w:r>
              <w:t xml:space="preserve">AfricaRice</w:t>
            </w:r>
          </w:p>
        </w:tc>
        <w:tc>
          <w:tcPr/>
          <w:p>
            <w:pPr>
              <w:pStyle w:val="Compact"/>
            </w:pPr>
            <w:r>
              <w:t xml:space="preserve">1</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Restricted</w:t>
            </w:r>
          </w:p>
        </w:tc>
        <w:tc>
          <w:tcPr/>
          <w:p>
            <w:pPr>
              <w:pStyle w:val="Compact"/>
            </w:pPr>
            <w:r>
              <w:t xml:space="preserve">Backbone climate dataset enabling modelling,</w:t>
            </w:r>
            <w:r>
              <w:t xml:space="preserve"> </w:t>
            </w:r>
            <w:r>
              <w:t xml:space="preserve">advisories, and risk analytics</w:t>
            </w:r>
          </w:p>
        </w:tc>
      </w:tr>
      <w:tr>
        <w:tc>
          <w:tcPr/>
          <w:p>
            <w:pPr>
              <w:pStyle w:val="Compact"/>
            </w:pPr>
            <w:r>
              <w:t xml:space="preserve">AfricaRice</w:t>
            </w:r>
          </w:p>
        </w:tc>
        <w:tc>
          <w:tcPr/>
          <w:p>
            <w:pPr>
              <w:pStyle w:val="Compact"/>
            </w:pPr>
            <w:r>
              <w:t xml:space="preserve">1</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Restricted</w:t>
            </w:r>
          </w:p>
        </w:tc>
        <w:tc>
          <w:tcPr/>
          <w:p>
            <w:pPr>
              <w:pStyle w:val="Compact"/>
            </w:pPr>
            <w:r>
              <w:t xml:space="preserve">Essential input for most climate applications</w:t>
            </w:r>
            <w:r>
              <w:t xml:space="preserve"> </w:t>
            </w:r>
            <w:r>
              <w:t xml:space="preserve">and models</w:t>
            </w:r>
          </w:p>
        </w:tc>
      </w:tr>
      <w:tr>
        <w:tc>
          <w:tcPr/>
          <w:p>
            <w:pPr>
              <w:pStyle w:val="Compact"/>
            </w:pPr>
            <w:r>
              <w:t xml:space="preserve">AfricaRice</w:t>
            </w:r>
          </w:p>
        </w:tc>
        <w:tc>
          <w:tcPr/>
          <w:p>
            <w:pPr>
              <w:pStyle w:val="Compact"/>
            </w:pPr>
            <w:r>
              <w:t xml:space="preserve">2</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Restricted</w:t>
            </w:r>
          </w:p>
        </w:tc>
        <w:tc>
          <w:tcPr/>
          <w:p>
            <w:pPr>
              <w:pStyle w:val="Compact"/>
            </w:pPr>
            <w:r>
              <w:t xml:space="preserve">Enables institutional climate data sharing and</w:t>
            </w:r>
            <w:r>
              <w:t xml:space="preserve"> </w:t>
            </w:r>
            <w:r>
              <w:t xml:space="preserve">integration</w:t>
            </w:r>
          </w:p>
        </w:tc>
      </w:tr>
      <w:tr>
        <w:tc>
          <w:tcPr/>
          <w:p>
            <w:pPr>
              <w:pStyle w:val="Compact"/>
            </w:pPr>
            <w:r>
              <w:t xml:space="preserve">Alliance</w:t>
            </w:r>
          </w:p>
        </w:tc>
        <w:tc>
          <w:tcPr/>
          <w:p>
            <w:pPr>
              <w:pStyle w:val="Compact"/>
            </w:pPr>
            <w:r>
              <w:t xml:space="preserve">1</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 comprehensive collection of data products</w:t>
            </w:r>
            <w:r>
              <w:t xml:space="preserve"> </w:t>
            </w:r>
            <w:r>
              <w:t xml:space="preserve">specifically curated to support end-to-end</w:t>
            </w:r>
            <w:r>
              <w:t xml:space="preserve"> </w:t>
            </w:r>
            <w:r>
              <w:t xml:space="preserve">policy and investment for adaptation in</w:t>
            </w:r>
            <w:r>
              <w:t xml:space="preserve"> </w:t>
            </w:r>
            <w:r>
              <w:t xml:space="preserve">Africa. It includes not only data to support</w:t>
            </w:r>
            <w:r>
              <w:t xml:space="preserve"> </w:t>
            </w:r>
            <w:r>
              <w:t xml:space="preserve">climate risk analysis (hazard, exposure,</w:t>
            </w:r>
            <w:r>
              <w:t xml:space="preserve"> </w:t>
            </w:r>
            <w:r>
              <w:t xml:space="preserve">vulnerability), but also so</w:t>
            </w:r>
          </w:p>
        </w:tc>
      </w:tr>
      <w:tr>
        <w:tc>
          <w:tcPr/>
          <w:p>
            <w:pPr>
              <w:pStyle w:val="Compact"/>
            </w:pPr>
            <w:r>
              <w:t xml:space="preserve">Alliance</w:t>
            </w:r>
          </w:p>
        </w:tc>
        <w:tc>
          <w:tcPr/>
          <w:p>
            <w:pPr>
              <w:pStyle w:val="Compact"/>
            </w:pPr>
            <w:r>
              <w:t xml:space="preserve">2</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Open</w:t>
            </w:r>
          </w:p>
        </w:tc>
        <w:tc>
          <w:tcPr/>
          <w:p>
            <w:pPr>
              <w:pStyle w:val="Compact"/>
            </w:pPr>
            <w:r>
              <w:t xml:space="preserve">An ecosystem of global, foundational climate</w:t>
            </w:r>
            <w:r>
              <w:t xml:space="preserve"> </w:t>
            </w:r>
            <w:r>
              <w:t xml:space="preserve">data and associated tools widely used in</w:t>
            </w:r>
            <w:r>
              <w:t xml:space="preserve"> </w:t>
            </w:r>
            <w:r>
              <w:t xml:space="preserve">adaptation analytics, climate and crop</w:t>
            </w:r>
            <w:r>
              <w:t xml:space="preserve"> </w:t>
            </w:r>
            <w:r>
              <w:t xml:space="preserve">modelling. It strategically fills multiple</w:t>
            </w:r>
            <w:r>
              <w:t xml:space="preserve"> </w:t>
            </w:r>
            <w:r>
              <w:t xml:space="preserve">gaps between direct GCM outputs and more</w:t>
            </w:r>
            <w:r>
              <w:t xml:space="preserve"> </w:t>
            </w:r>
            <w:r>
              <w:t xml:space="preserve">ready-to-use data products for</w:t>
            </w:r>
          </w:p>
        </w:tc>
      </w:tr>
      <w:tr>
        <w:tc>
          <w:tcPr/>
          <w:p>
            <w:pPr>
              <w:pStyle w:val="Compact"/>
            </w:pPr>
            <w:r>
              <w:t xml:space="preserve">Alliance</w:t>
            </w:r>
          </w:p>
        </w:tc>
        <w:tc>
          <w:tcPr/>
          <w:p>
            <w:pPr>
              <w:pStyle w:val="Compact"/>
            </w:pPr>
            <w:r>
              <w:t xml:space="preserve">3</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The IMPACT model is a multimarket economic</w:t>
            </w:r>
            <w:r>
              <w:t xml:space="preserve"> </w:t>
            </w:r>
            <w:r>
              <w:t xml:space="preserve">model for the agriculture sector widely used</w:t>
            </w:r>
            <w:r>
              <w:t xml:space="preserve"> </w:t>
            </w:r>
            <w:r>
              <w:t xml:space="preserve">for assessing climate impacts on global food</w:t>
            </w:r>
            <w:r>
              <w:t xml:space="preserve"> </w:t>
            </w:r>
            <w:r>
              <w:t xml:space="preserve">price, production, trade, and demand. The IPR</w:t>
            </w:r>
            <w:r>
              <w:t xml:space="preserve"> </w:t>
            </w:r>
            <w:r>
              <w:t xml:space="preserve">tool updates intrinsic productivity rate, a</w:t>
            </w:r>
            <w:r>
              <w:t xml:space="preserve"> </w:t>
            </w:r>
            <w:r>
              <w:t xml:space="preserve">key input for the</w:t>
            </w:r>
          </w:p>
        </w:tc>
      </w:tr>
      <w:tr>
        <w:tc>
          <w:tcPr/>
          <w:p>
            <w:pPr>
              <w:pStyle w:val="Compact"/>
            </w:pPr>
            <w:r>
              <w:t xml:space="preserve">CIFOR-ICRAF</w:t>
            </w:r>
          </w:p>
        </w:tc>
        <w:tc>
          <w:tcPr/>
          <w:p>
            <w:pPr>
              <w:pStyle w:val="Compact"/>
            </w:pPr>
            <w:r>
              <w:t xml:space="preserve">1</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Open</w:t>
            </w:r>
          </w:p>
        </w:tc>
        <w:tc>
          <w:tcPr/>
          <w:p>
            <w:pPr>
              <w:pStyle w:val="Compact"/>
            </w:pPr>
            <w:r>
              <w:t xml:space="preserve">Foundational mangrove carbon dataset</w:t>
            </w:r>
            <w:r>
              <w:t xml:space="preserve"> </w:t>
            </w:r>
            <w:r>
              <w:t xml:space="preserve">supporting climate mitigation planning, carbon</w:t>
            </w:r>
            <w:r>
              <w:t xml:space="preserve"> </w:t>
            </w:r>
            <w:r>
              <w:t xml:space="preserve">accounting, and restoration policy in</w:t>
            </w:r>
            <w:r>
              <w:t xml:space="preserve"> </w:t>
            </w:r>
            <w:r>
              <w:t xml:space="preserve">Indonesia and globally</w:t>
            </w:r>
          </w:p>
        </w:tc>
      </w:tr>
      <w:tr>
        <w:tc>
          <w:tcPr/>
          <w:p>
            <w:pPr>
              <w:pStyle w:val="Compact"/>
            </w:pPr>
            <w:r>
              <w:t xml:space="preserve">CIFOR-ICRAF</w:t>
            </w:r>
          </w:p>
        </w:tc>
        <w:tc>
          <w:tcPr/>
          <w:p>
            <w:pPr>
              <w:pStyle w:val="Compact"/>
            </w:pPr>
            <w:r>
              <w:t xml:space="preserve">2</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Open</w:t>
            </w:r>
          </w:p>
        </w:tc>
        <w:tc>
          <w:tcPr/>
          <w:p>
            <w:pPr>
              <w:pStyle w:val="Compact"/>
            </w:pPr>
            <w:r>
              <w:t xml:space="preserve">Strategic peatland mapping asset supporting</w:t>
            </w:r>
            <w:r>
              <w:t xml:space="preserve"> </w:t>
            </w:r>
            <w:r>
              <w:t xml:space="preserve">restoration, conservation planning, and</w:t>
            </w:r>
            <w:r>
              <w:t xml:space="preserve"> </w:t>
            </w:r>
            <w:r>
              <w:t xml:space="preserve">emissions mitigation</w:t>
            </w:r>
          </w:p>
        </w:tc>
      </w:tr>
      <w:tr>
        <w:tc>
          <w:tcPr/>
          <w:p>
            <w:pPr>
              <w:pStyle w:val="Compact"/>
            </w:pPr>
            <w:r>
              <w:t xml:space="preserve">CIFOR-ICRAF</w:t>
            </w:r>
          </w:p>
        </w:tc>
        <w:tc>
          <w:tcPr/>
          <w:p>
            <w:pPr>
              <w:pStyle w:val="Compact"/>
            </w:pPr>
            <w:r>
              <w:t xml:space="preserve">3</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Strong adaptation and restoration relevance</w:t>
            </w:r>
            <w:r>
              <w:t xml:space="preserve"> </w:t>
            </w:r>
            <w:r>
              <w:t xml:space="preserve">with reusable LDSF methodology and operational</w:t>
            </w:r>
            <w:r>
              <w:t xml:space="preserve"> </w:t>
            </w:r>
            <w:r>
              <w:t xml:space="preserve">restoration monitoring applicability</w:t>
            </w:r>
          </w:p>
        </w:tc>
      </w:tr>
      <w:tr>
        <w:tc>
          <w:tcPr/>
          <w:p>
            <w:pPr>
              <w:pStyle w:val="Compact"/>
            </w:pPr>
            <w:r>
              <w:t xml:space="preserve">CIP</w:t>
            </w:r>
          </w:p>
        </w:tc>
        <w:tc>
          <w:tcPr/>
          <w:p>
            <w:pPr>
              <w:pStyle w:val="Compact"/>
            </w:pPr>
            <w:r>
              <w:t xml:space="preserve">1</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ILCYM is the highest-priority candidate in</w:t>
            </w:r>
            <w:r>
              <w:t xml:space="preserve"> </w:t>
            </w:r>
            <w:r>
              <w:t xml:space="preserve">this submission because it is a CIP-developed</w:t>
            </w:r>
            <w:r>
              <w:t xml:space="preserve"> </w:t>
            </w:r>
            <w:r>
              <w:t xml:space="preserve">climate-risk modelling platform that directly</w:t>
            </w:r>
            <w:r>
              <w:t xml:space="preserve"> </w:t>
            </w:r>
            <w:r>
              <w:t xml:space="preserve">links temperature-driven insect biology with</w:t>
            </w:r>
            <w:r>
              <w:t xml:space="preserve"> </w:t>
            </w:r>
            <w:r>
              <w:t xml:space="preserve">pest and natural enemy risk assessment. It</w:t>
            </w:r>
            <w:r>
              <w:t xml:space="preserve"> </w:t>
            </w:r>
            <w:r>
              <w:t xml:space="preserve">supports developm</w:t>
            </w:r>
          </w:p>
        </w:tc>
      </w:tr>
      <w:tr>
        <w:tc>
          <w:tcPr/>
          <w:p>
            <w:pPr>
              <w:pStyle w:val="Compact"/>
            </w:pPr>
            <w:r>
              <w:t xml:space="preserve">CIP</w:t>
            </w:r>
          </w:p>
        </w:tc>
        <w:tc>
          <w:tcPr/>
          <w:p>
            <w:pPr>
              <w:pStyle w:val="Compact"/>
            </w:pPr>
            <w:r>
              <w:t xml:space="preserve">2</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Lateblight Advisor / SIMCAST is a top</w:t>
            </w:r>
            <w:r>
              <w:t xml:space="preserve"> </w:t>
            </w:r>
            <w:r>
              <w:t xml:space="preserve">strategic Climate Data Hub candidate because</w:t>
            </w:r>
            <w:r>
              <w:t xml:space="preserve"> </w:t>
            </w:r>
            <w:r>
              <w:t xml:space="preserve">it directly connects climate data to real-</w:t>
            </w:r>
            <w:r>
              <w:t xml:space="preserve"> </w:t>
            </w:r>
            <w:r>
              <w:t xml:space="preserve">world advisory decisions for potato late</w:t>
            </w:r>
            <w:r>
              <w:t xml:space="preserve"> </w:t>
            </w:r>
            <w:r>
              <w:t xml:space="preserve">blight management. The platform converts</w:t>
            </w:r>
            <w:r>
              <w:t xml:space="preserve"> </w:t>
            </w:r>
            <w:r>
              <w:t xml:space="preserve">observed and forecast weather int</w:t>
            </w:r>
          </w:p>
        </w:tc>
      </w:tr>
      <w:tr>
        <w:tc>
          <w:tcPr/>
          <w:p>
            <w:pPr>
              <w:pStyle w:val="Compact"/>
            </w:pPr>
            <w:r>
              <w:t xml:space="preserve">CIP</w:t>
            </w:r>
          </w:p>
        </w:tc>
        <w:tc>
          <w:tcPr/>
          <w:p>
            <w:pPr>
              <w:pStyle w:val="Compact"/>
            </w:pPr>
            <w:r>
              <w:t xml:space="preserve">3</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Open</w:t>
            </w:r>
          </w:p>
        </w:tc>
        <w:tc>
          <w:tcPr/>
          <w:p>
            <w:pPr>
              <w:pStyle w:val="Compact"/>
            </w:pPr>
            <w:r>
              <w:t xml:space="preserve">SOLANUM / Spatial Solanum / SWEETPO is a top-</w:t>
            </w:r>
            <w:r>
              <w:t xml:space="preserve"> </w:t>
            </w:r>
            <w:r>
              <w:t xml:space="preserve">three candidate because it represents a CIP-</w:t>
            </w:r>
            <w:r>
              <w:t xml:space="preserve"> </w:t>
            </w:r>
            <w:r>
              <w:t xml:space="preserve">developed crop modelling asset that translates</w:t>
            </w:r>
            <w:r>
              <w:t xml:space="preserve"> </w:t>
            </w:r>
            <w:r>
              <w:t xml:space="preserve">climate, crop physiology and management</w:t>
            </w:r>
            <w:r>
              <w:t xml:space="preserve"> </w:t>
            </w:r>
            <w:r>
              <w:t xml:space="preserve">conditions into yield and crop-growth outputs.</w:t>
            </w:r>
            <w:r>
              <w:t xml:space="preserve"> </w:t>
            </w:r>
            <w:r>
              <w:t xml:space="preserve">SOLANUM estimates</w:t>
            </w:r>
          </w:p>
        </w:tc>
      </w:tr>
      <w:tr>
        <w:tc>
          <w:tcPr/>
          <w:p>
            <w:pPr>
              <w:pStyle w:val="Compact"/>
            </w:pPr>
            <w:r>
              <w:t xml:space="preserve">ICRISAT</w:t>
            </w:r>
          </w:p>
        </w:tc>
        <w:tc>
          <w:tcPr/>
          <w:p>
            <w:pPr>
              <w:pStyle w:val="Compact"/>
            </w:pPr>
            <w:r>
              <w:t xml:space="preserve">3</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Restricted</w:t>
            </w:r>
          </w:p>
        </w:tc>
        <w:tc>
          <w:tcPr/>
          <w:p>
            <w:pPr>
              <w:pStyle w:val="Compact"/>
            </w:pPr>
            <w:r>
              <w:t xml:space="preserve">Simple tool understand the futute climate</w:t>
            </w:r>
            <w:r>
              <w:t xml:space="preserve"> </w:t>
            </w:r>
            <w:r>
              <w:t xml:space="preserve">change in the selected regions, to plant the</w:t>
            </w:r>
            <w:r>
              <w:t xml:space="preserve"> </w:t>
            </w:r>
            <w:r>
              <w:t xml:space="preserve">future breeding program, varietal deplyment,</w:t>
            </w:r>
            <w:r>
              <w:t xml:space="preserve"> </w:t>
            </w:r>
            <w:r>
              <w:t xml:space="preserve">stress monitoring and adapating the integrated</w:t>
            </w:r>
            <w:r>
              <w:t xml:space="preserve"> </w:t>
            </w:r>
            <w:r>
              <w:t xml:space="preserve">management stratergies. Ability to replicate</w:t>
            </w:r>
            <w:r>
              <w:t xml:space="preserve"> </w:t>
            </w:r>
            <w:r>
              <w:t xml:space="preserve">to other crops</w:t>
            </w:r>
          </w:p>
        </w:tc>
      </w:tr>
      <w:tr>
        <w:tc>
          <w:tcPr/>
          <w:p>
            <w:pPr>
              <w:pStyle w:val="Compact"/>
            </w:pPr>
            <w:r>
              <w:t xml:space="preserve">ICRISAT</w:t>
            </w:r>
          </w:p>
        </w:tc>
        <w:tc>
          <w:tcPr/>
          <w:p>
            <w:pPr>
              <w:pStyle w:val="Compact"/>
            </w:pPr>
            <w:r>
              <w:t xml:space="preserve">3</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Higly reliable data sets on simulated cliate</w:t>
            </w:r>
            <w:r>
              <w:t xml:space="preserve"> </w:t>
            </w:r>
            <w:r>
              <w:t xml:space="preserve">variables on crop, plant for mudulation of</w:t>
            </w:r>
            <w:r>
              <w:t xml:space="preserve"> </w:t>
            </w:r>
            <w:r>
              <w:t xml:space="preserve">crop repsonse, breaking of resistance,</w:t>
            </w:r>
            <w:r>
              <w:t xml:space="preserve"> </w:t>
            </w:r>
            <w:r>
              <w:t xml:space="preserve">nutrient acqusation, changes in the benifical</w:t>
            </w:r>
            <w:r>
              <w:t xml:space="preserve"> </w:t>
            </w:r>
            <w:r>
              <w:t xml:space="preserve">microbes. Simulate the other regions climatic</w:t>
            </w:r>
            <w:r>
              <w:t xml:space="preserve"> </w:t>
            </w:r>
            <w:r>
              <w:t xml:space="preserve">condition, specifica</w:t>
            </w:r>
          </w:p>
        </w:tc>
      </w:tr>
      <w:tr>
        <w:tc>
          <w:tcPr/>
          <w:p>
            <w:pPr>
              <w:pStyle w:val="Compact"/>
            </w:pPr>
            <w:r>
              <w:t xml:space="preserve">IFPRI</w:t>
            </w:r>
          </w:p>
        </w:tc>
        <w:tc>
          <w:tcPr/>
          <w:p>
            <w:pPr>
              <w:pStyle w:val="Compact"/>
            </w:pPr>
            <w:r>
              <w:t xml:space="preserve">1</w:t>
            </w:r>
          </w:p>
        </w:tc>
        <w:tc>
          <w:tcPr/>
          <w:p>
            <w:pPr>
              <w:pStyle w:val="Compact"/>
            </w:pPr>
            <w:r>
              <w:t xml:space="preserve">Global MapSPAM 2020</w:t>
            </w:r>
          </w:p>
        </w:tc>
        <w:tc>
          <w:tcPr/>
          <w:p>
            <w:pPr>
              <w:pStyle w:val="Compact"/>
            </w:pPr>
            <w:r>
              <w:t xml:space="preserve">Exposure</w:t>
            </w:r>
          </w:p>
        </w:tc>
        <w:tc>
          <w:tcPr/>
          <w:p>
            <w:pPr>
              <w:pStyle w:val="Compact"/>
            </w:pPr>
            <w:r>
              <w:t xml:space="preserve">Open</w:t>
            </w:r>
          </w:p>
        </w:tc>
        <w:tc>
          <w:tcPr/>
          <w:p>
            <w:pPr>
              <w:pStyle w:val="Compact"/>
            </w:pPr>
            <w:r>
              <w:t xml:space="preserve">Global spatial dataset of crop production,</w:t>
            </w:r>
            <w:r>
              <w:t xml:space="preserve"> </w:t>
            </w:r>
            <w:r>
              <w:t xml:space="preserve">area, and yield at ~10 km resolution using</w:t>
            </w:r>
            <w:r>
              <w:t xml:space="preserve"> </w:t>
            </w:r>
            <w:r>
              <w:t xml:space="preserve">data fusion methods</w:t>
            </w:r>
          </w:p>
        </w:tc>
      </w:tr>
      <w:tr>
        <w:tc>
          <w:tcPr/>
          <w:p>
            <w:pPr>
              <w:pStyle w:val="Compact"/>
            </w:pPr>
            <w:r>
              <w:t xml:space="preserve">IFPRI</w:t>
            </w:r>
          </w:p>
        </w:tc>
        <w:tc>
          <w:tcPr/>
          <w:p>
            <w:pPr>
              <w:pStyle w:val="Compact"/>
            </w:pPr>
            <w:r>
              <w:t xml:space="preserve">2</w:t>
            </w:r>
          </w:p>
        </w:tc>
        <w:tc>
          <w:tcPr/>
          <w:p>
            <w:pPr>
              <w:pStyle w:val="Compact"/>
            </w:pPr>
            <w:r>
              <w:t xml:space="preserve">Global hamonized cropland</w:t>
            </w:r>
          </w:p>
        </w:tc>
        <w:tc>
          <w:tcPr/>
          <w:p>
            <w:pPr>
              <w:pStyle w:val="Compact"/>
            </w:pPr>
            <w:r>
              <w:t xml:space="preserve">Exposure</w:t>
            </w:r>
          </w:p>
        </w:tc>
        <w:tc>
          <w:tcPr/>
          <w:p>
            <w:pPr>
              <w:pStyle w:val="Compact"/>
            </w:pPr>
            <w:r>
              <w:t xml:space="preserve">Restricted</w:t>
            </w:r>
          </w:p>
        </w:tc>
        <w:tc>
          <w:tcPr/>
          <w:p>
            <w:pPr>
              <w:pStyle w:val="Compact"/>
            </w:pPr>
            <w:r>
              <w:t xml:space="preserve">Advisory, Invesment, Decision making</w:t>
            </w:r>
          </w:p>
        </w:tc>
      </w:tr>
      <w:tr>
        <w:tc>
          <w:tcPr/>
          <w:p>
            <w:pPr>
              <w:pStyle w:val="Compact"/>
            </w:pPr>
            <w:r>
              <w:t xml:space="preserve">IFPRI</w:t>
            </w:r>
          </w:p>
        </w:tc>
        <w:tc>
          <w:tcPr/>
          <w:p>
            <w:pPr>
              <w:pStyle w:val="Compact"/>
            </w:pPr>
            <w:r>
              <w:t xml:space="preserve">3</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Restricted</w:t>
            </w:r>
          </w:p>
        </w:tc>
        <w:tc>
          <w:tcPr/>
          <w:p>
            <w:pPr>
              <w:pStyle w:val="Compact"/>
            </w:pPr>
            <w:r>
              <w:t xml:space="preserve">Research, Investment and policy</w:t>
            </w:r>
          </w:p>
        </w:tc>
      </w:tr>
      <w:tr>
        <w:tc>
          <w:tcPr/>
          <w:p>
            <w:pPr>
              <w:pStyle w:val="Compact"/>
            </w:pPr>
            <w:r>
              <w:t xml:space="preserve">IITA</w:t>
            </w:r>
          </w:p>
        </w:tc>
        <w:tc>
          <w:tcPr/>
          <w:p>
            <w:pPr>
              <w:pStyle w:val="Compact"/>
            </w:pPr>
            <w:r>
              <w:t xml:space="preserve">1</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Akilimo translate data on climate–soil</w:t>
            </w:r>
            <w:r>
              <w:t xml:space="preserve"> </w:t>
            </w:r>
            <w:r>
              <w:t xml:space="preserve">interactions into actionable insights for</w:t>
            </w:r>
            <w:r>
              <w:t xml:space="preserve"> </w:t>
            </w:r>
            <w:r>
              <w:t xml:space="preserve">farmers and systems. Enables targeting,</w:t>
            </w:r>
            <w:r>
              <w:t xml:space="preserve"> </w:t>
            </w:r>
            <w:r>
              <w:t xml:space="preserve">climate vulnerability assessment, and</w:t>
            </w:r>
            <w:r>
              <w:t xml:space="preserve"> </w:t>
            </w:r>
            <w:r>
              <w:t xml:space="preserve">segmentation for scaling climate-smart</w:t>
            </w:r>
            <w:r>
              <w:t xml:space="preserve"> </w:t>
            </w:r>
            <w:r>
              <w:t xml:space="preserve">interventions. Used by extension agents to</w:t>
            </w:r>
          </w:p>
        </w:tc>
      </w:tr>
      <w:tr>
        <w:tc>
          <w:tcPr/>
          <w:p>
            <w:pPr>
              <w:pStyle w:val="Compact"/>
            </w:pPr>
            <w:r>
              <w:t xml:space="preserve">IITA</w:t>
            </w:r>
          </w:p>
        </w:tc>
        <w:tc>
          <w:tcPr/>
          <w:p>
            <w:pPr>
              <w:pStyle w:val="Compact"/>
            </w:pPr>
            <w:r>
              <w:t xml:space="preserve">2</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Open</w:t>
            </w:r>
          </w:p>
        </w:tc>
        <w:tc>
          <w:tcPr/>
          <w:p>
            <w:pPr>
              <w:pStyle w:val="Compact"/>
            </w:pPr>
            <w:r>
              <w:t xml:space="preserve">This asset provides strategic value as a data-</w:t>
            </w:r>
            <w:r>
              <w:t xml:space="preserve"> </w:t>
            </w:r>
            <w:r>
              <w:t xml:space="preserve">driven tool for anticipating aflatoxin</w:t>
            </w:r>
            <w:r>
              <w:t xml:space="preserve"> </w:t>
            </w:r>
            <w:r>
              <w:t xml:space="preserve">contamination risk in maize, a major food</w:t>
            </w:r>
            <w:r>
              <w:t xml:space="preserve"> </w:t>
            </w:r>
            <w:r>
              <w:t xml:space="preserve">safety and public health concern in East and</w:t>
            </w:r>
            <w:r>
              <w:t xml:space="preserve"> </w:t>
            </w:r>
            <w:r>
              <w:t xml:space="preserve">Southern Africa. By translating climate and</w:t>
            </w:r>
            <w:r>
              <w:t xml:space="preserve"> </w:t>
            </w:r>
            <w:r>
              <w:t xml:space="preserve">environmental signals in</w:t>
            </w:r>
          </w:p>
        </w:tc>
      </w:tr>
      <w:tr>
        <w:tc>
          <w:tcPr/>
          <w:p>
            <w:pPr>
              <w:pStyle w:val="Compact"/>
            </w:pPr>
            <w:r>
              <w:t xml:space="preserve">IITA</w:t>
            </w:r>
          </w:p>
        </w:tc>
        <w:tc>
          <w:tcPr/>
          <w:p>
            <w:pPr>
              <w:pStyle w:val="Compact"/>
            </w:pPr>
            <w:r>
              <w:t xml:space="preserve">3</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This asset provides structured access to</w:t>
            </w:r>
            <w:r>
              <w:t xml:space="preserve"> </w:t>
            </w:r>
            <w:r>
              <w:t xml:space="preserve">historical agricultural research, not only</w:t>
            </w:r>
            <w:r>
              <w:t xml:space="preserve"> </w:t>
            </w:r>
            <w:r>
              <w:t xml:space="preserve">CGIAR, but also from other organizations on</w:t>
            </w:r>
            <w:r>
              <w:t xml:space="preserve"> </w:t>
            </w:r>
            <w:r>
              <w:t xml:space="preserve">experimental and observational data from</w:t>
            </w:r>
            <w:r>
              <w:t xml:space="preserve"> </w:t>
            </w:r>
            <w:r>
              <w:t xml:space="preserve">thousands of experiments. It serves as a</w:t>
            </w:r>
            <w:r>
              <w:t xml:space="preserve"> </w:t>
            </w:r>
            <w:r>
              <w:t xml:space="preserve">foundational database for meta</w:t>
            </w:r>
          </w:p>
        </w:tc>
      </w:tr>
      <w:tr>
        <w:tc>
          <w:tcPr/>
          <w:p>
            <w:pPr>
              <w:pStyle w:val="Compact"/>
            </w:pPr>
            <w:r>
              <w:t xml:space="preserve">ILRI</w:t>
            </w:r>
          </w:p>
        </w:tc>
        <w:tc>
          <w:tcPr/>
          <w:p>
            <w:pPr>
              <w:pStyle w:val="Compact"/>
            </w:pPr>
            <w:r>
              <w:t xml:space="preserve">1</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1</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2</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Open</w:t>
            </w:r>
          </w:p>
        </w:tc>
        <w:tc>
          <w:tcPr/>
          <w:p>
            <w:pPr>
              <w:pStyle w:val="Compact"/>
            </w:pPr>
            <w:r>
              <w:t xml:space="preserve">Policy, Research, Modelling, Investment</w:t>
            </w:r>
          </w:p>
        </w:tc>
      </w:tr>
      <w:tr>
        <w:tc>
          <w:tcPr/>
          <w:p>
            <w:pPr>
              <w:pStyle w:val="Compact"/>
            </w:pPr>
            <w:r>
              <w:t xml:space="preserve">IWMI</w:t>
            </w:r>
          </w:p>
        </w:tc>
        <w:tc>
          <w:tcPr/>
          <w:p>
            <w:pPr>
              <w:pStyle w:val="Compact"/>
            </w:pPr>
            <w:r>
              <w:t xml:space="preserve">1</w:t>
            </w:r>
          </w:p>
        </w:tc>
        <w:tc>
          <w:tcPr/>
          <w:p>
            <w:pPr>
              <w:pStyle w:val="Compact"/>
            </w:pPr>
            <w:r>
              <w:t xml:space="preserve">Africa Flood Hazard</w:t>
            </w:r>
          </w:p>
        </w:tc>
        <w:tc>
          <w:tcPr/>
          <w:p>
            <w:pPr>
              <w:pStyle w:val="Compact"/>
            </w:pPr>
            <w:r>
              <w:t xml:space="preserve">Exposure</w:t>
            </w:r>
          </w:p>
        </w:tc>
        <w:tc>
          <w:tcPr/>
          <w:p>
            <w:pPr>
              <w:pStyle w:val="Compact"/>
            </w:pPr>
            <w:r>
              <w:t xml:space="preserve">Open</w:t>
            </w:r>
          </w:p>
        </w:tc>
        <w:tc>
          <w:tcPr/>
          <w:p>
            <w:pPr>
              <w:pStyle w:val="Compact"/>
            </w:pPr>
            <w:r>
              <w:t xml:space="preserve">The Africa flood hazard dataset utilizes Earth</w:t>
            </w:r>
            <w:r>
              <w:t xml:space="preserve"> </w:t>
            </w:r>
            <w:r>
              <w:t xml:space="preserve">Observation (EO) data to deliver continent-</w:t>
            </w:r>
            <w:r>
              <w:t xml:space="preserve"> </w:t>
            </w:r>
            <w:r>
              <w:t xml:space="preserve">wide flood monitoring at a 500 m spatial</w:t>
            </w:r>
            <w:r>
              <w:t xml:space="preserve"> </w:t>
            </w:r>
            <w:r>
              <w:t xml:space="preserve">resolution. It is developed using moderate-</w:t>
            </w:r>
            <w:r>
              <w:t xml:space="preserve"> </w:t>
            </w:r>
            <w:r>
              <w:t xml:space="preserve">resolution NASA MODIS data spanning 2001 to</w:t>
            </w:r>
            <w:r>
              <w:t xml:space="preserve"> </w:t>
            </w:r>
            <w:r>
              <w:t xml:space="preserve">2025 and is available</w:t>
            </w:r>
          </w:p>
        </w:tc>
      </w:tr>
      <w:tr>
        <w:tc>
          <w:tcPr/>
          <w:p>
            <w:pPr>
              <w:pStyle w:val="Compact"/>
            </w:pPr>
            <w:r>
              <w:t xml:space="preserve">IWMI</w:t>
            </w:r>
          </w:p>
        </w:tc>
        <w:tc>
          <w:tcPr/>
          <w:p>
            <w:pPr>
              <w:pStyle w:val="Compact"/>
            </w:pPr>
            <w:r>
              <w:t xml:space="preserve">3</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Multi-Hazard Map integrates data on various</w:t>
            </w:r>
            <w:r>
              <w:t xml:space="preserve"> </w:t>
            </w:r>
            <w:r>
              <w:t xml:space="preserve">natural disasters to assess risk exposure and</w:t>
            </w:r>
            <w:r>
              <w:t xml:space="preserve"> </w:t>
            </w:r>
            <w:r>
              <w:t xml:space="preserve">support climate adaptation. This map</w:t>
            </w:r>
            <w:r>
              <w:t xml:space="preserve"> </w:t>
            </w:r>
            <w:r>
              <w:t xml:space="preserve">visualizes hazard (floods, droughts, cyclones,</w:t>
            </w:r>
            <w:r>
              <w:t xml:space="preserve"> </w:t>
            </w:r>
            <w:r>
              <w:t xml:space="preserve">landslides, epidemics, volcanic activity,</w:t>
            </w:r>
            <w:r>
              <w:t xml:space="preserve"> </w:t>
            </w:r>
            <w:r>
              <w:t xml:space="preserve">earthquakes, extreme tem</w:t>
            </w:r>
          </w:p>
        </w:tc>
      </w:tr>
      <w:tr>
        <w:tc>
          <w:tcPr/>
          <w:p>
            <w:pPr>
              <w:pStyle w:val="Compact"/>
            </w:pPr>
            <w:r>
              <w:t xml:space="preserve">WorldFish</w:t>
            </w:r>
          </w:p>
        </w:tc>
        <w:tc>
          <w:tcPr/>
          <w:p>
            <w:pPr>
              <w:pStyle w:val="Compact"/>
            </w:pPr>
            <w:r>
              <w:t xml:space="preserve">1</w:t>
            </w:r>
          </w:p>
        </w:tc>
        <w:tc>
          <w:tcPr/>
          <w:p>
            <w:pPr>
              <w:pStyle w:val="Compact"/>
            </w:pPr>
            <w:r>
              <w:t xml:space="preserve">FishBase</w:t>
            </w:r>
          </w:p>
        </w:tc>
        <w:tc>
          <w:tcPr/>
          <w:p>
            <w:pPr>
              <w:pStyle w:val="Compact"/>
            </w:pPr>
            <w:r>
              <w:t xml:space="preserve">Sensitivity</w:t>
            </w:r>
          </w:p>
        </w:tc>
        <w:tc>
          <w:tcPr/>
          <w:p>
            <w:pPr>
              <w:pStyle w:val="Compact"/>
            </w:pPr>
            <w:r>
              <w:t xml:space="preserve">Open</w:t>
            </w:r>
          </w:p>
        </w:tc>
        <w:tc>
          <w:tcPr/>
          <w:p>
            <w:pPr>
              <w:pStyle w:val="Compact"/>
            </w:pPr>
            <w:r>
              <w:t xml:space="preserve">Foundational Climate Action enabler. FishBase</w:t>
            </w:r>
            <w:r>
              <w:t xml:space="preserve"> </w:t>
            </w:r>
            <w:r>
              <w:t xml:space="preserve">underpins climate impact models, exposure</w:t>
            </w:r>
            <w:r>
              <w:t xml:space="preserve"> </w:t>
            </w:r>
            <w:r>
              <w:t xml:space="preserve">assessments, and adaptation analyses by</w:t>
            </w:r>
            <w:r>
              <w:t xml:space="preserve"> </w:t>
            </w:r>
            <w:r>
              <w:t xml:space="preserve">providing species‑level biological and</w:t>
            </w:r>
            <w:r>
              <w:t xml:space="preserve"> </w:t>
            </w:r>
            <w:r>
              <w:t xml:space="preserve">ecological traits. Its interoperability and</w:t>
            </w:r>
            <w:r>
              <w:t xml:space="preserve"> </w:t>
            </w:r>
            <w:r>
              <w:t xml:space="preserve">long‑term maintenance make it</w:t>
            </w:r>
          </w:p>
        </w:tc>
      </w:tr>
      <w:tr>
        <w:tc>
          <w:tcPr/>
          <w:p>
            <w:pPr>
              <w:pStyle w:val="Compact"/>
            </w:pPr>
            <w:r>
              <w:t xml:space="preserve">WorldFish</w:t>
            </w:r>
          </w:p>
        </w:tc>
        <w:tc>
          <w:tcPr/>
          <w:p>
            <w:pPr>
              <w:pStyle w:val="Compact"/>
            </w:pPr>
            <w:r>
              <w:t xml:space="preserve">2</w:t>
            </w:r>
          </w:p>
        </w:tc>
        <w:tc>
          <w:tcPr/>
          <w:p>
            <w:pPr>
              <w:pStyle w:val="Compact"/>
            </w:pPr>
            <w:r>
              <w:t xml:space="preserve">Bio-Oracle</w:t>
            </w:r>
          </w:p>
        </w:tc>
        <w:tc>
          <w:tcPr/>
          <w:p>
            <w:pPr>
              <w:pStyle w:val="Compact"/>
            </w:pPr>
            <w:r>
              <w:t xml:space="preserve">Hazard</w:t>
            </w:r>
          </w:p>
        </w:tc>
        <w:tc>
          <w:tcPr/>
          <w:p>
            <w:pPr>
              <w:pStyle w:val="Compact"/>
            </w:pPr>
            <w:r>
              <w:t xml:space="preserve">Open</w:t>
            </w:r>
          </w:p>
        </w:tc>
        <w:tc>
          <w:tcPr/>
          <w:p>
            <w:pPr>
              <w:pStyle w:val="Compact"/>
            </w:pPr>
            <w:r>
              <w:t xml:space="preserve">Bio‑ORACLE provides the biophysical climate</w:t>
            </w:r>
            <w:r>
              <w:t xml:space="preserve"> </w:t>
            </w:r>
            <w:r>
              <w:t xml:space="preserve">drivers required to assess exposure and</w:t>
            </w:r>
            <w:r>
              <w:t xml:space="preserve"> </w:t>
            </w:r>
            <w:r>
              <w:t xml:space="preserve">vulnerability of marine systems. Its direct</w:t>
            </w:r>
            <w:r>
              <w:t xml:space="preserve"> </w:t>
            </w:r>
            <w:r>
              <w:t xml:space="preserve">use in climate modelling and adaptation</w:t>
            </w:r>
            <w:r>
              <w:t xml:space="preserve"> </w:t>
            </w:r>
            <w:r>
              <w:t xml:space="preserve">analytics makes it a high‑priority asset for</w:t>
            </w:r>
            <w:r>
              <w:t xml:space="preserve"> </w:t>
            </w:r>
            <w:r>
              <w:t xml:space="preserve">supporting Climate Action a</w:t>
            </w:r>
          </w:p>
        </w:tc>
      </w:tr>
      <w:tr>
        <w:tc>
          <w:tcPr/>
          <w:p>
            <w:pPr>
              <w:pStyle w:val="Compact"/>
            </w:pPr>
            <w:r>
              <w:t xml:space="preserve">WorldFish</w:t>
            </w:r>
          </w:p>
        </w:tc>
        <w:tc>
          <w:tcPr/>
          <w:p>
            <w:pPr>
              <w:pStyle w:val="Compact"/>
            </w:pPr>
            <w:r>
              <w:t xml:space="preserve">3</w:t>
            </w:r>
          </w:p>
        </w:tc>
        <w:tc>
          <w:tcPr/>
          <w:p>
            <w:pPr>
              <w:pStyle w:val="Compact"/>
            </w:pPr>
            <w:r>
              <w:t xml:space="preserve">FishScores</w:t>
            </w:r>
          </w:p>
        </w:tc>
        <w:tc>
          <w:tcPr/>
          <w:p>
            <w:pPr>
              <w:pStyle w:val="Compact"/>
            </w:pPr>
            <w:r>
              <w:t xml:space="preserve">Mitigation</w:t>
            </w:r>
          </w:p>
        </w:tc>
        <w:tc>
          <w:tcPr/>
          <w:p>
            <w:pPr>
              <w:pStyle w:val="Compact"/>
            </w:pPr>
            <w:r>
              <w:t xml:space="preserve">Open</w:t>
            </w:r>
          </w:p>
        </w:tc>
        <w:tc>
          <w:tcPr/>
          <w:p>
            <w:pPr>
              <w:pStyle w:val="Compact"/>
            </w:pPr>
            <w:r>
              <w:t xml:space="preserve">Useful for specific mitigation and industry</w:t>
            </w:r>
            <w:r>
              <w:t xml:space="preserve"> </w:t>
            </w:r>
            <w:r>
              <w:t xml:space="preserve">decision contexts, but limited relevance for</w:t>
            </w:r>
            <w:r>
              <w:t xml:space="preserve"> </w:t>
            </w:r>
            <w:r>
              <w:t xml:space="preserve">national or system‑level Climate Action</w:t>
            </w:r>
            <w:r>
              <w:t xml:space="preserve"> </w:t>
            </w:r>
            <w:r>
              <w:t xml:space="preserve">analytics within a Hub framework.</w:t>
            </w:r>
          </w:p>
        </w:tc>
      </w:tr>
    </w:tbl>
    <w:p>
      <w:pPr>
        <w:sectPr>
          <w:pgSz w:w="15840" w:h="12240" w:orient="landscape"/>
          <w:pgMar w:top="720" w:bottom="720" w:left="720" w:right="720"/>
        </w:sectPr>
      </w:pPr>
    </w:p>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70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15</w:t>
      </w:r>
      <w:r>
        <w:t xml:space="preserve"> </w:t>
      </w:r>
      <w:r>
        <w:t xml:space="preserve">are open but need ingestion to become interoperable. These labels are advisory — verify format and licence per asset before committing.</w:t>
      </w:r>
    </w:p>
    <w:p>
      <w:pPr>
        <w:pStyle w:val="BodyText"/>
      </w:pPr>
      <w:r>
        <w:t xml:space="preserve">Of the 128 assets,</w:t>
      </w:r>
      <w:r>
        <w:t xml:space="preserve"> </w:t>
      </w:r>
      <w:r>
        <w:rPr>
          <w:b/>
          <w:bCs/>
        </w:rPr>
        <w:t xml:space="preserve">85</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1893"/>
        <w:gridCol w:w="1033"/>
        <w:gridCol w:w="516"/>
        <w:gridCol w:w="975"/>
        <w:gridCol w:w="2467"/>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Score</w:t>
            </w:r>
          </w:p>
        </w:tc>
        <w:tc>
          <w:tcPr/>
          <w:p>
            <w:pPr>
              <w:pStyle w:val="Compact"/>
            </w:pPr>
            <w:r>
              <w:t xml:space="preserve">Pathway</w:t>
            </w:r>
          </w:p>
        </w:tc>
        <w:tc>
          <w:tcPr/>
          <w:p>
            <w:pPr>
              <w:pStyle w:val="Compact"/>
            </w:pPr>
            <w:r>
              <w:t xml:space="preserve">Rationale</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Global spatial dataset of crop</w:t>
            </w:r>
            <w:r>
              <w:t xml:space="preserve"> </w:t>
            </w:r>
            <w:r>
              <w:t xml:space="preserve">production, area, and yield at ~10 km</w:t>
            </w:r>
            <w:r>
              <w:t xml:space="preserve"> </w:t>
            </w:r>
            <w:r>
              <w:t xml:space="preserve">resolution using data fusion methods</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The Africa flood hazard dataset utilizes</w:t>
            </w:r>
            <w:r>
              <w:t xml:space="preserve"> </w:t>
            </w:r>
            <w:r>
              <w:t xml:space="preserve">Earth Observation (EO) data to deliver</w:t>
            </w:r>
            <w:r>
              <w:t xml:space="preserve"> </w:t>
            </w:r>
            <w:r>
              <w:t xml:space="preserve">continent-wide flood monitoring at a 500</w:t>
            </w:r>
            <w:r>
              <w:t xml:space="preserve"> </w:t>
            </w:r>
            <w:r>
              <w:t xml:space="preserve">m spatial resolution. It is developed</w:t>
            </w:r>
            <w:r>
              <w:t xml:space="preserve"> </w:t>
            </w:r>
            <w:r>
              <w:t xml:space="preserve">using moderate-resolution NASA MODIS</w:t>
            </w:r>
            <w:r>
              <w:t xml:space="preserve"> </w:t>
            </w:r>
            <w:r>
              <w:t xml:space="preserve">data spanning 2001 to 2025 and is</w:t>
            </w:r>
            <w:r>
              <w:t xml:space="preserve"> </w:t>
            </w:r>
            <w:r>
              <w:t xml:space="preserve">available</w:t>
            </w:r>
          </w:p>
        </w:tc>
      </w:tr>
      <w:tr>
        <w:tc>
          <w:tcPr/>
          <w:p>
            <w:pPr>
              <w:pStyle w:val="Compact"/>
            </w:pPr>
            <w:r>
              <w:t xml:space="preserve">CIFOR-ICRAF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Strategic peatland mapping asset</w:t>
            </w:r>
            <w:r>
              <w:t xml:space="preserve"> </w:t>
            </w:r>
            <w:r>
              <w:t xml:space="preserve">supporting restoration, conservation</w:t>
            </w:r>
            <w:r>
              <w:t xml:space="preserve"> </w:t>
            </w:r>
            <w:r>
              <w:t xml:space="preserve">planning, and emissions mitigation</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Foundational Climate Action enabler.</w:t>
            </w:r>
            <w:r>
              <w:t xml:space="preserve"> </w:t>
            </w:r>
            <w:r>
              <w:t xml:space="preserve">FishBase underpins climate impact</w:t>
            </w:r>
            <w:r>
              <w:t xml:space="preserve"> </w:t>
            </w:r>
            <w:r>
              <w:t xml:space="preserve">models, exposure assessments, and</w:t>
            </w:r>
            <w:r>
              <w:t xml:space="preserve"> </w:t>
            </w:r>
            <w:r>
              <w:t xml:space="preserve">adaptation analyses by providing</w:t>
            </w:r>
            <w:r>
              <w:t xml:space="preserve"> </w:t>
            </w:r>
            <w:r>
              <w:t xml:space="preserve">species‑level biological and ecological</w:t>
            </w:r>
            <w:r>
              <w:t xml:space="preserve"> </w:t>
            </w:r>
            <w:r>
              <w:t xml:space="preserve">traits. Its interoperability and</w:t>
            </w:r>
            <w:r>
              <w:t xml:space="preserve"> </w:t>
            </w:r>
            <w:r>
              <w:t xml:space="preserve">long‑term maintenance make it</w:t>
            </w:r>
          </w:p>
        </w:tc>
      </w:tr>
      <w:tr>
        <w:tc>
          <w:tcPr/>
          <w:p>
            <w:pPr>
              <w:pStyle w:val="Compact"/>
            </w:pPr>
            <w:r>
              <w:t xml:space="preserve">CIFOR-ICRAF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Foundational mangrove carbon dataset</w:t>
            </w:r>
            <w:r>
              <w:t xml:space="preserve"> </w:t>
            </w:r>
            <w:r>
              <w:t xml:space="preserve">supporting climate mitigation planning,</w:t>
            </w:r>
            <w:r>
              <w:t xml:space="preserve"> </w:t>
            </w:r>
            <w:r>
              <w:t xml:space="preserve">carbon accounting, and restoration</w:t>
            </w:r>
            <w:r>
              <w:t xml:space="preserve"> </w:t>
            </w:r>
            <w:r>
              <w:t xml:space="preserve">policy in Indonesia and globally</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85</w:t>
            </w:r>
          </w:p>
        </w:tc>
        <w:tc>
          <w:tcPr/>
          <w:p>
            <w:pPr>
              <w:pStyle w:val="Compact"/>
            </w:pPr>
            <w:r>
              <w:t xml:space="preserve">Ingest</w:t>
            </w:r>
            <w:r>
              <w:t xml:space="preserve"> </w:t>
            </w:r>
            <w:r>
              <w:t xml:space="preserve">candidate</w:t>
            </w:r>
          </w:p>
        </w:tc>
        <w:tc>
          <w:tcPr/>
          <w:p>
            <w:pPr>
              <w:pStyle w:val="Compact"/>
            </w:pPr>
            <w:r>
              <w:t xml:space="preserve">Nuru: In-field Pest and Disease</w:t>
            </w:r>
            <w:r>
              <w:t xml:space="preserve"> </w:t>
            </w:r>
            <w:r>
              <w:t xml:space="preserve">Diagnosis has strategic value as a</w:t>
            </w:r>
            <w:r>
              <w:t xml:space="preserve"> </w:t>
            </w:r>
            <w:r>
              <w:t xml:space="preserve">digital agricultural support asset</w:t>
            </w:r>
            <w:r>
              <w:t xml:space="preserve"> </w:t>
            </w:r>
            <w:r>
              <w:t xml:space="preserve">designed to assist with rapid field-</w:t>
            </w:r>
            <w:r>
              <w:t xml:space="preserve"> </w:t>
            </w:r>
            <w:r>
              <w:t xml:space="preserve">level identification of crop pests and</w:t>
            </w:r>
            <w:r>
              <w:t xml:space="preserve"> </w:t>
            </w:r>
            <w:r>
              <w:t xml:space="preserve">diseases. Its relevance remains high in</w:t>
            </w:r>
            <w:r>
              <w:t xml:space="preserve"> </w:t>
            </w:r>
            <w:r>
              <w:t xml:space="preserve">the context of increasi</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p>
        </w:tc>
      </w:tr>
      <w:tr>
        <w:tc>
          <w:tcPr/>
          <w:p>
            <w:pPr>
              <w:pStyle w:val="Compact"/>
            </w:pPr>
            <w:r>
              <w:t xml:space="preserve">IWMI</w:t>
            </w:r>
          </w:p>
        </w:tc>
        <w:tc>
          <w:tcPr/>
          <w:p>
            <w:pPr>
              <w:pStyle w:val="Compact"/>
            </w:pPr>
            <w:r>
              <w:t xml:space="preserve">Irrigated Area Map</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Modelling</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r>
              <w:t xml:space="preserve"> </w:t>
            </w:r>
            <w:r>
              <w:t xml:space="preserve">resaearch</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84</w:t>
            </w:r>
          </w:p>
        </w:tc>
        <w:tc>
          <w:tcPr/>
          <w:p>
            <w:pPr>
              <w:pStyle w:val="Compact"/>
            </w:pPr>
            <w:r>
              <w:t xml:space="preserve">Federate or</w:t>
            </w:r>
            <w:r>
              <w:t xml:space="preserve"> </w:t>
            </w:r>
            <w:r>
              <w:t xml:space="preserve">light ingest</w:t>
            </w:r>
          </w:p>
        </w:tc>
        <w:tc>
          <w:tcPr/>
          <w:p>
            <w:pPr>
              <w:pStyle w:val="Compact"/>
            </w:pPr>
            <w:r>
              <w:t xml:space="preserve">An ecosystem of global, foundational</w:t>
            </w:r>
            <w:r>
              <w:t xml:space="preserve"> </w:t>
            </w:r>
            <w:r>
              <w:t xml:space="preserve">climate data and associated tools widely</w:t>
            </w:r>
            <w:r>
              <w:t xml:space="preserve"> </w:t>
            </w:r>
            <w:r>
              <w:t xml:space="preserve">used in adaptation analytics, climate</w:t>
            </w:r>
            <w:r>
              <w:t xml:space="preserve"> </w:t>
            </w:r>
            <w:r>
              <w:t xml:space="preserve">and crop modelling. It strategically</w:t>
            </w:r>
            <w:r>
              <w:t xml:space="preserve"> </w:t>
            </w:r>
            <w:r>
              <w:t xml:space="preserve">fills multiple gaps between direct GCM</w:t>
            </w:r>
            <w:r>
              <w:t xml:space="preserve"> </w:t>
            </w:r>
            <w:r>
              <w:t xml:space="preserve">outputs and more ready-to-use data</w:t>
            </w:r>
            <w:r>
              <w:t xml:space="preserve"> </w:t>
            </w:r>
            <w:r>
              <w:t xml:space="preserve">products for</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ILCYM is the highest-priority candidate</w:t>
            </w:r>
            <w:r>
              <w:t xml:space="preserve"> </w:t>
            </w:r>
            <w:r>
              <w:t xml:space="preserve">in this submission because it is a CIP-</w:t>
            </w:r>
            <w:r>
              <w:t xml:space="preserve"> </w:t>
            </w:r>
            <w:r>
              <w:t xml:space="preserve">developed climate-risk modelling</w:t>
            </w:r>
            <w:r>
              <w:t xml:space="preserve"> </w:t>
            </w:r>
            <w:r>
              <w:t xml:space="preserve">platform that directly links</w:t>
            </w:r>
            <w:r>
              <w:t xml:space="preserve"> </w:t>
            </w:r>
            <w:r>
              <w:t xml:space="preserve">temperature-driven insect biology with</w:t>
            </w:r>
            <w:r>
              <w:t xml:space="preserve"> </w:t>
            </w:r>
            <w:r>
              <w:t xml:space="preserve">pest and natural enemy risk assessment.</w:t>
            </w:r>
            <w:r>
              <w:t xml:space="preserve"> </w:t>
            </w:r>
            <w:r>
              <w:t xml:space="preserve">It supports developm</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Akilimo translate data on climate–soil</w:t>
            </w:r>
            <w:r>
              <w:t xml:space="preserve"> </w:t>
            </w:r>
            <w:r>
              <w:t xml:space="preserve">interactions into actionable insights</w:t>
            </w:r>
            <w:r>
              <w:t xml:space="preserve"> </w:t>
            </w:r>
            <w:r>
              <w:t xml:space="preserve">for farmers and systems. Enables</w:t>
            </w:r>
            <w:r>
              <w:t xml:space="preserve"> </w:t>
            </w:r>
            <w:r>
              <w:t xml:space="preserve">targeting, climate vulnerability</w:t>
            </w:r>
            <w:r>
              <w:t xml:space="preserve"> </w:t>
            </w:r>
            <w:r>
              <w:t xml:space="preserve">assessment, and segmentation for scaling</w:t>
            </w:r>
            <w:r>
              <w:t xml:space="preserve"> </w:t>
            </w:r>
            <w:r>
              <w:t xml:space="preserve">climate-smart interventions. Used by</w:t>
            </w:r>
            <w:r>
              <w:t xml:space="preserve"> </w:t>
            </w:r>
            <w:r>
              <w:t xml:space="preserve">extension agents to</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82</w:t>
            </w:r>
          </w:p>
        </w:tc>
        <w:tc>
          <w:tcPr/>
          <w:p>
            <w:pPr>
              <w:pStyle w:val="Compact"/>
            </w:pPr>
            <w:r>
              <w:t xml:space="preserve">Federate —</w:t>
            </w:r>
            <w:r>
              <w:t xml:space="preserve"> </w:t>
            </w:r>
            <w:r>
              <w:t xml:space="preserve">ready</w:t>
            </w:r>
          </w:p>
        </w:tc>
        <w:tc>
          <w:tcPr/>
          <w:p>
            <w:pPr>
              <w:pStyle w:val="Compact"/>
            </w:pPr>
            <w:r>
              <w:t xml:space="preserve">Lateblight Advisor / SIMCAST is a top</w:t>
            </w:r>
            <w:r>
              <w:t xml:space="preserve"> </w:t>
            </w:r>
            <w:r>
              <w:t xml:space="preserve">strategic Climate Data Hub candidate</w:t>
            </w:r>
            <w:r>
              <w:t xml:space="preserve"> </w:t>
            </w:r>
            <w:r>
              <w:t xml:space="preserve">because it directly connects climate</w:t>
            </w:r>
            <w:r>
              <w:t xml:space="preserve"> </w:t>
            </w:r>
            <w:r>
              <w:t xml:space="preserve">data to real-world advisory decisions</w:t>
            </w:r>
            <w:r>
              <w:t xml:space="preserve"> </w:t>
            </w:r>
            <w:r>
              <w:t xml:space="preserve">for potato late blight management. The</w:t>
            </w:r>
            <w:r>
              <w:t xml:space="preserve"> </w:t>
            </w:r>
            <w:r>
              <w:t xml:space="preserve">platform converts observed and forecast</w:t>
            </w:r>
            <w:r>
              <w:t xml:space="preserve"> </w:t>
            </w:r>
            <w:r>
              <w:t xml:space="preserve">weather int</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82</w:t>
            </w:r>
          </w:p>
        </w:tc>
        <w:tc>
          <w:tcPr/>
          <w:p>
            <w:pPr>
              <w:pStyle w:val="Compact"/>
            </w:pPr>
            <w:r>
              <w:t xml:space="preserve">Federate or</w:t>
            </w:r>
            <w:r>
              <w:t xml:space="preserve"> </w:t>
            </w:r>
            <w:r>
              <w:t xml:space="preserve">light ingest</w:t>
            </w:r>
          </w:p>
        </w:tc>
        <w:tc>
          <w:tcPr/>
          <w:p>
            <w:pPr>
              <w:pStyle w:val="Compact"/>
            </w:pPr>
            <w:r>
              <w:t xml:space="preserve">This asset provides strategic value as a</w:t>
            </w:r>
            <w:r>
              <w:t xml:space="preserve"> </w:t>
            </w:r>
            <w:r>
              <w:t xml:space="preserve">data-driven tool for anticipating</w:t>
            </w:r>
            <w:r>
              <w:t xml:space="preserve"> </w:t>
            </w:r>
            <w:r>
              <w:t xml:space="preserve">aflatoxin contamination risk in maize, a</w:t>
            </w:r>
            <w:r>
              <w:t xml:space="preserve"> </w:t>
            </w:r>
            <w:r>
              <w:t xml:space="preserve">major food safety and public health</w:t>
            </w:r>
            <w:r>
              <w:t xml:space="preserve"> </w:t>
            </w:r>
            <w:r>
              <w:t xml:space="preserve">concern in East and Southern Africa. By</w:t>
            </w:r>
            <w:r>
              <w:t xml:space="preserve"> </w:t>
            </w:r>
            <w:r>
              <w:t xml:space="preserve">translating climate and environmental</w:t>
            </w:r>
            <w:r>
              <w:t xml:space="preserve"> </w:t>
            </w:r>
            <w:r>
              <w:t xml:space="preserve">signals in</w:t>
            </w:r>
          </w:p>
        </w:tc>
      </w:tr>
      <w:tr>
        <w:tc>
          <w:tcPr/>
          <w:p>
            <w:pPr>
              <w:pStyle w:val="Compact"/>
            </w:pPr>
            <w:r>
              <w:t xml:space="preserve">CIFOR-ICRAF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81</w:t>
            </w:r>
          </w:p>
        </w:tc>
        <w:tc>
          <w:tcPr/>
          <w:p>
            <w:pPr>
              <w:pStyle w:val="Compact"/>
            </w:pPr>
            <w:r>
              <w:t xml:space="preserve">Federate or</w:t>
            </w:r>
            <w:r>
              <w:t xml:space="preserve"> </w:t>
            </w:r>
            <w:r>
              <w:t xml:space="preserve">light ingest</w:t>
            </w:r>
          </w:p>
        </w:tc>
        <w:tc>
          <w:tcPr/>
          <w:p>
            <w:pPr>
              <w:pStyle w:val="Compact"/>
            </w:pPr>
            <w:r>
              <w:t xml:space="preserve">Strong adaptation and restoration</w:t>
            </w:r>
            <w:r>
              <w:t xml:space="preserve"> </w:t>
            </w:r>
            <w:r>
              <w:t xml:space="preserve">relevance with reusable LDSF methodology</w:t>
            </w:r>
            <w:r>
              <w:t xml:space="preserve"> </w:t>
            </w:r>
            <w:r>
              <w:t xml:space="preserve">and operational restoration monitoring</w:t>
            </w:r>
            <w:r>
              <w:t xml:space="preserve"> </w:t>
            </w:r>
            <w:r>
              <w:t xml:space="preserve">applicability</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This asset represents a detailed</w:t>
            </w:r>
            <w:r>
              <w:t xml:space="preserve"> </w:t>
            </w:r>
            <w:r>
              <w:t xml:space="preserve">floristic dataset of plant species in a</w:t>
            </w:r>
            <w:r>
              <w:t xml:space="preserve"> </w:t>
            </w:r>
            <w:r>
              <w:t xml:space="preserve">restored forest ecosystem in Benin,</w:t>
            </w:r>
            <w:r>
              <w:t xml:space="preserve"> </w:t>
            </w:r>
            <w:r>
              <w:t xml:space="preserve">which may hold value for biodiversity</w:t>
            </w:r>
            <w:r>
              <w:t xml:space="preserve"> </w:t>
            </w:r>
            <w:r>
              <w:t xml:space="preserve">monitoring and ecological restoration</w:t>
            </w:r>
            <w:r>
              <w:t xml:space="preserve"> </w:t>
            </w:r>
            <w:r>
              <w:t xml:space="preserve">research. Its strategic value likely</w:t>
            </w:r>
            <w:r>
              <w:t xml:space="preserve"> </w:t>
            </w:r>
            <w:r>
              <w:t xml:space="preserve">lies in documentin</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SoySA10 provides national-scale 10 m</w:t>
            </w:r>
            <w:r>
              <w:t xml:space="preserve"> </w:t>
            </w:r>
            <w:r>
              <w:t xml:space="preserve">soybean distribution maps for South</w:t>
            </w:r>
            <w:r>
              <w:t xml:space="preserve"> </w:t>
            </w:r>
            <w:r>
              <w:t xml:space="preserve">Africa from 2018–2025, offering a recent</w:t>
            </w:r>
            <w:r>
              <w:t xml:space="preserve"> </w:t>
            </w:r>
            <w:r>
              <w:t xml:space="preserve">and spatially detailed dataset for</w:t>
            </w:r>
            <w:r>
              <w:t xml:space="preserve"> </w:t>
            </w:r>
            <w:r>
              <w:t xml:space="preserve">monitoring soybean cultivation dynamics.</w:t>
            </w:r>
            <w:r>
              <w:t xml:space="preserve"> </w:t>
            </w:r>
            <w:r>
              <w:t xml:space="preserve">Its strategic value lies in supporting</w:t>
            </w:r>
            <w:r>
              <w:t xml:space="preserve"> </w:t>
            </w:r>
            <w:r>
              <w:t xml:space="preserve">agricultura</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Dataset is valuable for advancing</w:t>
            </w:r>
            <w:r>
              <w:t xml:space="preserve"> </w:t>
            </w:r>
            <w:r>
              <w:t xml:space="preserve">research on genotype × environment ×</w:t>
            </w:r>
            <w:r>
              <w:t xml:space="preserve"> </w:t>
            </w:r>
            <w:r>
              <w:t xml:space="preserve">management interactions and adaptation</w:t>
            </w:r>
            <w:r>
              <w:t xml:space="preserve"> </w:t>
            </w:r>
            <w:r>
              <w:t xml:space="preserve">of soybean germplasm, supporting genetic</w:t>
            </w:r>
            <w:r>
              <w:t xml:space="preserve"> </w:t>
            </w:r>
            <w:r>
              <w:t xml:space="preserve">evaluation, environmental modeling, and</w:t>
            </w:r>
            <w:r>
              <w:t xml:space="preserve"> </w:t>
            </w:r>
            <w:r>
              <w:t xml:space="preserve">informed decision-making for soybean</w:t>
            </w:r>
            <w:r>
              <w:t xml:space="preserve"> </w:t>
            </w:r>
            <w:r>
              <w:t xml:space="preserve">expansion in</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79</w:t>
            </w:r>
          </w:p>
        </w:tc>
        <w:tc>
          <w:tcPr/>
          <w:p>
            <w:pPr>
              <w:pStyle w:val="Compact"/>
            </w:pPr>
            <w:r>
              <w:t xml:space="preserve">Federate or</w:t>
            </w:r>
            <w:r>
              <w:t xml:space="preserve"> </w:t>
            </w:r>
            <w:r>
              <w:t xml:space="preserve">light ingest</w:t>
            </w:r>
          </w:p>
        </w:tc>
        <w:tc>
          <w:tcPr/>
          <w:p>
            <w:pPr>
              <w:pStyle w:val="Compact"/>
            </w:pPr>
            <w:r>
              <w:t xml:space="preserve">Modelling, Advisory, Monitoring</w:t>
            </w:r>
          </w:p>
        </w:tc>
      </w:tr>
      <w:tr>
        <w:tc>
          <w:tcPr/>
          <w:p>
            <w:pPr>
              <w:pStyle w:val="Compact"/>
            </w:pPr>
            <w:r>
              <w:t xml:space="preserve">CIFOR-ICRAF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Supports comparative REDD+ policy</w:t>
            </w:r>
            <w:r>
              <w:t xml:space="preserve"> </w:t>
            </w:r>
            <w:r>
              <w:t xml:space="preserve">analysis, governance assessment, and</w:t>
            </w:r>
            <w:r>
              <w:t xml:space="preserve"> </w:t>
            </w:r>
            <w:r>
              <w:t xml:space="preserve">climate policy planning</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Strong foundational national hydro-</w:t>
            </w:r>
            <w:r>
              <w:t xml:space="preserve"> </w:t>
            </w:r>
            <w:r>
              <w:t xml:space="preserve">meteorological dataset for Peru. It</w:t>
            </w:r>
            <w:r>
              <w:t xml:space="preserve"> </w:t>
            </w:r>
            <w:r>
              <w:t xml:space="preserve">remains highly relevant because it</w:t>
            </w:r>
            <w:r>
              <w:t xml:space="preserve"> </w:t>
            </w:r>
            <w:r>
              <w:t xml:space="preserve">provides precipitation, temperature,</w:t>
            </w:r>
            <w:r>
              <w:t xml:space="preserve"> </w:t>
            </w:r>
            <w:r>
              <w:t xml:space="preserve">evapotranspiration and dew point-related</w:t>
            </w:r>
            <w:r>
              <w:t xml:space="preserve"> </w:t>
            </w:r>
            <w:r>
              <w:t xml:space="preserve">variables used in GeoSIMCAST and other</w:t>
            </w:r>
            <w:r>
              <w:t xml:space="preserve"> </w:t>
            </w:r>
            <w:r>
              <w:t xml:space="preserve">climate-risk work</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This asset is strategically valuable</w:t>
            </w:r>
            <w:r>
              <w:t xml:space="preserve"> </w:t>
            </w:r>
            <w:r>
              <w:t xml:space="preserve">because it provides harmonised, monthly,</w:t>
            </w:r>
            <w:r>
              <w:t xml:space="preserve"> </w:t>
            </w:r>
            <w:r>
              <w:t xml:space="preserve">multi-variable climate projection data</w:t>
            </w:r>
            <w:r>
              <w:t xml:space="preserve"> </w:t>
            </w:r>
            <w:r>
              <w:t xml:space="preserve">for Kenya, Ghana and Zambia under SSP245</w:t>
            </w:r>
            <w:r>
              <w:t xml:space="preserve"> </w:t>
            </w:r>
            <w:r>
              <w:t xml:space="preserve">and SSP585 for two future periods. It is</w:t>
            </w:r>
            <w:r>
              <w:t xml:space="preserve"> </w:t>
            </w:r>
            <w:r>
              <w:t xml:space="preserve">directly relevant to climate-health and</w:t>
            </w:r>
            <w:r>
              <w:t xml:space="preserve"> </w:t>
            </w:r>
            <w:r>
              <w:t xml:space="preserve">l</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Policy, intervenion/decision-support,</w:t>
            </w:r>
            <w:r>
              <w:t xml:space="preserve"> </w:t>
            </w:r>
            <w:r>
              <w:t xml:space="preserve">research</w:t>
            </w:r>
          </w:p>
        </w:tc>
      </w:tr>
      <w:tr>
        <w:tc>
          <w:tcPr/>
          <w:p>
            <w:pPr>
              <w:pStyle w:val="Compact"/>
            </w:pPr>
            <w:r>
              <w:t xml:space="preserve">CIFOR-ICRAF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Foundational African soil chemistry and</w:t>
            </w:r>
            <w:r>
              <w:t xml:space="preserve"> </w:t>
            </w:r>
            <w:r>
              <w:t xml:space="preserve">spectroscopy dataset with broad reuse</w:t>
            </w:r>
            <w:r>
              <w:t xml:space="preserve"> </w:t>
            </w:r>
            <w:r>
              <w:t xml:space="preserve">potential across land health and</w:t>
            </w:r>
            <w:r>
              <w:t xml:space="preserve"> </w:t>
            </w:r>
            <w:r>
              <w:t xml:space="preserve">restoration analytics.</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Advisory, Research</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Research, Modelling, Policy</w:t>
            </w:r>
          </w:p>
        </w:tc>
      </w:tr>
    </w:tbl>
    <w:p>
      <w:pPr>
        <w:sectPr>
          <w:pgSz w:w="15840" w:h="12240" w:orient="landscape"/>
          <w:pgMar w:top="720" w:bottom="720" w:left="720" w:right="720"/>
        </w:sectPr>
      </w:pPr>
    </w:p>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128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remains the thinnest domain (4 assets, all provisional IFPRI follow-up additions pending final ranking)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3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128</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70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now; use the centres’ 28 strategic nominations as the primary starting set rather than the only filter; open access conversations for the high-value-but-restricted assets in parallel; preprocess shared climate inputs once; and run a targeted next-round outreach to close visible gaps, especially where current submissions likely under-represent important domains such as adaptive capacity.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Run targeted gap-filling outreach</w:t>
      </w:r>
      <w:r>
        <w:t xml:space="preserve"> </w:t>
      </w:r>
      <w:r>
        <w:t xml:space="preserve">— use the Q2 workshop and other CGIAR channels to identify strong but currently under-represented assets in missing domains or geographies, especially adaptive-capacity assets and gaps in Latin America and Asia. This is already producing results: IFPRI’s July 2026 follow-up added five adaptation-focused assets (provisional, unranked pending their combined ranking). A similar round with ILRI could usefully broaden thematic coverage, helping ensure that the current submissions are complemented by a wider range of climate-relevant assets from across each centre.</w:t>
      </w:r>
    </w:p>
    <w:p>
      <w:pPr>
        <w:pStyle w:val="Compact"/>
        <w:numPr>
          <w:ilvl w:val="0"/>
          <w:numId w:val="1008"/>
        </w:numPr>
      </w:pPr>
      <w:r>
        <w:rPr>
          <w:b/>
          <w:bCs/>
        </w:rPr>
        <w:t xml:space="preserve">Prioritise assets for Hub integration</w:t>
      </w:r>
      <w:r>
        <w:t xml:space="preserve"> </w:t>
      </w:r>
      <w:r>
        <w:t xml:space="preserve">— use centre rank and Hub role to sequence technical work, but do not limit Phase 1 consideration strictly to the current top-three nominations where wider strategic value or obvious submission gaps suggest additional assets should be reviewed.</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p>
      <w:pPr>
        <w:pStyle w:val="BodyText"/>
      </w:pPr>
      <w:r>
        <w:rPr>
          <w:i/>
          <w:iCs/>
        </w:rPr>
        <w:t xml:space="preserve">Coordinator names are shown in bold in the table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w:t>
            </w:r>
            <w:r>
              <w:t xml:space="preserve"> </w:t>
            </w:r>
            <w:r>
              <w:rPr>
                <w:b/>
                <w:bCs/>
              </w:rPr>
              <w:t xml:space="preserve">Elliott Dossou-Yovo</w:t>
            </w:r>
            <w:r>
              <w:t xml:space="preserve">;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w:t>
            </w:r>
            <w:r>
              <w:t xml:space="preserve"> </w:t>
            </w:r>
            <w:r>
              <w:rPr>
                <w:b/>
                <w:bCs/>
              </w:rPr>
              <w:t xml:space="preserve">Xiaojing Wei</w:t>
            </w:r>
          </w:p>
        </w:tc>
      </w:tr>
      <w:tr>
        <w:tc>
          <w:tcPr/>
          <w:p>
            <w:pPr>
              <w:pStyle w:val="Compact"/>
            </w:pPr>
            <w:r>
              <w:t xml:space="preserve">CIFOR-ICRAF</w:t>
            </w:r>
          </w:p>
        </w:tc>
        <w:tc>
          <w:tcPr/>
          <w:p>
            <w:pPr>
              <w:pStyle w:val="Compact"/>
            </w:pPr>
            <w:r>
              <w:t xml:space="preserve">Ardhani, Trialaksita; Brockhaus, M.; Ickowitz, A.;</w:t>
            </w:r>
            <w:r>
              <w:t xml:space="preserve"> </w:t>
            </w:r>
            <w:r>
              <w:rPr>
                <w:b/>
                <w:bCs/>
              </w:rPr>
              <w:t xml:space="preserve">Sufiet Erlita</w:t>
            </w:r>
            <w:r>
              <w:t xml:space="preserve">; Tamba, Yvonne; Winowiecki, Leigh Ann; Winowiecki, Leigh Ann (ICRAF)</w:t>
            </w:r>
          </w:p>
        </w:tc>
      </w:tr>
      <w:tr>
        <w:tc>
          <w:tcPr/>
          <w:p>
            <w:pPr>
              <w:pStyle w:val="Compact"/>
            </w:pPr>
            <w:r>
              <w:t xml:space="preserve">CIP</w:t>
            </w:r>
          </w:p>
        </w:tc>
        <w:tc>
          <w:tcPr/>
          <w:p>
            <w:pPr>
              <w:pStyle w:val="Compact"/>
            </w:pPr>
            <w:r>
              <w:t xml:space="preserve">David Ramirez; Heidy Gamarra;</w:t>
            </w:r>
            <w:r>
              <w:t xml:space="preserve"> </w:t>
            </w:r>
            <w:r>
              <w:rPr>
                <w:b/>
                <w:bCs/>
              </w:rPr>
              <w:t xml:space="preserve">Henry Juarez</w:t>
            </w:r>
            <w:r>
              <w:t xml:space="preserve">; Robert Hijmans</w:t>
            </w:r>
          </w:p>
        </w:tc>
      </w:tr>
      <w:tr>
        <w:tc>
          <w:tcPr/>
          <w:p>
            <w:pPr>
              <w:pStyle w:val="Compact"/>
            </w:pPr>
            <w:r>
              <w:t xml:space="preserve">ICRISAT</w:t>
            </w:r>
          </w:p>
        </w:tc>
        <w:tc>
          <w:tcPr/>
          <w:p>
            <w:pPr>
              <w:pStyle w:val="Compact"/>
            </w:pPr>
            <w:r>
              <w:rPr>
                <w:b/>
                <w:bCs/>
              </w:rPr>
              <w:t xml:space="preserve">Mamta Sharma</w:t>
            </w:r>
            <w:r>
              <w:t xml:space="preserve">;</w:t>
            </w:r>
            <w:r>
              <w:t xml:space="preserve"> </w:t>
            </w:r>
            <w:r>
              <w:rPr>
                <w:b/>
                <w:bCs/>
              </w:rPr>
              <w:t xml:space="preserve">Raman Babu</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w:t>
            </w:r>
            <w:r>
              <w:t xml:space="preserve"> </w:t>
            </w:r>
            <w:r>
              <w:rPr>
                <w:b/>
                <w:bCs/>
              </w:rPr>
              <w:t xml:space="preserve">Francis Muthoni</w:t>
            </w:r>
            <w:r>
              <w:t xml:space="preserve">;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Anton Urfels;</w:t>
            </w:r>
            <w:r>
              <w:t xml:space="preserve"> </w:t>
            </w:r>
            <w:r>
              <w:rPr>
                <w:b/>
                <w:bCs/>
              </w:rPr>
              <w:t xml:space="preserve">Emma Quicho-Diangkinay</w:t>
            </w:r>
          </w:p>
        </w:tc>
      </w:tr>
      <w:tr>
        <w:tc>
          <w:tcPr/>
          <w:p>
            <w:pPr>
              <w:pStyle w:val="Compact"/>
            </w:pPr>
            <w:r>
              <w:t xml:space="preserve">IWMI</w:t>
            </w:r>
          </w:p>
        </w:tc>
        <w:tc>
          <w:tcPr/>
          <w:p>
            <w:pPr>
              <w:pStyle w:val="Compact"/>
            </w:pPr>
            <w:r>
              <w:rPr>
                <w:b/>
                <w:bCs/>
              </w:rPr>
              <w:t xml:space="preserve">Giriraj Amarnath</w:t>
            </w:r>
            <w:r>
              <w:t xml:space="preserve">; Niranga Alahacoon</w:t>
            </w:r>
          </w:p>
        </w:tc>
      </w:tr>
      <w:tr>
        <w:tc>
          <w:tcPr/>
          <w:p>
            <w:pPr>
              <w:pStyle w:val="Compact"/>
            </w:pPr>
            <w:r>
              <w:t xml:space="preserve">WorldFish</w:t>
            </w:r>
          </w:p>
        </w:tc>
        <w:tc>
          <w:tcPr/>
          <w:p>
            <w:pPr>
              <w:pStyle w:val="Compact"/>
            </w:pPr>
            <w:r>
              <w:t xml:space="preserve">Michelle Tigchelaar; Thomas Kirina</w:t>
            </w:r>
          </w:p>
        </w:tc>
      </w:tr>
    </w:tbl>
    <w:p>
      <w:pPr>
        <w:pStyle w:val="BodyText"/>
      </w:pPr>
      <w:r>
        <w:rPr>
          <w:i/>
          <w:iCs/>
        </w:rPr>
        <w:t xml:space="preserve">IRRI note:</w:t>
      </w:r>
      <w:r>
        <w:t xml:space="preserve"> </w:t>
      </w:r>
      <w:r>
        <w:t xml:space="preserve">Emma Quicho-Diangkinay coordinated the IRRI submission. The current submission records list Anton Urfels as nominator on the catalogued items, but broader IRRI contributor attribution is being checked and may be updated after review.</w:t>
      </w:r>
    </w:p>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4" w:name="data-access-and-reproducibility"/>
    <w:p>
      <w:pPr>
        <w:pStyle w:val="Heading2"/>
      </w:pPr>
      <w:r>
        <w:t xml:space="preserve">Data Access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AI-assisted records.</w:t>
      </w:r>
      <w:r>
        <w:t xml:space="preserve"> </w:t>
      </w:r>
      <w:r>
        <w:t xml:space="preserve">The five IFPRI assets added in the July 2026 follow-up carry descriptions drafted with AI assistance from their Harvard Dataverse records and related publications; each is marked</w:t>
      </w:r>
      <w:r>
        <w:t xml:space="preserve"> </w:t>
      </w:r>
      <w:r>
        <w:rPr>
          <w:i/>
          <w:iCs/>
        </w:rPr>
        <w:t xml:space="preserve">[AI-drafted from the Harvard Dataverse record and related publications - pending IFPRI review]</w:t>
      </w:r>
      <w:r>
        <w:t xml:space="preserve"> </w:t>
      </w:r>
      <w:r>
        <w:t xml:space="preserve">in the asset record (visible in</w:t>
      </w:r>
      <w:r>
        <w:t xml:space="preserve"> </w:t>
      </w:r>
      <w:hyperlink w:anchor="annex-a">
        <w:r>
          <w:rPr>
            <w:rStyle w:val="Hyperlink"/>
          </w:rPr>
          <w:t xml:space="preserve">Annex A</w:t>
        </w:r>
      </w:hyperlink>
      <w:r>
        <w:t xml:space="preserve"> </w:t>
      </w:r>
      <w:r>
        <w:t xml:space="preserve">and the dashboard) until IFPRI confirms the wording. Their use and importance fields were left blank deliberately for IFPRI to complete, and the assets are unranked pending IFPRI’s combined ranking.</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p>
      <w:r>
        <w:pict>
          <v:rect style="width:0;height:1.5pt" o:hralign="center" o:hrstd="t" o:hr="t"/>
        </w:pict>
      </w:r>
    </w:p>
    <w:bookmarkEnd w:id="94"/>
    <w:bookmarkStart w:id="121" w:name="feedback-and-review"/>
    <w:p>
      <w:pPr>
        <w:pStyle w:val="Heading2"/>
      </w:pPr>
      <w:r>
        <w:t xml:space="preserve">Feedback and Review</w:t>
      </w:r>
    </w:p>
    <w:bookmarkStart w:id="100"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We want to hear it.</w:t>
      </w:r>
      <w:r>
        <w:t xml:space="preserve"> </w:t>
      </w:r>
      <w:r>
        <w:rPr>
          <w:b/>
          <w:bCs/>
        </w:rPr>
        <w:t xml:space="preserve">No GitHub account is needed</w:t>
      </w:r>
      <w:r>
        <w:t xml:space="preserve"> </w:t>
      </w:r>
      <w:r>
        <w:t xml:space="preserve">— use the feedback form; responses are routed automatically into the project’s GitHub issue tracker so every item is triaged and resolved (pipeline documented in</w:t>
      </w:r>
      <w:r>
        <w:t xml:space="preserve"> </w:t>
      </w:r>
      <w:hyperlink r:id="rId95">
        <w:r>
          <w:rPr>
            <w:rStyle w:val="VerbatimChar"/>
          </w:rPr>
          <w:t xml:space="preserve">FEEDBACK.md</w:t>
        </w:r>
      </w:hyperlink>
      <w:r>
        <w:t xml:space="preserve">).</w:t>
      </w:r>
    </w:p>
    <w:p>
      <w:pPr>
        <w:pStyle w:val="BlockText"/>
      </w:pPr>
      <w:r>
        <w:t xml:space="preserve">📝</w:t>
      </w:r>
      <w:r>
        <w:t xml:space="preserve"> </w:t>
      </w:r>
      <w:hyperlink r:id="rId96">
        <w:r>
          <w:rPr>
            <w:rStyle w:val="Hyperlink"/>
            <w:b/>
            <w:bCs/>
          </w:rPr>
          <w:t xml:space="preserve">Give feedback / suggest a correction or asset</w:t>
        </w:r>
      </w:hyperlink>
      <w:r>
        <w:t xml:space="preserve"> </w:t>
      </w:r>
      <w:r>
        <w:t xml:space="preserve">— 2-minute form, no login.</w:t>
      </w:r>
    </w:p>
    <w:p>
      <w:pPr>
        <w:pStyle w:val="FirstParagraph"/>
      </w:pPr>
      <w:r>
        <w:t xml:space="preserve">If you do use GitHub, you can instead open a pre-filled issue directly:</w:t>
      </w:r>
      <w:r>
        <w:t xml:space="preserve"> </w:t>
      </w:r>
      <w:hyperlink r:id="rId97">
        <w:r>
          <w:rPr>
            <w:rStyle w:val="Hyperlink"/>
          </w:rPr>
          <w:t xml:space="preserve">correct a record</w:t>
        </w:r>
      </w:hyperlink>
      <w:r>
        <w:t xml:space="preserve">,</w:t>
      </w:r>
      <w:r>
        <w:t xml:space="preserve"> </w:t>
      </w:r>
      <w:hyperlink r:id="rId98">
        <w:r>
          <w:rPr>
            <w:rStyle w:val="Hyperlink"/>
          </w:rPr>
          <w:t xml:space="preserve">suggest a missing asset</w:t>
        </w:r>
      </w:hyperlink>
      <w:r>
        <w:t xml:space="preserve">, or</w:t>
      </w:r>
      <w:r>
        <w:t xml:space="preserve"> </w:t>
      </w:r>
      <w:hyperlink r:id="rId99">
        <w:r>
          <w:rPr>
            <w:rStyle w:val="Hyperlink"/>
          </w:rPr>
          <w:t xml:space="preserve">general feedback</w:t>
        </w:r>
      </w:hyperlink>
      <w:r>
        <w:t xml:space="preserve">.</w:t>
      </w:r>
    </w:p>
    <w:p>
      <w:pPr>
        <w:pStyle w:val="BodyText"/>
      </w:pPr>
      <w:r>
        <w:t xml:space="preserve">The HTML edition of this report also carries a comment thread at the bottom of the page (GitHub login required), backed by the repository’s GitHub Discussions — handy for quick remarks that don’t warrant a full issue. The same thread is embedded in the interactive dashboard.</w:t>
      </w:r>
    </w:p>
    <w:bookmarkEnd w:id="100"/>
    <w:bookmarkStart w:id="120" w:name="review-participation"/>
    <w:p>
      <w:pPr>
        <w:pStyle w:val="Heading3"/>
      </w:pPr>
      <w:r>
        <w:t xml:space="preserve">Review participation</w:t>
      </w:r>
    </w:p>
    <w:p>
      <w:pPr>
        <w:pStyle w:val="FirstParagraph"/>
      </w:pPr>
      <w:r>
        <w:t xml:space="preserve">Review of this work is tracked as part of programme participation. To date:</w:t>
      </w:r>
      <w:r>
        <w:t xml:space="preserve"> </w:t>
      </w:r>
      <w:r>
        <w:rPr>
          <w:b/>
          <w:bCs/>
        </w:rPr>
        <w:t xml:space="preserve">5 reviewers</w:t>
      </w:r>
      <w:r>
        <w:t xml:space="preserve"> </w:t>
      </w:r>
      <w:r>
        <w:t xml:space="preserve">across</w:t>
      </w:r>
      <w:r>
        <w:t xml:space="preserve"> </w:t>
      </w:r>
      <w:r>
        <w:rPr>
          <w:b/>
          <w:bCs/>
        </w:rPr>
        <w:t xml:space="preserve">4 review events</w:t>
      </w:r>
      <w:r>
        <w:t xml:space="preserve">, generating</w:t>
      </w:r>
      <w:r>
        <w:t xml:space="preserve"> </w:t>
      </w:r>
      <w:r>
        <w:rPr>
          <w:b/>
          <w:bCs/>
        </w:rPr>
        <w:t xml:space="preserve">14 tracked feedback items</w:t>
      </w:r>
      <w:r>
        <w:t xml:space="preserve">. The log is maintained in</w:t>
      </w:r>
      <w:r>
        <w:t xml:space="preserve"> </w:t>
      </w:r>
      <w:hyperlink r:id="rId101">
        <w:r>
          <w:rPr>
            <w:rStyle w:val="VerbatimChar"/>
          </w:rPr>
          <w:t xml:space="preserve">data/review_log.json</w:t>
        </w:r>
      </w:hyperlink>
      <w:r>
        <w:t xml:space="preserve"> </w:t>
      </w:r>
      <w:r>
        <w:t xml:space="preserve">and covers all channels (feedback form, GitHub, email, documents).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Reviewer(s)</w:t>
            </w:r>
          </w:p>
        </w:tc>
        <w:tc>
          <w:tcPr/>
          <w:p>
            <w:pPr>
              <w:pStyle w:val="Compact"/>
            </w:pPr>
            <w:r>
              <w:t xml:space="preserve">Affiliation</w:t>
            </w:r>
          </w:p>
        </w:tc>
        <w:tc>
          <w:tcPr/>
          <w:p>
            <w:pPr>
              <w:pStyle w:val="Compact"/>
            </w:pPr>
            <w:r>
              <w:t xml:space="preserve">Channel</w:t>
            </w:r>
          </w:p>
        </w:tc>
        <w:tc>
          <w:tcPr/>
          <w:p>
            <w:pPr>
              <w:pStyle w:val="Compact"/>
            </w:pPr>
            <w:r>
              <w:t xml:space="preserve">Scope</w:t>
            </w:r>
          </w:p>
        </w:tc>
        <w:tc>
          <w:tcPr/>
          <w:p>
            <w:pPr>
              <w:pStyle w:val="Compact"/>
            </w:pPr>
            <w:r>
              <w:t xml:space="preserve">Feedback items</w:t>
            </w:r>
          </w:p>
        </w:tc>
      </w:tr>
      <w:tr>
        <w:tc>
          <w:tcPr/>
          <w:p>
            <w:pPr>
              <w:pStyle w:val="Compact"/>
            </w:pPr>
            <w:r>
              <w:t xml:space="preserve">2026-06-17</w:t>
            </w:r>
          </w:p>
        </w:tc>
        <w:tc>
          <w:tcPr/>
          <w:p>
            <w:pPr>
              <w:pStyle w:val="Compact"/>
            </w:pPr>
            <w:r>
              <w:t xml:space="preserve">Brayden Youngberg</w:t>
            </w:r>
          </w:p>
        </w:tc>
        <w:tc>
          <w:tcPr/>
          <w:p>
            <w:pPr>
              <w:pStyle w:val="Compact"/>
            </w:pPr>
            <w:r>
              <w:t xml:space="preserve">Alliance of Bioversity International and CIAT</w:t>
            </w:r>
          </w:p>
        </w:tc>
        <w:tc>
          <w:tcPr/>
          <w:p>
            <w:pPr>
              <w:pStyle w:val="Compact"/>
            </w:pPr>
            <w:r>
              <w:t xml:space="preserve">GitHub issue</w:t>
            </w:r>
          </w:p>
        </w:tc>
        <w:tc>
          <w:tcPr/>
          <w:p>
            <w:pPr>
              <w:pStyle w:val="Compact"/>
            </w:pPr>
            <w:r>
              <w:t xml:space="preserve">Report</w:t>
            </w:r>
          </w:p>
        </w:tc>
        <w:tc>
          <w:tcPr/>
          <w:p>
            <w:pPr>
              <w:pStyle w:val="Compact"/>
            </w:pPr>
            <w:hyperlink r:id="rId102">
              <w:r>
                <w:rPr>
                  <w:rStyle w:val="Hyperlink"/>
                </w:rPr>
                <w:t xml:space="preserve">#1</w:t>
              </w:r>
            </w:hyperlink>
          </w:p>
        </w:tc>
      </w:tr>
      <w:tr>
        <w:tc>
          <w:tcPr/>
          <w:p>
            <w:pPr>
              <w:pStyle w:val="Compact"/>
            </w:pPr>
            <w:r>
              <w:t xml:space="preserve">2026-06-18</w:t>
            </w:r>
          </w:p>
        </w:tc>
        <w:tc>
          <w:tcPr/>
          <w:p>
            <w:pPr>
              <w:pStyle w:val="Compact"/>
            </w:pPr>
            <w:r>
              <w:t xml:space="preserve">Brayden Youngberg</w:t>
            </w:r>
          </w:p>
        </w:tc>
        <w:tc>
          <w:tcPr/>
          <w:p>
            <w:pPr>
              <w:pStyle w:val="Compact"/>
            </w:pPr>
            <w:r>
              <w:t xml:space="preserve">Alliance of Bioversity International and CIAT</w:t>
            </w:r>
          </w:p>
        </w:tc>
        <w:tc>
          <w:tcPr/>
          <w:p>
            <w:pPr>
              <w:pStyle w:val="Compact"/>
            </w:pPr>
            <w:r>
              <w:t xml:space="preserve">GitHub issue</w:t>
            </w:r>
          </w:p>
        </w:tc>
        <w:tc>
          <w:tcPr/>
          <w:p>
            <w:pPr>
              <w:pStyle w:val="Compact"/>
            </w:pPr>
            <w:r>
              <w:t xml:space="preserve">Report</w:t>
            </w:r>
          </w:p>
        </w:tc>
        <w:tc>
          <w:tcPr/>
          <w:p>
            <w:pPr>
              <w:pStyle w:val="Compact"/>
            </w:pPr>
            <w:hyperlink r:id="rId103">
              <w:r>
                <w:rPr>
                  <w:rStyle w:val="Hyperlink"/>
                </w:rPr>
                <w:t xml:space="preserve">#4</w:t>
              </w:r>
            </w:hyperlink>
          </w:p>
        </w:tc>
      </w:tr>
      <w:tr>
        <w:tc>
          <w:tcPr/>
          <w:p>
            <w:pPr>
              <w:pStyle w:val="Compact"/>
            </w:pPr>
            <w:r>
              <w:t xml:space="preserve">2026-06-29</w:t>
            </w:r>
          </w:p>
        </w:tc>
        <w:tc>
          <w:tcPr/>
          <w:p>
            <w:pPr>
              <w:pStyle w:val="Compact"/>
            </w:pPr>
            <w:r>
              <w:t xml:space="preserve">Michelle Tigchelaar</w:t>
            </w:r>
          </w:p>
        </w:tc>
        <w:tc>
          <w:tcPr/>
          <w:p>
            <w:pPr>
              <w:pStyle w:val="Compact"/>
            </w:pPr>
            <w:r>
              <w:t xml:space="preserve">Stanford University</w:t>
            </w:r>
          </w:p>
        </w:tc>
        <w:tc>
          <w:tcPr/>
          <w:p>
            <w:pPr>
              <w:pStyle w:val="Compact"/>
            </w:pPr>
            <w:r>
              <w:t xml:space="preserve">GitHub issue</w:t>
            </w:r>
          </w:p>
        </w:tc>
        <w:tc>
          <w:tcPr/>
          <w:p>
            <w:pPr>
              <w:pStyle w:val="Compact"/>
            </w:pPr>
            <w:r>
              <w:t xml:space="preserve">Report</w:t>
            </w:r>
          </w:p>
        </w:tc>
        <w:tc>
          <w:tcPr/>
          <w:p>
            <w:pPr>
              <w:pStyle w:val="Compact"/>
            </w:pPr>
            <w:hyperlink r:id="rId104">
              <w:r>
                <w:rPr>
                  <w:rStyle w:val="Hyperlink"/>
                </w:rPr>
                <w:t xml:space="preserve">#5</w:t>
              </w:r>
            </w:hyperlink>
            <w:r>
              <w:t xml:space="preserve">,</w:t>
            </w:r>
            <w:r>
              <w:t xml:space="preserve"> </w:t>
            </w:r>
            <w:hyperlink r:id="rId105">
              <w:r>
                <w:rPr>
                  <w:rStyle w:val="Hyperlink"/>
                </w:rPr>
                <w:t xml:space="preserve">#6</w:t>
              </w:r>
            </w:hyperlink>
          </w:p>
        </w:tc>
      </w:tr>
      <w:tr>
        <w:tc>
          <w:tcPr/>
          <w:p>
            <w:pPr>
              <w:pStyle w:val="Compact"/>
            </w:pPr>
            <w:r>
              <w:t xml:space="preserve">2026-07-08</w:t>
            </w:r>
          </w:p>
        </w:tc>
        <w:tc>
          <w:tcPr/>
          <w:p>
            <w:pPr>
              <w:pStyle w:val="Compact"/>
            </w:pPr>
            <w:r>
              <w:t xml:space="preserve">Alcade Segnon, Franck Tonle, Robert Zougmore</w:t>
            </w:r>
          </w:p>
        </w:tc>
        <w:tc>
          <w:tcPr/>
          <w:p>
            <w:pPr>
              <w:pStyle w:val="Compact"/>
            </w:pPr>
            <w:r>
              <w:t xml:space="preserve">Alliance of Bioversity International and CIAT</w:t>
            </w:r>
          </w:p>
        </w:tc>
        <w:tc>
          <w:tcPr/>
          <w:p>
            <w:pPr>
              <w:pStyle w:val="Compact"/>
            </w:pPr>
            <w:r>
              <w:t xml:space="preserve">Email + PDF document</w:t>
            </w:r>
          </w:p>
        </w:tc>
        <w:tc>
          <w:tcPr/>
          <w:p>
            <w:pPr>
              <w:pStyle w:val="Compact"/>
            </w:pPr>
            <w:r>
              <w:t xml:space="preserve">Dashboard</w:t>
            </w:r>
          </w:p>
        </w:tc>
        <w:tc>
          <w:tcPr/>
          <w:p>
            <w:pPr>
              <w:pStyle w:val="Compact"/>
            </w:pPr>
            <w:hyperlink r:id="rId106">
              <w:r>
                <w:rPr>
                  <w:rStyle w:val="Hyperlink"/>
                </w:rPr>
                <w:t xml:space="preserve">#7</w:t>
              </w:r>
            </w:hyperlink>
            <w:r>
              <w:t xml:space="preserve">,</w:t>
            </w:r>
            <w:r>
              <w:t xml:space="preserve"> </w:t>
            </w:r>
            <w:hyperlink r:id="rId107">
              <w:r>
                <w:rPr>
                  <w:rStyle w:val="Hyperlink"/>
                </w:rPr>
                <w:t xml:space="preserve">#8</w:t>
              </w:r>
            </w:hyperlink>
            <w:r>
              <w:t xml:space="preserve">,</w:t>
            </w:r>
            <w:r>
              <w:t xml:space="preserve"> </w:t>
            </w:r>
            <w:hyperlink r:id="rId108">
              <w:r>
                <w:rPr>
                  <w:rStyle w:val="Hyperlink"/>
                </w:rPr>
                <w:t xml:space="preserve">#9</w:t>
              </w:r>
            </w:hyperlink>
            <w:r>
              <w:t xml:space="preserve">,</w:t>
            </w:r>
            <w:r>
              <w:t xml:space="preserve"> </w:t>
            </w:r>
            <w:hyperlink r:id="rId109">
              <w:r>
                <w:rPr>
                  <w:rStyle w:val="Hyperlink"/>
                </w:rPr>
                <w:t xml:space="preserve">#10</w:t>
              </w:r>
            </w:hyperlink>
            <w:r>
              <w:t xml:space="preserve">,</w:t>
            </w:r>
            <w:r>
              <w:t xml:space="preserve"> </w:t>
            </w:r>
            <w:hyperlink r:id="rId110">
              <w:r>
                <w:rPr>
                  <w:rStyle w:val="Hyperlink"/>
                </w:rPr>
                <w:t xml:space="preserve">#11</w:t>
              </w:r>
            </w:hyperlink>
            <w:r>
              <w:t xml:space="preserve">,</w:t>
            </w:r>
            <w:r>
              <w:t xml:space="preserve"> </w:t>
            </w:r>
            <w:hyperlink r:id="rId111">
              <w:r>
                <w:rPr>
                  <w:rStyle w:val="Hyperlink"/>
                </w:rPr>
                <w:t xml:space="preserve">#12</w:t>
              </w:r>
            </w:hyperlink>
            <w:r>
              <w:t xml:space="preserve">,</w:t>
            </w:r>
            <w:r>
              <w:t xml:space="preserve"> </w:t>
            </w:r>
            <w:hyperlink r:id="rId112">
              <w:r>
                <w:rPr>
                  <w:rStyle w:val="Hyperlink"/>
                </w:rPr>
                <w:t xml:space="preserve">#13</w:t>
              </w:r>
            </w:hyperlink>
            <w:r>
              <w:t xml:space="preserve">,</w:t>
            </w:r>
            <w:r>
              <w:t xml:space="preserve"> </w:t>
            </w:r>
            <w:hyperlink r:id="rId113">
              <w:r>
                <w:rPr>
                  <w:rStyle w:val="Hyperlink"/>
                </w:rPr>
                <w:t xml:space="preserve">#14</w:t>
              </w:r>
            </w:hyperlink>
            <w:r>
              <w:t xml:space="preserve">,</w:t>
            </w:r>
            <w:r>
              <w:t xml:space="preserve"> </w:t>
            </w:r>
            <w:hyperlink r:id="rId114">
              <w:r>
                <w:rPr>
                  <w:rStyle w:val="Hyperlink"/>
                </w:rPr>
                <w:t xml:space="preserve">#15</w:t>
              </w:r>
            </w:hyperlink>
            <w:r>
              <w:t xml:space="preserve">,</w:t>
            </w:r>
            <w:r>
              <w:t xml:space="preserve"> </w:t>
            </w:r>
            <w:hyperlink r:id="rId115">
              <w:r>
                <w:rPr>
                  <w:rStyle w:val="Hyperlink"/>
                </w:rPr>
                <w:t xml:space="preserve">#16</w:t>
              </w:r>
            </w:hyperlink>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Current review feedback themes</w:t>
            </w:r>
          </w:p>
          <w:p>
            <w:pPr>
              <w:pStyle w:val="BodyText"/>
            </w:pPr>
            <w:pPr>
              <w:spacing w:before="16"/>
            </w:pPr>
            <w:r>
              <w:rPr>
                <w:i/>
                <w:iCs/>
              </w:rPr>
              <w:t xml:space="preserve">Last updated: 9 July 2026.</w:t>
            </w:r>
            <w:r>
              <w:t xml:space="preserve"> </w:t>
            </w:r>
            <w:r>
              <w:t xml:space="preserve">This internal-review note summarises the current open feedback themes logged in GitHub. It is included for transparency and may change as comments are resolved; it is</w:t>
            </w:r>
            <w:r>
              <w:t xml:space="preserve"> </w:t>
            </w:r>
            <w:r>
              <w:rPr>
                <w:b/>
                <w:bCs/>
              </w:rPr>
              <w:t xml:space="preserve">not</w:t>
            </w:r>
            <w:r>
              <w:t xml:space="preserve"> </w:t>
            </w:r>
            <w:r>
              <w:t xml:space="preserve">part of the asset statistics above. Some points from this feedback have already been incorporated into</w:t>
            </w:r>
            <w:r>
              <w:t xml:space="preserve"> </w:t>
            </w:r>
            <w:hyperlink w:anchor="sec-8">
              <w:r>
                <w:rPr>
                  <w:rStyle w:val="Hyperlink"/>
                </w:rPr>
                <w:t xml:space="preserve">Section 8</w:t>
              </w:r>
            </w:hyperlink>
            <w:r>
              <w:t xml:space="preserve"> </w:t>
            </w:r>
            <w:r>
              <w:t xml:space="preserve">(Next Steps).</w:t>
            </w:r>
          </w:p>
          <w:p>
            <w:pPr>
              <w:pStyle w:val="Compact"/>
              <w:numPr>
                <w:ilvl w:val="0"/>
                <w:numId w:val="1011"/>
              </w:numPr>
            </w:pPr>
            <w:r>
              <w:rPr>
                <w:b/>
                <w:bCs/>
              </w:rPr>
              <w:t xml:space="preserve">Resolved</w:t>
            </w:r>
            <w:r>
              <w:t xml:space="preserve"> </w:t>
            </w:r>
            <w:r>
              <w:t xml:space="preserve">— the Alliance team’s systematic dashboard review (8 July 2026) logged ten issues covering navigation, filter consistency, coverage-map totals, responsiveness, and accessibility; eight are fixed and closed, and two data-completeness items (missing data links, unconfirmed contact emails) remain open pending centre outreach (</w:t>
            </w:r>
            <w:hyperlink r:id="rId111">
              <w:r>
                <w:rPr>
                  <w:rStyle w:val="Hyperlink"/>
                </w:rPr>
                <w:t xml:space="preserve">#12</w:t>
              </w:r>
            </w:hyperlink>
            <w:r>
              <w:t xml:space="preserve">,</w:t>
            </w:r>
            <w:r>
              <w:t xml:space="preserve"> </w:t>
            </w:r>
            <w:hyperlink r:id="rId112">
              <w:r>
                <w:rPr>
                  <w:rStyle w:val="Hyperlink"/>
                </w:rPr>
                <w:t xml:space="preserve">#13</w:t>
              </w:r>
            </w:hyperlink>
            <w:r>
              <w:t xml:space="preserve">).</w:t>
            </w:r>
          </w:p>
          <w:p>
            <w:pPr>
              <w:pStyle w:val="Compact"/>
              <w:numPr>
                <w:ilvl w:val="0"/>
                <w:numId w:val="1011"/>
              </w:numPr>
            </w:pPr>
            <w:r>
              <w:rPr>
                <w:b/>
                <w:bCs/>
              </w:rPr>
              <w:t xml:space="preserve">Implemented in the revised recommendations</w:t>
            </w:r>
            <w:r>
              <w:t xml:space="preserve"> </w:t>
            </w:r>
            <w:r>
              <w:t xml:space="preserve">— targeted gap-filling outreach and a broader prioritisation approach that does not treat current top-three nominations as the only candidates for Phase 1 review (</w:t>
            </w:r>
            <w:hyperlink r:id="rId104">
              <w:r>
                <w:rPr>
                  <w:rStyle w:val="Hyperlink"/>
                </w:rPr>
                <w:t xml:space="preserve">#5</w:t>
              </w:r>
            </w:hyperlink>
            <w:r>
              <w:t xml:space="preserve">,</w:t>
            </w:r>
            <w:r>
              <w:t xml:space="preserve"> </w:t>
            </w:r>
            <w:hyperlink r:id="rId105">
              <w:r>
                <w:rPr>
                  <w:rStyle w:val="Hyperlink"/>
                </w:rPr>
                <w:t xml:space="preserve">#6</w:t>
              </w:r>
            </w:hyperlink>
            <w:r>
              <w:t xml:space="preserve">).</w:t>
            </w:r>
          </w:p>
          <w:p>
            <w:pPr>
              <w:pStyle w:val="Compact"/>
              <w:numPr>
                <w:ilvl w:val="0"/>
                <w:numId w:val="1011"/>
              </w:numPr>
            </w:pPr>
            <w:r>
              <w:rPr>
                <w:b/>
                <w:bCs/>
              </w:rPr>
              <w:t xml:space="preserve">Still open for discussion</w:t>
            </w:r>
            <w:r>
              <w:t xml:space="preserve"> </w:t>
            </w:r>
            <w:r>
              <w:t xml:space="preserve">— complement this catalogue of assets produced with evidence on which climate datasets, boundaries, and crop or land-use maps people actually use across CGIAR (</w:t>
            </w:r>
            <w:hyperlink r:id="rId103">
              <w:r>
                <w:rPr>
                  <w:rStyle w:val="Hyperlink"/>
                </w:rPr>
                <w:t xml:space="preserve">#4</w:t>
              </w:r>
            </w:hyperlink>
            <w:r>
              <w:t xml:space="preserve">).</w:t>
            </w:r>
          </w:p>
          <w:p>
            <w:pPr>
              <w:pStyle w:val="Compact"/>
              <w:numPr>
                <w:ilvl w:val="0"/>
                <w:numId w:val="1011"/>
              </w:numPr>
            </w:pPr>
            <w:r>
              <w:rPr>
                <w:b/>
                <w:bCs/>
              </w:rPr>
              <w:t xml:space="preserve">Still open for discussion</w:t>
            </w:r>
            <w:r>
              <w:t xml:space="preserve"> </w:t>
            </w:r>
            <w:r>
              <w:t xml:space="preserve">— clarify governance for inclusion decisions, consider whether restricted-access assets should receive lower near-term priority, and distinguish underlying datasets from tools or catalogues (</w:t>
            </w:r>
            <w:hyperlink r:id="rId102">
              <w:r>
                <w:rPr>
                  <w:rStyle w:val="Hyperlink"/>
                </w:rPr>
                <w:t xml:space="preserve">#1</w:t>
              </w:r>
            </w:hyperlink>
            <w:r>
              <w:t xml:space="preserve">).</w:t>
            </w:r>
          </w:p>
          <w:p>
            <w:pPr>
              <w:pStyle w:val="FirstParagraph"/>
            </w:pPr>
            <w:pPr>
              <w:spacing w:after="16"/>
            </w:pPr>
            <w:r>
              <w:t xml:space="preserve">Interested readers can view the live GitHub discussion:</w:t>
            </w:r>
            <w:r>
              <w:t xml:space="preserve"> </w:t>
            </w:r>
            <w:hyperlink r:id="rId119">
              <w:r>
                <w:rPr>
                  <w:rStyle w:val="Hyperlink"/>
                </w:rPr>
                <w:t xml:space="preserve">all open feedback issues</w:t>
              </w:r>
            </w:hyperlink>
            <w:r>
              <w:t xml:space="preserve"> </w:t>
            </w:r>
            <w:r>
              <w:t xml:space="preserve">or</w:t>
            </w:r>
            <w:r>
              <w:t xml:space="preserve"> </w:t>
            </w:r>
            <w:hyperlink r:id="rId105">
              <w:r>
                <w:rPr>
                  <w:rStyle w:val="Hyperlink"/>
                </w:rPr>
                <w:t xml:space="preserve">#6</w:t>
              </w:r>
            </w:hyperlink>
            <w:r>
              <w:t xml:space="preserve">,</w:t>
            </w:r>
            <w:r>
              <w:t xml:space="preserve"> </w:t>
            </w:r>
            <w:hyperlink r:id="rId104">
              <w:r>
                <w:rPr>
                  <w:rStyle w:val="Hyperlink"/>
                </w:rPr>
                <w:t xml:space="preserve">#5</w:t>
              </w:r>
            </w:hyperlink>
            <w:r>
              <w:t xml:space="preserve">,</w:t>
            </w:r>
            <w:r>
              <w:t xml:space="preserve"> </w:t>
            </w:r>
            <w:hyperlink r:id="rId103">
              <w:r>
                <w:rPr>
                  <w:rStyle w:val="Hyperlink"/>
                </w:rPr>
                <w:t xml:space="preserve">#4</w:t>
              </w:r>
            </w:hyperlink>
            <w:r>
              <w:t xml:space="preserve">,</w:t>
            </w:r>
            <w:r>
              <w:t xml:space="preserve"> </w:t>
            </w:r>
            <w:hyperlink r:id="rId102">
              <w:r>
                <w:rPr>
                  <w:rStyle w:val="Hyperlink"/>
                </w:rPr>
                <w:t xml:space="preserve">#1</w:t>
              </w:r>
            </w:hyperlink>
            <w:r>
              <w:t xml:space="preserve">.</w:t>
            </w:r>
          </w:p>
        </w:tc>
      </w:tr>
    </w:tbl>
    <w:p>
      <w:r>
        <w:pict>
          <v:rect style="width:0;height:1.5pt" o:hralign="center" o:hrstd="t" o:hr="t"/>
        </w:pict>
      </w:r>
    </w:p>
    <w:bookmarkEnd w:id="120"/>
    <w:bookmarkEnd w:id="121"/>
    <w:bookmarkStart w:id="122" w:name="annex-a"/>
    <w:p>
      <w:pPr>
        <w:pStyle w:val="Heading2"/>
      </w:pPr>
      <w:r>
        <w:t xml:space="preserve">Annex A — Full asset list</w:t>
      </w:r>
    </w:p>
    <w:p>
      <w:pPr>
        <w:pStyle w:val="FirstParagraph"/>
      </w:pPr>
      <w:r>
        <w:rPr>
          <w:i/>
          <w:iCs/>
        </w:rPr>
        <w:t xml:space="preserve">All 128 catalogued assets, sortable and filterable in the HTML edition. Use the search box to find a centre, domain, or asset.</w:t>
      </w:r>
    </w:p>
    <w:p>
      <w:pPr>
        <w:sectPr>
          <w:type w:val="nextPage"/>
          <w:pgSz w:w="12240" w:h="15840"/>
        </w:sectPr>
      </w:pPr>
    </w:p>
    <w:tbl>
      <w:tblPr>
        <w:tblStyle w:val="Table"/>
        <w:tblW w:type="pct" w:w="4783"/>
        <w:tblLayout w:type="fixed"/>
        <w:tblLook w:firstRow="1" w:lastRow="0" w:firstColumn="0" w:lastColumn="0" w:noHBand="0" w:noVBand="0" w:val="0020"/>
      </w:tblPr>
      <w:tblGrid>
        <w:gridCol w:w="746"/>
        <w:gridCol w:w="1893"/>
        <w:gridCol w:w="975"/>
        <w:gridCol w:w="918"/>
        <w:gridCol w:w="860"/>
        <w:gridCol w:w="459"/>
        <w:gridCol w:w="746"/>
        <w:gridCol w:w="975"/>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Geography</w:t>
            </w:r>
          </w:p>
        </w:tc>
        <w:tc>
          <w:tcPr/>
          <w:p>
            <w:pPr>
              <w:pStyle w:val="Compact"/>
            </w:pPr>
            <w:r>
              <w:t xml:space="preserve">Type</w:t>
            </w:r>
          </w:p>
        </w:tc>
        <w:tc>
          <w:tcPr/>
          <w:p>
            <w:pPr>
              <w:pStyle w:val="Compact"/>
            </w:pPr>
            <w:r>
              <w:t xml:space="preserve">Score</w:t>
            </w:r>
          </w:p>
        </w:tc>
        <w:tc>
          <w:tcPr/>
          <w:p>
            <w:pPr>
              <w:pStyle w:val="Compact"/>
            </w:pPr>
            <w:r>
              <w:t xml:space="preserve">Access</w:t>
            </w:r>
          </w:p>
        </w:tc>
        <w:tc>
          <w:tcPr/>
          <w:p>
            <w:pPr>
              <w:pStyle w:val="Compact"/>
            </w:pPr>
            <w:r>
              <w:t xml:space="preserve">Pathway</w:t>
            </w:r>
          </w:p>
        </w:tc>
      </w:tr>
      <w:tr>
        <w:tc>
          <w:tcPr/>
          <w:p>
            <w:pPr>
              <w:pStyle w:val="Compact"/>
            </w:pPr>
            <w:r>
              <w:t xml:space="preserve">AfricaRice</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97.0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information service</w:t>
            </w:r>
            <w:r>
              <w:t xml:space="preserve"> </w:t>
            </w:r>
            <w:r>
              <w:t xml:space="preserve">datasets used in digital</w:t>
            </w:r>
            <w:r>
              <w:t xml:space="preserve"> </w:t>
            </w:r>
            <w:r>
              <w:t xml:space="preserve">advisories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RiceAdvice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92.0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90.0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Disaster Risk Management</w:t>
            </w:r>
            <w:r>
              <w:t xml:space="preserve"> </w:t>
            </w:r>
            <w:r>
              <w:t xml:space="preserve">(DRM)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risk indicators</w:t>
            </w:r>
            <w:r>
              <w:t xml:space="preserve"> </w:t>
            </w:r>
            <w:r>
              <w:t xml:space="preserve">datasets (drought, flood, heat</w:t>
            </w:r>
            <w:r>
              <w:t xml:space="preserve"> </w:t>
            </w:r>
            <w:r>
              <w:t xml:space="preserve">stress) for rice systems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RIICE satellite-derived rice</w:t>
            </w:r>
            <w:r>
              <w:t xml:space="preserve"> </w:t>
            </w:r>
            <w:r>
              <w:t xml:space="preserve">monitoring and climate impact</w:t>
            </w:r>
            <w:r>
              <w:t xml:space="preserve"> </w:t>
            </w:r>
            <w:r>
              <w:t xml:space="preserve">dataset</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CGIAR-</w:t>
            </w:r>
            <w:r>
              <w:t xml:space="preserve"> </w:t>
            </w:r>
            <w:r>
              <w:t xml:space="preserve">produced</w:t>
            </w:r>
          </w:p>
        </w:tc>
        <w:tc>
          <w:tcPr/>
          <w:p>
            <w:pPr>
              <w:pStyle w:val="Compact"/>
            </w:pPr>
            <w:r>
              <w:t xml:space="preserve">88.0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hamonized cropland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87.0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Flood risk and submergence</w:t>
            </w:r>
            <w:r>
              <w:t xml:space="preserve"> </w:t>
            </w:r>
            <w:r>
              <w:t xml:space="preserve">hazard datasets for inland</w:t>
            </w:r>
            <w:r>
              <w:t xml:space="preserve"> </w:t>
            </w:r>
            <w:r>
              <w:t xml:space="preserve">valley landscapes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86.0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Global</w:t>
            </w:r>
          </w:p>
        </w:tc>
        <w:tc>
          <w:tcPr/>
          <w:p>
            <w:pPr>
              <w:pStyle w:val="Compact"/>
            </w:pPr>
            <w:r>
              <w:t xml:space="preserve">External</w:t>
            </w:r>
          </w:p>
        </w:tc>
        <w:tc>
          <w:tcPr/>
          <w:p>
            <w:pPr>
              <w:pStyle w:val="Compact"/>
            </w:pPr>
            <w:r>
              <w:t xml:space="preserve">86.0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85.0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IWMI</w:t>
            </w:r>
          </w:p>
        </w:tc>
        <w:tc>
          <w:tcPr/>
          <w:p>
            <w:pPr>
              <w:pStyle w:val="Compact"/>
            </w:pPr>
            <w:r>
              <w:t xml:space="preserve">Surface Water Extent</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85.0</w:t>
            </w:r>
          </w:p>
        </w:tc>
        <w:tc>
          <w:tcPr/>
          <w:p>
            <w:pPr>
              <w:pStyle w:val="Compact"/>
            </w:pPr>
            <w:r>
              <w:t xml:space="preserve">Unknown</w:t>
            </w:r>
          </w:p>
        </w:tc>
        <w:tc>
          <w:tcPr/>
          <w:p>
            <w:pPr>
              <w:pStyle w:val="Compact"/>
            </w:pPr>
            <w:r>
              <w:t xml:space="preserve">Assess</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Irrigated Area Map</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Climate Suitability for</w:t>
            </w:r>
            <w:r>
              <w:t xml:space="preserve"> </w:t>
            </w:r>
            <w:r>
              <w:t xml:space="preserve">Crop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 yield gap decomposition</w:t>
            </w:r>
            <w:r>
              <w:t xml:space="preserve"> </w:t>
            </w:r>
            <w:r>
              <w:t xml:space="preserve">dataset with climate, resource</w:t>
            </w:r>
            <w:r>
              <w:t xml:space="preserve"> </w:t>
            </w:r>
            <w:r>
              <w:t xml:space="preserve">and management components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84.0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Soybean rust (SBR) risk</w:t>
            </w:r>
            <w:r>
              <w:t xml:space="preserve"> </w:t>
            </w:r>
            <w:r>
              <w:t xml:space="preserve">hotspot</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Temperature-Related Stress</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Country-level DSR Suitability</w:t>
            </w:r>
            <w:r>
              <w:t xml:space="preserve"> </w:t>
            </w:r>
            <w:r>
              <w:t xml:space="preserve">Assessment 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NDVI-Anomaly based Drought</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AWD Suitability Maps</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NDFI-based Flood Risk</w:t>
            </w:r>
            <w:r>
              <w:t xml:space="preserve"> </w:t>
            </w:r>
            <w:r>
              <w:t xml:space="preserve">Assessment</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Rice Mitigation Hotspots and</w:t>
            </w:r>
            <w:r>
              <w:t xml:space="preserve"> </w:t>
            </w:r>
            <w:r>
              <w:t xml:space="preserve">Mitigation Pathway Maps</w:t>
            </w:r>
            <w:r>
              <w:t xml:space="preserve"> </w:t>
            </w:r>
            <w:r>
              <w:t xml:space="preserve">(currently being developed)</w:t>
            </w:r>
          </w:p>
        </w:tc>
        <w:tc>
          <w:tcPr/>
          <w:p>
            <w:pPr>
              <w:pStyle w:val="Compact"/>
            </w:pP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83.0</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Asia / South</w:t>
            </w:r>
            <w:r>
              <w:t xml:space="preserve"> </w:t>
            </w:r>
            <w:r>
              <w:t xml:space="preserve">&amp; SE Asia</w:t>
            </w:r>
          </w:p>
        </w:tc>
        <w:tc>
          <w:tcPr/>
          <w:p>
            <w:pPr>
              <w:pStyle w:val="Compact"/>
            </w:pPr>
            <w:r>
              <w:t xml:space="preserve">Uncategorise</w:t>
            </w:r>
            <w:r>
              <w:t xml:space="preserve"> </w:t>
            </w:r>
            <w:r>
              <w:t xml:space="preserve">d</w:t>
            </w:r>
          </w:p>
        </w:tc>
        <w:tc>
          <w:tcPr/>
          <w:p>
            <w:pPr>
              <w:pStyle w:val="Compact"/>
            </w:pPr>
            <w:r>
              <w:t xml:space="preserve">82.0</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Global</w:t>
            </w:r>
          </w:p>
        </w:tc>
        <w:tc>
          <w:tcPr/>
          <w:p>
            <w:pPr>
              <w:pStyle w:val="Compact"/>
            </w:pPr>
            <w:r>
              <w:t xml:space="preserve">External</w:t>
            </w:r>
          </w:p>
        </w:tc>
        <w:tc>
          <w:tcPr/>
          <w:p>
            <w:pPr>
              <w:pStyle w:val="Compact"/>
            </w:pPr>
            <w:r>
              <w:t xml:space="preserve">78.0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78.0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IRRI</w:t>
            </w:r>
          </w:p>
        </w:tc>
        <w:tc>
          <w:tcPr/>
          <w:p>
            <w:pPr>
              <w:pStyle w:val="Compact"/>
            </w:pPr>
            <w:r>
              <w:t xml:space="preserve">Rice-GEM</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78.0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IRRI’s LTCCE</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78.0</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RCMAS</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78.0</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Global multi-crop agricultural</w:t>
            </w:r>
            <w:r>
              <w:t xml:space="preserve"> </w:t>
            </w:r>
            <w:r>
              <w:t xml:space="preserve">trial data (tricot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Alliance Crop Observatories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World Bank Open Data</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CHIRPS</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Citizen-H2D3</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District-Level Climate</w:t>
            </w:r>
            <w:r>
              <w:t xml:space="preserve"> </w:t>
            </w:r>
            <w:r>
              <w:t xml:space="preserve">Projection Time-Series Dataset</w:t>
            </w:r>
            <w:r>
              <w:t xml:space="preserve"> </w:t>
            </w:r>
            <w:r>
              <w:t xml:space="preserve">for Kenya, 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Bio-Oracle</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Simulated rice yield datasets</w:t>
            </w:r>
            <w:r>
              <w:t xml:space="preserve"> </w:t>
            </w:r>
            <w:r>
              <w:t xml:space="preserve">under current and future</w:t>
            </w:r>
            <w:r>
              <w:t xml:space="preserve"> </w:t>
            </w:r>
            <w:r>
              <w:t xml:space="preserve">climates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73.0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Improved Knowledge of the Role</w:t>
            </w:r>
            <w:r>
              <w:t xml:space="preserve"> </w:t>
            </w:r>
            <w:r>
              <w:t xml:space="preserve">of the Forests for Food</w:t>
            </w:r>
            <w:r>
              <w:t xml:space="preserve"> </w:t>
            </w:r>
            <w:r>
              <w:t xml:space="preserve">Security and Nutrition in</w:t>
            </w:r>
            <w:r>
              <w:t xml:space="preserve"> </w:t>
            </w:r>
            <w:r>
              <w:t xml:space="preserve">Congo Basin Phase 2: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73.0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Biophysical baseline</w:t>
            </w:r>
            <w:r>
              <w:t xml:space="preserve"> </w:t>
            </w:r>
            <w:r>
              <w:t xml:space="preserve">assessment within the KCEP-</w:t>
            </w:r>
            <w:r>
              <w:t xml:space="preserve"> </w:t>
            </w:r>
            <w:r>
              <w:t xml:space="preserve">CRAL action areas in Kenya,</w:t>
            </w:r>
            <w:r>
              <w:t xml:space="preserve"> </w:t>
            </w:r>
            <w:r>
              <w:t xml:space="preserve">using the LDSF</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73.0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73.0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WorldClim v2.1 Global Climate</w:t>
            </w:r>
            <w:r>
              <w:t xml:space="preserve"> </w:t>
            </w:r>
            <w:r>
              <w:t xml:space="preserve">Surfaces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Nutrient omission, planting</w:t>
            </w:r>
            <w:r>
              <w:t xml:space="preserve"> </w:t>
            </w:r>
            <w:r>
              <w:t xml:space="preserve">window, crop arrangement, and</w:t>
            </w:r>
            <w:r>
              <w:t xml:space="preserve"> </w:t>
            </w:r>
            <w:r>
              <w:t xml:space="preserve">management data in Chinyanja</w:t>
            </w:r>
            <w:r>
              <w:t xml:space="preserve"> </w:t>
            </w:r>
            <w:r>
              <w:t xml:space="preserve">Triangle</w:t>
            </w:r>
          </w:p>
        </w:tc>
        <w:tc>
          <w:tcPr/>
          <w:p>
            <w:pPr>
              <w:pStyle w:val="Compact"/>
            </w:pPr>
            <w:r>
              <w:t xml:space="preserve">Not specified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Dataset for the evaluation of</w:t>
            </w:r>
            <w:r>
              <w:t xml:space="preserve"> </w:t>
            </w:r>
            <w:r>
              <w:t xml:space="preserve">forest and landscape</w:t>
            </w:r>
            <w:r>
              <w:t xml:space="preserve"> </w:t>
            </w:r>
            <w:r>
              <w:t xml:space="preserve">restoration in Northern</w:t>
            </w:r>
            <w:r>
              <w:t xml:space="preserve"> </w:t>
            </w:r>
            <w:r>
              <w:t xml:space="preserve">Ethiopia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Seasonal Crop type map from</w:t>
            </w:r>
            <w:r>
              <w:t xml:space="preserve"> </w:t>
            </w:r>
            <w:r>
              <w:t xml:space="preserve">Foundation model</w:t>
            </w:r>
          </w:p>
        </w:tc>
        <w:tc>
          <w:tcPr/>
          <w:p>
            <w:pPr>
              <w:pStyle w:val="Compact"/>
            </w:pPr>
            <w:r>
              <w:t xml:space="preserve">Exposure</w:t>
            </w:r>
          </w:p>
        </w:tc>
        <w:tc>
          <w:tcPr/>
          <w:p>
            <w:pPr>
              <w:pStyle w:val="Compact"/>
            </w:pPr>
            <w:r>
              <w:t xml:space="preserve">Africa</w:t>
            </w:r>
          </w:p>
        </w:tc>
        <w:tc>
          <w:tcPr/>
          <w:p>
            <w:pPr>
              <w:pStyle w:val="Compact"/>
            </w:pPr>
            <w:r>
              <w:t xml:space="preserve">Co-produced</w:t>
            </w:r>
          </w:p>
        </w:tc>
        <w:tc>
          <w:tcPr/>
          <w:p>
            <w:pPr>
              <w:pStyle w:val="Compact"/>
            </w:pPr>
            <w:r>
              <w:t xml:space="preserve">71.0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Tortilla Platform Off the</w:t>
            </w:r>
            <w:r>
              <w:t xml:space="preserve"> </w:t>
            </w:r>
            <w:r>
              <w:t xml:space="preserve">Griddle -TOR 2-</w:t>
            </w:r>
          </w:p>
        </w:tc>
        <w:tc>
          <w:tcPr/>
          <w:p>
            <w:pPr>
              <w:pStyle w:val="Compact"/>
            </w:pPr>
            <w:r>
              <w:t xml:space="preserve">Adaptation</w:t>
            </w:r>
            <w:r>
              <w:t xml:space="preserve"> </w:t>
            </w:r>
            <w:r>
              <w:t xml:space="preserve">Analytics</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70.0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Extreme Climate Indices</w:t>
            </w:r>
            <w:r>
              <w:t xml:space="preserve"> </w:t>
            </w:r>
            <w:r>
              <w:t xml:space="preserve">Dataset for Drought, Heat and</w:t>
            </w:r>
            <w:r>
              <w:t xml:space="preserve"> </w:t>
            </w:r>
            <w:r>
              <w:t xml:space="preserve">Heavy Rainfall</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climatrends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69.0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FinAccess Household Survey</w:t>
            </w:r>
            <w:r>
              <w:t xml:space="preserve"> </w:t>
            </w:r>
            <w:r>
              <w:t xml:space="preserve">(KNBS)</w:t>
            </w:r>
          </w:p>
        </w:tc>
        <w:tc>
          <w:tcPr/>
          <w:p>
            <w:pPr>
              <w:pStyle w:val="Compact"/>
            </w:pPr>
            <w:r>
              <w:t xml:space="preserve">Climate Policy</w:t>
            </w:r>
            <w:r>
              <w:t xml:space="preserve"> </w:t>
            </w:r>
            <w:r>
              <w:t xml:space="preserve">/ Finance</w:t>
            </w:r>
          </w:p>
        </w:tc>
        <w:tc>
          <w:tcPr/>
          <w:p>
            <w:pPr>
              <w:pStyle w:val="Compact"/>
            </w:pPr>
            <w:r>
              <w:t xml:space="preserve">Africa</w:t>
            </w:r>
          </w:p>
        </w:tc>
        <w:tc>
          <w:tcPr/>
          <w:p>
            <w:pPr>
              <w:pStyle w:val="Compact"/>
            </w:pPr>
            <w:r>
              <w:t xml:space="preserve">External</w:t>
            </w:r>
          </w:p>
        </w:tc>
        <w:tc>
          <w:tcPr/>
          <w:p>
            <w:pPr>
              <w:pStyle w:val="Compact"/>
            </w:pPr>
            <w:r>
              <w:t xml:space="preserve">69.0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Crop specific suitablity</w:t>
            </w:r>
            <w:r>
              <w:t xml:space="preserve"> </w:t>
            </w:r>
            <w:r>
              <w:t xml:space="preserve">layers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HFCP Nigeria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69.0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Climatic water balance</w:t>
            </w:r>
            <w:r>
              <w:t xml:space="preserve"> </w:t>
            </w:r>
            <w:r>
              <w:t xml:space="preserve">datasets for rice-based</w:t>
            </w:r>
            <w:r>
              <w:t xml:space="preserve"> </w:t>
            </w:r>
            <w:r>
              <w:t xml:space="preserve">systems (derived:</w:t>
            </w:r>
            <w:r>
              <w:t xml:space="preserve"> </w:t>
            </w:r>
            <w:r>
              <w:t xml:space="preserve">rainfall–ET–irrigation)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Spatial Assessments of Changes</w:t>
            </w:r>
            <w:r>
              <w:t xml:space="preserve"> </w:t>
            </w:r>
            <w:r>
              <w:t xml:space="preserve">in Soil Health Indicators</w:t>
            </w:r>
            <w:r>
              <w:t xml:space="preserve"> </w:t>
            </w:r>
            <w:r>
              <w:t xml:space="preserve">(Benin, 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WeatherAPI — Operational Real-</w:t>
            </w:r>
            <w:r>
              <w:t xml:space="preserve"> </w:t>
            </w:r>
            <w:r>
              <w:t xml:space="preserve">Time and Forecast Weather Data</w:t>
            </w:r>
            <w:r>
              <w:t xml:space="preserve"> </w:t>
            </w:r>
            <w:r>
              <w:t xml:space="preserve">Service for SIMCAST /</w:t>
            </w:r>
            <w:r>
              <w:t xml:space="preserve"> </w:t>
            </w:r>
            <w:r>
              <w:t xml:space="preserve">Lateblight Advisor</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External</w:t>
            </w:r>
          </w:p>
        </w:tc>
        <w:tc>
          <w:tcPr/>
          <w:p>
            <w:pPr>
              <w:pStyle w:val="Compact"/>
            </w:pPr>
            <w:r>
              <w:t xml:space="preserve">68.0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subnational</w:t>
            </w:r>
            <w:r>
              <w:t xml:space="preserve"> </w:t>
            </w:r>
            <w:r>
              <w:t xml:space="preserve">agricultural statistics</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AquaCrop-ready climate</w:t>
            </w:r>
            <w:r>
              <w:t xml:space="preserve"> </w:t>
            </w:r>
            <w:r>
              <w:t xml:space="preserve">datasets for rice and off-</w:t>
            </w:r>
            <w:r>
              <w:t xml:space="preserve"> </w:t>
            </w:r>
            <w:r>
              <w:t xml:space="preserve">season crops (current and</w:t>
            </w:r>
            <w:r>
              <w:t xml:space="preserve"> </w:t>
            </w:r>
            <w:r>
              <w:t xml:space="preserve">future yield and adaptation</w:t>
            </w:r>
            <w:r>
              <w:t xml:space="preserve"> </w:t>
            </w:r>
            <w:r>
              <w:t xml:space="preserve">solutions)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67.0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Mitigating risks of disease</w:t>
            </w:r>
            <w:r>
              <w:t xml:space="preserve"> </w:t>
            </w:r>
            <w:r>
              <w:t xml:space="preserve">transmission in the wild meat</w:t>
            </w:r>
            <w:r>
              <w:t xml:space="preserve"> </w:t>
            </w:r>
            <w:r>
              <w:t xml:space="preserve">food chain from forest to fork</w:t>
            </w:r>
            <w:r>
              <w:t xml:space="preserve"> </w:t>
            </w:r>
            <w:r>
              <w:t xml:space="preserve">in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67.0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Time series of global</w:t>
            </w:r>
            <w:r>
              <w:t xml:space="preserve"> </w:t>
            </w:r>
            <w:r>
              <w:t xml:space="preserve">harmonized cropland extent</w:t>
            </w:r>
            <w:r>
              <w:t xml:space="preserve"> </w:t>
            </w:r>
            <w:r>
              <w:t xml:space="preserve">from 2011 to 2020</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67.0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ILRI</w:t>
            </w:r>
          </w:p>
        </w:tc>
        <w:tc>
          <w:tcPr/>
          <w:p>
            <w:pPr>
              <w:pStyle w:val="Compact"/>
            </w:pPr>
            <w:r>
              <w:t xml:space="preserve">C3S Multi-Model Seasonal</w:t>
            </w:r>
            <w:r>
              <w:t xml:space="preserve"> </w:t>
            </w:r>
            <w:r>
              <w:t xml:space="preserve">Forecast Processing Dataset</w:t>
            </w:r>
            <w:r>
              <w:t xml:space="preserve"> </w:t>
            </w:r>
            <w:r>
              <w:t xml:space="preserve">for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FishStatJ</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Climate-induced agricultural</w:t>
            </w:r>
            <w:r>
              <w:t xml:space="preserve"> </w:t>
            </w:r>
            <w:r>
              <w:t xml:space="preserve">land suitability change</w:t>
            </w:r>
            <w:r>
              <w:t xml:space="preserve"> </w:t>
            </w:r>
            <w:r>
              <w:t xml:space="preserve">dataset</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Biophysical Soil and Land</w:t>
            </w:r>
            <w:r>
              <w:t xml:space="preserve"> </w:t>
            </w:r>
            <w:r>
              <w:t xml:space="preserve">Health Assessment in the</w:t>
            </w:r>
            <w:r>
              <w:t xml:space="preserve"> </w:t>
            </w:r>
            <w:r>
              <w:t xml:space="preserve">Gambia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System dynamics model for</w:t>
            </w:r>
            <w:r>
              <w:t xml:space="preserve"> </w:t>
            </w:r>
            <w:r>
              <w:t xml:space="preserve">exploring synergies, trade-</w:t>
            </w:r>
            <w:r>
              <w:t xml:space="preserve"> </w:t>
            </w:r>
            <w:r>
              <w:t xml:space="preserve">offs, and resilience</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WorldFish</w:t>
            </w:r>
          </w:p>
        </w:tc>
        <w:tc>
          <w:tcPr/>
          <w:p>
            <w:pPr>
              <w:pStyle w:val="Compact"/>
            </w:pPr>
            <w:r>
              <w:t xml:space="preserve">FishScores</w:t>
            </w:r>
          </w:p>
        </w:tc>
        <w:tc>
          <w:tcPr/>
          <w:p>
            <w:pPr>
              <w:pStyle w:val="Compact"/>
            </w:pPr>
            <w:r>
              <w:t xml:space="preserve">Mitigation</w:t>
            </w:r>
          </w:p>
        </w:tc>
        <w:tc>
          <w:tcPr/>
          <w:p>
            <w:pPr>
              <w:pStyle w:val="Compact"/>
            </w:pPr>
            <w:r>
              <w:t xml:space="preserve">Global</w:t>
            </w:r>
          </w:p>
        </w:tc>
        <w:tc>
          <w:tcPr/>
          <w:p>
            <w:pPr>
              <w:pStyle w:val="Compact"/>
            </w:pPr>
            <w:r>
              <w:t xml:space="preserve">Co-produced</w:t>
            </w:r>
          </w:p>
        </w:tc>
        <w:tc>
          <w:tcPr/>
          <w:p>
            <w:pPr>
              <w:pStyle w:val="Compact"/>
            </w:pPr>
            <w:r>
              <w:t xml:space="preserve">66.0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Climatologies at High</w:t>
            </w:r>
            <w:r>
              <w:t xml:space="preserve"> </w:t>
            </w:r>
            <w:r>
              <w:t xml:space="preserve">resolution for the Earth’s</w:t>
            </w:r>
            <w:r>
              <w:t xml:space="preserve"> </w:t>
            </w:r>
            <w:r>
              <w:t xml:space="preserve">Land Surface Areas (CHELSA)</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TIPCIP – Thermal Image</w:t>
            </w:r>
            <w:r>
              <w:t xml:space="preserve"> </w:t>
            </w:r>
            <w:r>
              <w:t xml:space="preserve">Processor for Crop Water</w:t>
            </w:r>
            <w:r>
              <w:t xml:space="preserve"> </w:t>
            </w:r>
            <w:r>
              <w:t xml:space="preserve">Stress and Irrigation</w:t>
            </w:r>
            <w:r>
              <w:t xml:space="preserve"> </w:t>
            </w:r>
            <w:r>
              <w:t xml:space="preserve">Management</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65.0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ICRISAT</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HarvestStat Africa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External</w:t>
            </w:r>
          </w:p>
        </w:tc>
        <w:tc>
          <w:tcPr/>
          <w:p>
            <w:pPr>
              <w:pStyle w:val="Compact"/>
            </w:pPr>
            <w:r>
              <w:t xml:space="preserve">65.0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VECTRI Malaria Model Dataset</w:t>
            </w:r>
            <w:r>
              <w:t xml:space="preserve"> </w:t>
            </w:r>
            <w:r>
              <w:t xml:space="preserve">(climate forcing inputs +</w:t>
            </w:r>
            <w:r>
              <w:t xml:space="preserve"> </w:t>
            </w:r>
            <w:r>
              <w:t xml:space="preserve">model outputs,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Future fish biomass</w:t>
            </w:r>
            <w:r>
              <w:t xml:space="preserve"> </w:t>
            </w:r>
            <w:r>
              <w:t xml:space="preserve">projections (DBEM / FishMIP)</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External</w:t>
            </w:r>
          </w:p>
        </w:tc>
        <w:tc>
          <w:tcPr/>
          <w:p>
            <w:pPr>
              <w:pStyle w:val="Compact"/>
            </w:pPr>
            <w:r>
              <w:t xml:space="preserve">65.0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Farmers’ climate risk</w:t>
            </w:r>
            <w:r>
              <w:t xml:space="preserve"> </w:t>
            </w:r>
            <w:r>
              <w:t xml:space="preserve">perception and drought</w:t>
            </w:r>
            <w:r>
              <w:t xml:space="preserve"> </w:t>
            </w:r>
            <w:r>
              <w:t xml:space="preserve">mitigation dataset (survey +</w:t>
            </w:r>
            <w:r>
              <w:t xml:space="preserve"> </w:t>
            </w:r>
            <w:r>
              <w:t xml:space="preserve">climate linkage)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CCAC Columbia livestock and</w:t>
            </w:r>
            <w:r>
              <w:t xml:space="preserve"> </w:t>
            </w:r>
            <w:r>
              <w:t xml:space="preserve">agriculture sector GHG</w:t>
            </w:r>
            <w:r>
              <w:t xml:space="preserve"> </w:t>
            </w:r>
            <w:r>
              <w:t xml:space="preserve">emission data for National DNC</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CGIAR-</w:t>
            </w:r>
            <w:r>
              <w:t xml:space="preserve"> </w:t>
            </w:r>
            <w:r>
              <w:t xml:space="preserve">produced</w:t>
            </w:r>
          </w:p>
        </w:tc>
        <w:tc>
          <w:tcPr/>
          <w:p>
            <w:pPr>
              <w:pStyle w:val="Compact"/>
            </w:pPr>
            <w:r>
              <w:t xml:space="preserve">64.0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Maize-Yield-in-Ghana-and-</w:t>
            </w:r>
            <w:r>
              <w:t xml:space="preserve"> </w:t>
            </w:r>
            <w:r>
              <w:t xml:space="preserve">Malawi</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Extreme rainfall indices in</w:t>
            </w:r>
            <w:r>
              <w:t xml:space="preserve"> </w:t>
            </w:r>
            <w:r>
              <w:t xml:space="preserve">Ghana</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S2S AI/ML Model-Ready Training</w:t>
            </w:r>
            <w:r>
              <w:t xml:space="preserve"> </w:t>
            </w:r>
            <w:r>
              <w:t xml:space="preserve">Dataset 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64.0</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WorldFish</w:t>
            </w:r>
          </w:p>
        </w:tc>
        <w:tc>
          <w:tcPr/>
          <w:p>
            <w:pPr>
              <w:pStyle w:val="Compact"/>
            </w:pPr>
            <w:r>
              <w:t xml:space="preserve">Sea Around Us</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62.0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JRC Global River Flood Hazard</w:t>
            </w:r>
            <w:r>
              <w:t xml:space="preserve"> </w:t>
            </w:r>
            <w:r>
              <w:t xml:space="preserve">Maps (v2.1)</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ICRISAT</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61.0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Aquatic Food Composition</w:t>
            </w:r>
            <w:r>
              <w:t xml:space="preserve"> </w:t>
            </w:r>
            <w:r>
              <w:t xml:space="preserve">Database</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SEAS5 Seasonal</w:t>
            </w:r>
            <w:r>
              <w:t xml:space="preserve"> </w:t>
            </w:r>
            <w:r>
              <w:t xml:space="preserve">Forecast Dataset for</w:t>
            </w:r>
            <w:r>
              <w:t xml:space="preserve"> </w:t>
            </w:r>
            <w:r>
              <w:t xml:space="preserve">Agricultural Onset</w:t>
            </w:r>
            <w:r>
              <w:t xml:space="preserve"> </w:t>
            </w:r>
            <w:r>
              <w:t xml:space="preserve">Applications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Irrigation map</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59.0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Dataset for supporting the net</w:t>
            </w:r>
            <w:r>
              <w:t xml:space="preserve"> </w:t>
            </w:r>
            <w:r>
              <w:t xml:space="preserve">agronomic assessment of yield</w:t>
            </w:r>
            <w:r>
              <w:t xml:space="preserve"> </w:t>
            </w:r>
            <w:r>
              <w:t xml:space="preserve">limiting factors in maize</w:t>
            </w:r>
            <w:r>
              <w:t xml:space="preserve"> </w:t>
            </w:r>
            <w:r>
              <w:t xml:space="preserve">production in Machakos county,</w:t>
            </w:r>
            <w:r>
              <w:t xml:space="preserve"> </w:t>
            </w:r>
            <w:r>
              <w:t xml:space="preserve">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56.0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Image Canopy – Digital Canopy</w:t>
            </w:r>
            <w:r>
              <w:t xml:space="preserve"> </w:t>
            </w:r>
            <w:r>
              <w:t xml:space="preserve">Cover Estimation Software</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56.0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Mid-season drainage × iron</w:t>
            </w:r>
            <w:r>
              <w:t xml:space="preserve"> </w:t>
            </w:r>
            <w:r>
              <w:t xml:space="preserve">toxicity × water productivity</w:t>
            </w:r>
            <w:r>
              <w:t xml:space="preserve"> </w:t>
            </w:r>
            <w:r>
              <w:t xml:space="preserve">dataset (irrigated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Alternate wetting and drying ×</w:t>
            </w:r>
            <w:r>
              <w:t xml:space="preserve"> </w:t>
            </w:r>
            <w:r>
              <w:t xml:space="preserve">weed infestation × water</w:t>
            </w:r>
            <w:r>
              <w:t xml:space="preserve"> </w:t>
            </w:r>
            <w:r>
              <w:t xml:space="preserve">productivity dataset</w:t>
            </w:r>
            <w:r>
              <w:t xml:space="preserve"> </w:t>
            </w:r>
            <w:r>
              <w:t xml:space="preserve">(irrigated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IWMI</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55.0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Biochar × nitrogen × no-</w:t>
            </w:r>
            <w:r>
              <w:t xml:space="preserve"> </w:t>
            </w:r>
            <w:r>
              <w:t xml:space="preserve">tillage greenhouse gas and</w:t>
            </w:r>
            <w:r>
              <w:t xml:space="preserve"> </w:t>
            </w:r>
            <w:r>
              <w:t xml:space="preserve">yield dataset in rice systems</w:t>
            </w:r>
          </w:p>
        </w:tc>
        <w:tc>
          <w:tcPr/>
          <w:p>
            <w:pPr>
              <w:pStyle w:val="Compact"/>
            </w:pPr>
            <w:r>
              <w:t xml:space="preserve">Mitigation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53.0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Oil Palm and Diets in</w:t>
            </w:r>
            <w:r>
              <w:t xml:space="preserve"> </w:t>
            </w:r>
            <w:r>
              <w:t xml:space="preserve">Indonesia: Papua</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External</w:t>
            </w:r>
          </w:p>
        </w:tc>
        <w:tc>
          <w:tcPr/>
          <w:p>
            <w:pPr>
              <w:pStyle w:val="Compact"/>
            </w:pPr>
            <w:r>
              <w:t xml:space="preserve">53.0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CIP Peru Experimental Station</w:t>
            </w:r>
            <w:r>
              <w:t xml:space="preserve"> </w:t>
            </w:r>
            <w:r>
              <w:t xml:space="preserve">Historical Meteorological</w:t>
            </w:r>
            <w:r>
              <w:t xml:space="preserve"> </w:t>
            </w:r>
            <w:r>
              <w:t xml:space="preserve">Records — La Molina, La</w:t>
            </w:r>
            <w:r>
              <w:t xml:space="preserve"> </w:t>
            </w:r>
            <w:r>
              <w:t xml:space="preserve">Victoria &amp; San Ramón</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Latin America</w:t>
            </w:r>
            <w:r>
              <w:t xml:space="preserve"> </w:t>
            </w:r>
            <w:r>
              <w:t xml:space="preserve">&amp; Caribbean</w:t>
            </w:r>
          </w:p>
        </w:tc>
        <w:tc>
          <w:tcPr/>
          <w:p>
            <w:pPr>
              <w:pStyle w:val="Compact"/>
            </w:pPr>
            <w:r>
              <w:t xml:space="preserve">Uncategorise</w:t>
            </w:r>
            <w:r>
              <w:t xml:space="preserve"> </w:t>
            </w:r>
            <w:r>
              <w:t xml:space="preserve">d</w:t>
            </w:r>
          </w:p>
        </w:tc>
        <w:tc>
          <w:tcPr/>
          <w:p>
            <w:pPr>
              <w:pStyle w:val="Compact"/>
            </w:pPr>
            <w:r>
              <w:t xml:space="preserve">51.0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Rice brown spot climate risk</w:t>
            </w:r>
            <w:r>
              <w:t xml:space="preserve"> </w:t>
            </w:r>
            <w:r>
              <w:t xml:space="preserve">projection dataset under</w:t>
            </w:r>
            <w:r>
              <w:t xml:space="preserve"> </w:t>
            </w:r>
            <w:r>
              <w:t xml:space="preserve">climate change scenarios</w:t>
            </w:r>
          </w:p>
        </w:tc>
        <w:tc>
          <w:tcPr/>
          <w:p>
            <w:pPr>
              <w:pStyle w:val="Compact"/>
            </w:pPr>
            <w:r>
              <w:t xml:space="preserve">Sensitivity</w:t>
            </w:r>
          </w:p>
        </w:tc>
        <w:tc>
          <w:tcPr/>
          <w:p>
            <w:pPr>
              <w:pStyle w:val="Compact"/>
            </w:pPr>
            <w:r>
              <w:t xml:space="preserve">Asia / South</w:t>
            </w:r>
            <w:r>
              <w:t xml:space="preserve"> </w:t>
            </w:r>
            <w:r>
              <w:t xml:space="preserve">&amp; SE Asia</w:t>
            </w:r>
          </w:p>
        </w:tc>
        <w:tc>
          <w:tcPr/>
          <w:p>
            <w:pPr>
              <w:pStyle w:val="Compact"/>
            </w:pPr>
            <w:r>
              <w:t xml:space="preserve">CGIAR-</w:t>
            </w:r>
            <w:r>
              <w:t xml:space="preserve"> </w:t>
            </w:r>
            <w:r>
              <w:t xml:space="preserve">produced</w:t>
            </w:r>
          </w:p>
        </w:tc>
        <w:tc>
          <w:tcPr/>
          <w:p>
            <w:pPr>
              <w:pStyle w:val="Compact"/>
            </w:pPr>
            <w:r>
              <w:t xml:space="preserve">48.0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Illumating Hidden Harvests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48.0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Farming system 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46.0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crop specific intensity</w:t>
            </w:r>
            <w:r>
              <w:t xml:space="preserve"> </w:t>
            </w:r>
            <w:r>
              <w:t xml:space="preserve">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45.0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Sims</w:t>
            </w:r>
          </w:p>
        </w:tc>
        <w:tc>
          <w:tcPr/>
          <w:p>
            <w:pPr>
              <w:pStyle w:val="Compact"/>
            </w:pPr>
            <w:r>
              <w:t xml:space="preserve">Adaptation</w:t>
            </w:r>
            <w:r>
              <w:t xml:space="preserve"> </w:t>
            </w:r>
            <w:r>
              <w:t xml:space="preserve">Analytics</w:t>
            </w:r>
          </w:p>
        </w:tc>
        <w:tc>
          <w:tcPr/>
          <w:p>
            <w:pPr>
              <w:pStyle w:val="Compact"/>
            </w:pPr>
            <w:r>
              <w:t xml:space="preserve">Not specified</w:t>
            </w:r>
          </w:p>
        </w:tc>
        <w:tc>
          <w:tcPr/>
          <w:p>
            <w:pPr>
              <w:pStyle w:val="Compact"/>
            </w:pPr>
            <w:r>
              <w:t xml:space="preserve">CGIAR-</w:t>
            </w:r>
            <w:r>
              <w:t xml:space="preserve"> </w:t>
            </w:r>
            <w:r>
              <w:t xml:space="preserve">produced</w:t>
            </w:r>
          </w:p>
        </w:tc>
        <w:tc>
          <w:tcPr/>
          <w:p>
            <w:pPr>
              <w:pStyle w:val="Compact"/>
            </w:pPr>
            <w:r>
              <w:t xml:space="preserve">40.0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ILRI</w:t>
            </w:r>
          </w:p>
        </w:tc>
        <w:tc>
          <w:tcPr/>
          <w:p>
            <w:pPr>
              <w:pStyle w:val="Compact"/>
            </w:pPr>
            <w:r>
              <w:t xml:space="preserve">AI/ML Flood Forecasting Model-</w:t>
            </w:r>
            <w:r>
              <w:t xml:space="preserve"> </w:t>
            </w:r>
            <w:r>
              <w:t xml:space="preserve">Ready Dataset and Outputs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40.0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IMPACT Projections of Hunger</w:t>
            </w:r>
            <w:r>
              <w:t xml:space="preserve"> </w:t>
            </w:r>
            <w:r>
              <w:t xml:space="preserve">With and Without Climate</w:t>
            </w:r>
            <w:r>
              <w:t xml:space="preserve"> </w:t>
            </w:r>
            <w:r>
              <w:t xml:space="preserve">Change</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nan</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IFPRI</w:t>
            </w:r>
          </w:p>
        </w:tc>
        <w:tc>
          <w:tcPr/>
          <w:p>
            <w:pPr>
              <w:pStyle w:val="Compact"/>
            </w:pPr>
            <w:r>
              <w:t xml:space="preserve">Ethiopia Nile Basin Climate</w:t>
            </w:r>
            <w:r>
              <w:t xml:space="preserve"> </w:t>
            </w:r>
            <w:r>
              <w:t xml:space="preserve">Change Adaptation Dataset</w:t>
            </w:r>
          </w:p>
        </w:tc>
        <w:tc>
          <w:tcPr/>
          <w:p>
            <w:pPr>
              <w:pStyle w:val="Compact"/>
            </w:pPr>
            <w:r>
              <w:t xml:space="preserve">Adaptive</w:t>
            </w:r>
            <w:r>
              <w:t xml:space="preserve"> </w:t>
            </w:r>
            <w:r>
              <w:t xml:space="preserve">Capacity</w:t>
            </w:r>
          </w:p>
        </w:tc>
        <w:tc>
          <w:tcPr/>
          <w:p>
            <w:pPr>
              <w:pStyle w:val="Compact"/>
            </w:pPr>
            <w:r>
              <w:t xml:space="preserve">Africa</w:t>
            </w:r>
          </w:p>
        </w:tc>
        <w:tc>
          <w:tcPr/>
          <w:p>
            <w:pPr>
              <w:pStyle w:val="Compact"/>
            </w:pPr>
            <w:r>
              <w:t xml:space="preserve">Co-produced</w:t>
            </w:r>
          </w:p>
        </w:tc>
        <w:tc>
          <w:tcPr/>
          <w:p>
            <w:pPr>
              <w:pStyle w:val="Compact"/>
            </w:pPr>
            <w:r>
              <w:t xml:space="preserve">nan</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Bangladesh Climate Change</w:t>
            </w:r>
            <w:r>
              <w:t xml:space="preserve"> </w:t>
            </w:r>
            <w:r>
              <w:t xml:space="preserve">Adaptation Survey (BCCAS,</w:t>
            </w:r>
            <w:r>
              <w:t xml:space="preserve"> </w:t>
            </w:r>
            <w:r>
              <w:t xml:space="preserve">Rounds I-II)</w:t>
            </w:r>
          </w:p>
        </w:tc>
        <w:tc>
          <w:tcPr/>
          <w:p>
            <w:pPr>
              <w:pStyle w:val="Compact"/>
            </w:pPr>
            <w:r>
              <w:t xml:space="preserve">Adaptive</w:t>
            </w:r>
            <w:r>
              <w:t xml:space="preserve"> </w:t>
            </w:r>
            <w:r>
              <w:t xml:space="preserve">Capacity</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nan</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IFPRI</w:t>
            </w:r>
          </w:p>
        </w:tc>
        <w:tc>
          <w:tcPr/>
          <w:p>
            <w:pPr>
              <w:pStyle w:val="Compact"/>
            </w:pPr>
            <w:r>
              <w:t xml:space="preserve">IFPRI-CCAFS Gender and Climate</w:t>
            </w:r>
            <w:r>
              <w:t xml:space="preserve"> </w:t>
            </w:r>
            <w:r>
              <w:t xml:space="preserve">Change Survey Data: Bangladesh</w:t>
            </w:r>
          </w:p>
        </w:tc>
        <w:tc>
          <w:tcPr/>
          <w:p>
            <w:pPr>
              <w:pStyle w:val="Compact"/>
            </w:pPr>
            <w:r>
              <w:t xml:space="preserve">Adaptive</w:t>
            </w:r>
            <w:r>
              <w:t xml:space="preserve"> </w:t>
            </w:r>
            <w:r>
              <w:t xml:space="preserve">Capacity</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nan</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IFPRI</w:t>
            </w:r>
          </w:p>
        </w:tc>
        <w:tc>
          <w:tcPr/>
          <w:p>
            <w:pPr>
              <w:pStyle w:val="Compact"/>
            </w:pPr>
            <w:r>
              <w:t xml:space="preserve">South Africa Limpopo Basin</w:t>
            </w:r>
            <w:r>
              <w:t xml:space="preserve"> </w:t>
            </w:r>
            <w:r>
              <w:t xml:space="preserve">Climate Change Adaptation</w:t>
            </w:r>
            <w:r>
              <w:t xml:space="preserve"> </w:t>
            </w:r>
            <w:r>
              <w:t xml:space="preserve">Dataset</w:t>
            </w:r>
          </w:p>
        </w:tc>
        <w:tc>
          <w:tcPr/>
          <w:p>
            <w:pPr>
              <w:pStyle w:val="Compact"/>
            </w:pPr>
            <w:r>
              <w:t xml:space="preserve">Adaptive</w:t>
            </w:r>
            <w:r>
              <w:t xml:space="preserve"> </w:t>
            </w:r>
            <w:r>
              <w:t xml:space="preserve">Capacity</w:t>
            </w:r>
          </w:p>
        </w:tc>
        <w:tc>
          <w:tcPr/>
          <w:p>
            <w:pPr>
              <w:pStyle w:val="Compact"/>
            </w:pPr>
            <w:r>
              <w:t xml:space="preserve">Africa</w:t>
            </w:r>
          </w:p>
        </w:tc>
        <w:tc>
          <w:tcPr/>
          <w:p>
            <w:pPr>
              <w:pStyle w:val="Compact"/>
            </w:pPr>
            <w:r>
              <w:t xml:space="preserve">Co-produced</w:t>
            </w:r>
          </w:p>
        </w:tc>
        <w:tc>
          <w:tcPr/>
          <w:p>
            <w:pPr>
              <w:pStyle w:val="Compact"/>
            </w:pPr>
            <w:r>
              <w:t xml:space="preserve">nan</w:t>
            </w:r>
          </w:p>
        </w:tc>
        <w:tc>
          <w:tcPr/>
          <w:p>
            <w:pPr>
              <w:pStyle w:val="Compact"/>
            </w:pPr>
            <w:r>
              <w:t xml:space="preserve">Open</w:t>
            </w:r>
          </w:p>
        </w:tc>
        <w:tc>
          <w:tcPr/>
          <w:p>
            <w:pPr>
              <w:pStyle w:val="Compact"/>
            </w:pPr>
            <w:r>
              <w:t xml:space="preserve">Federate or</w:t>
            </w:r>
            <w:r>
              <w:t xml:space="preserve"> </w:t>
            </w:r>
            <w:r>
              <w:t xml:space="preserve">light ingest</w:t>
            </w:r>
          </w:p>
        </w:tc>
      </w:tr>
    </w:tbl>
    <w:p>
      <w:pPr>
        <w:sectPr>
          <w:pgSz w:w="15840" w:h="12240" w:orient="landscape"/>
          <w:pgMar w:top="720" w:bottom="720" w:left="720" w:right="720"/>
        </w:sectPr>
      </w:pPr>
    </w:p>
    <w:p>
      <w:r>
        <w:pict>
          <v:rect style="width:0;height:1.5pt" o:hralign="center" o:hrstd="t" o:hr="t"/>
        </w:pict>
      </w:r>
    </w:p>
    <w:bookmarkEnd w:id="122"/>
    <w:bookmarkStart w:id="123"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15</w:t>
            </w:r>
          </w:p>
        </w:tc>
        <w:tc>
          <w:tcPr/>
          <w:p>
            <w:pPr>
              <w:pStyle w:val="Compact"/>
            </w:pPr>
            <w:r>
              <w:t xml:space="preserve">10/15</w:t>
            </w:r>
          </w:p>
        </w:tc>
        <w:tc>
          <w:tcPr/>
          <w:p>
            <w:pPr>
              <w:pStyle w:val="Compact"/>
            </w:pPr>
            <w:r>
              <w:t xml:space="preserve">10/15</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23"/>
    <w:bookmarkStart w:id="126" w:name="annex-c"/>
    <w:p>
      <w:pPr>
        <w:pStyle w:val="Heading2"/>
      </w:pPr>
      <w:r>
        <w:t xml:space="preserve">Annex C — Merge log</w:t>
      </w:r>
    </w:p>
    <w:bookmarkStart w:id="124"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24"/>
    <w:bookmarkStart w:id="125"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101" Target="https://github.com/CGIAR-Climate-Data-Hub/cdh-asset-mapping/blob/main/data/review_log.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2" Target="https://github.com/CGIAR-Climate-Data-Hub/cdh-asset-mapping/issues/1" TargetMode="External" /><Relationship Type="http://schemas.openxmlformats.org/officeDocument/2006/relationships/hyperlink" Id="rId109" Target="https://github.com/CGIAR-Climate-Data-Hub/cdh-asset-mapping/issues/10" TargetMode="External" /><Relationship Type="http://schemas.openxmlformats.org/officeDocument/2006/relationships/hyperlink" Id="rId110" Target="https://github.com/CGIAR-Climate-Data-Hub/cdh-asset-mapping/issues/11" TargetMode="External" /><Relationship Type="http://schemas.openxmlformats.org/officeDocument/2006/relationships/hyperlink" Id="rId111" Target="https://github.com/CGIAR-Climate-Data-Hub/cdh-asset-mapping/issues/12" TargetMode="External" /><Relationship Type="http://schemas.openxmlformats.org/officeDocument/2006/relationships/hyperlink" Id="rId112" Target="https://github.com/CGIAR-Climate-Data-Hub/cdh-asset-mapping/issues/13" TargetMode="External" /><Relationship Type="http://schemas.openxmlformats.org/officeDocument/2006/relationships/hyperlink" Id="rId113" Target="https://github.com/CGIAR-Climate-Data-Hub/cdh-asset-mapping/issues/14" TargetMode="External" /><Relationship Type="http://schemas.openxmlformats.org/officeDocument/2006/relationships/hyperlink" Id="rId114" Target="https://github.com/CGIAR-Climate-Data-Hub/cdh-asset-mapping/issues/15" TargetMode="External" /><Relationship Type="http://schemas.openxmlformats.org/officeDocument/2006/relationships/hyperlink" Id="rId115" Target="https://github.com/CGIAR-Climate-Data-Hub/cdh-asset-mapping/issues/16" TargetMode="External" /><Relationship Type="http://schemas.openxmlformats.org/officeDocument/2006/relationships/hyperlink" Id="rId103" Target="https://github.com/CGIAR-Climate-Data-Hub/cdh-asset-mapping/issues/4" TargetMode="External" /><Relationship Type="http://schemas.openxmlformats.org/officeDocument/2006/relationships/hyperlink" Id="rId104" Target="https://github.com/CGIAR-Climate-Data-Hub/cdh-asset-mapping/issues/5" TargetMode="External" /><Relationship Type="http://schemas.openxmlformats.org/officeDocument/2006/relationships/hyperlink" Id="rId105" Target="https://github.com/CGIAR-Climate-Data-Hub/cdh-asset-mapping/issues/6" TargetMode="External" /><Relationship Type="http://schemas.openxmlformats.org/officeDocument/2006/relationships/hyperlink" Id="rId106" Target="https://github.com/CGIAR-Climate-Data-Hub/cdh-asset-mapping/issues/7" TargetMode="External" /><Relationship Type="http://schemas.openxmlformats.org/officeDocument/2006/relationships/hyperlink" Id="rId107" Target="https://github.com/CGIAR-Climate-Data-Hub/cdh-asset-mapping/issues/8" TargetMode="External" /><Relationship Type="http://schemas.openxmlformats.org/officeDocument/2006/relationships/hyperlink" Id="rId108" Target="https://github.com/CGIAR-Climate-Data-Hub/cdh-asset-mapping/issues/9"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19"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101" Target="https://github.com/CGIAR-Climate-Data-Hub/cdh-asset-mapping/blob/main/data/review_log.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2" Target="https://github.com/CGIAR-Climate-Data-Hub/cdh-asset-mapping/issues/1" TargetMode="External" /><Relationship Type="http://schemas.openxmlformats.org/officeDocument/2006/relationships/hyperlink" Id="rId109" Target="https://github.com/CGIAR-Climate-Data-Hub/cdh-asset-mapping/issues/10" TargetMode="External" /><Relationship Type="http://schemas.openxmlformats.org/officeDocument/2006/relationships/hyperlink" Id="rId110" Target="https://github.com/CGIAR-Climate-Data-Hub/cdh-asset-mapping/issues/11" TargetMode="External" /><Relationship Type="http://schemas.openxmlformats.org/officeDocument/2006/relationships/hyperlink" Id="rId111" Target="https://github.com/CGIAR-Climate-Data-Hub/cdh-asset-mapping/issues/12" TargetMode="External" /><Relationship Type="http://schemas.openxmlformats.org/officeDocument/2006/relationships/hyperlink" Id="rId112" Target="https://github.com/CGIAR-Climate-Data-Hub/cdh-asset-mapping/issues/13" TargetMode="External" /><Relationship Type="http://schemas.openxmlformats.org/officeDocument/2006/relationships/hyperlink" Id="rId113" Target="https://github.com/CGIAR-Climate-Data-Hub/cdh-asset-mapping/issues/14" TargetMode="External" /><Relationship Type="http://schemas.openxmlformats.org/officeDocument/2006/relationships/hyperlink" Id="rId114" Target="https://github.com/CGIAR-Climate-Data-Hub/cdh-asset-mapping/issues/15" TargetMode="External" /><Relationship Type="http://schemas.openxmlformats.org/officeDocument/2006/relationships/hyperlink" Id="rId115" Target="https://github.com/CGIAR-Climate-Data-Hub/cdh-asset-mapping/issues/16" TargetMode="External" /><Relationship Type="http://schemas.openxmlformats.org/officeDocument/2006/relationships/hyperlink" Id="rId103" Target="https://github.com/CGIAR-Climate-Data-Hub/cdh-asset-mapping/issues/4" TargetMode="External" /><Relationship Type="http://schemas.openxmlformats.org/officeDocument/2006/relationships/hyperlink" Id="rId104" Target="https://github.com/CGIAR-Climate-Data-Hub/cdh-asset-mapping/issues/5" TargetMode="External" /><Relationship Type="http://schemas.openxmlformats.org/officeDocument/2006/relationships/hyperlink" Id="rId105" Target="https://github.com/CGIAR-Climate-Data-Hub/cdh-asset-mapping/issues/6" TargetMode="External" /><Relationship Type="http://schemas.openxmlformats.org/officeDocument/2006/relationships/hyperlink" Id="rId106" Target="https://github.com/CGIAR-Climate-Data-Hub/cdh-asset-mapping/issues/7" TargetMode="External" /><Relationship Type="http://schemas.openxmlformats.org/officeDocument/2006/relationships/hyperlink" Id="rId107" Target="https://github.com/CGIAR-Climate-Data-Hub/cdh-asset-mapping/issues/8" TargetMode="External" /><Relationship Type="http://schemas.openxmlformats.org/officeDocument/2006/relationships/hyperlink" Id="rId108" Target="https://github.com/CGIAR-Climate-Data-Hub/cdh-asset-mapping/issues/9"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19"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2026-07-21T06:01:15Z</dcterms:created>
  <dcterms:modified xsi:type="dcterms:W3CDTF">2026-07-21T06:01:15Z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mments">
    <vt:lpwstr/>
  </property>
  <property fmtid="{D5CDD505-2E9C-101B-9397-08002B2CF9AE}" pid="4" name="date">
    <vt:lpwstr>2026-07-21</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Internal review draft</vt:lpwstr>
  </property>
  <property fmtid="{D5CDD505-2E9C-101B-9397-08002B2CF9AE}" pid="12" name="toc-title">
    <vt:lpwstr>Table of contents</vt:lpwstr>
  </property>
</Properties>
</file>