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This document contains settings that help exporting your analysis to a Word document. The expectation is that you have already gained familiarity with editing R Markdown documents from the</w:t>
      </w:r>
      <w:r>
        <w:t xml:space="preserve"> </w:t>
      </w:r>
      <w:hyperlink r:id="rId20">
        <w:r>
          <w:rPr>
            <w:rStyle w:val="Hyperlink"/>
          </w:rPr>
          <w:t xml:space="preserve">R for Data Science</w:t>
        </w:r>
      </w:hyperlink>
      <w:r>
        <w:t xml:space="preserve"> </w:t>
      </w:r>
      <w:r>
        <w:t xml:space="preserve">book, which was on the module reading list, particularly Chapters 27, 29 and 30. It assumes, therefore, that you are familiar with the purpose of yaml headers (i.e. the settings between the two sets of - - - marks at the top of an</w:t>
      </w:r>
      <w:r>
        <w:t xml:space="preserve"> </w:t>
      </w:r>
      <w:r>
        <w:rPr>
          <w:rStyle w:val="VerbatimChar"/>
        </w:rPr>
        <w:t xml:space="preserve">.Rmd</w:t>
      </w:r>
      <w:r>
        <w:t xml:space="preserve"> </w:t>
      </w:r>
      <w:r>
        <w:t xml:space="preserve">document). There are numerous settings that can be included in the yaml header, but for our purposes specifying the output format (Word document) is the only essential one.</w:t>
      </w:r>
    </w:p>
    <w:p>
      <w:pPr>
        <w:pStyle w:val="BodyText"/>
      </w:pPr>
      <w:r>
        <w:t xml:space="preserve">Options relating to how code chunks (i.e. the commands included between two sets of ``` marks throughout) are rendered when written (i.e. </w:t>
      </w:r>
      <w:r>
        <w:t xml:space="preserve">“</w:t>
      </w:r>
      <w:r>
        <w:t xml:space="preserve">knitted</w:t>
      </w:r>
      <w:r>
        <w:t xml:space="preserve">”</w:t>
      </w:r>
      <w:r>
        <w:t xml:space="preserve">) to the output document format can be set both in the header of the individual code chunks, or as a global setting that applies to all chunks. The first code chunk below (in the</w:t>
      </w:r>
      <w:r>
        <w:t xml:space="preserve"> </w:t>
      </w:r>
      <w:r>
        <w:rPr>
          <w:rStyle w:val="VerbatimChar"/>
        </w:rPr>
        <w:t xml:space="preserve">.Rmd</w:t>
      </w:r>
      <w:r>
        <w:t xml:space="preserve"> </w:t>
      </w:r>
      <w:r>
        <w:t xml:space="preserve">version) is a global setting chunk that applies some useful setting for the purpose of printing outputs only to Word documents.</w:t>
      </w:r>
    </w:p>
    <w:p>
      <w:pPr>
        <w:pStyle w:val="BodyText"/>
      </w:pPr>
      <w:r>
        <w:t xml:space="preserve">To learn more about R Markdown documents, these two resources are extremely useful:</w:t>
      </w:r>
    </w:p>
    <w:p>
      <w:pPr>
        <w:numPr>
          <w:ilvl w:val="0"/>
          <w:numId w:val="1001"/>
        </w:numPr>
      </w:pPr>
      <w:r>
        <w:t xml:space="preserve">Xie, Allaire, and Grolemund (2021)</w:t>
      </w:r>
      <w:r>
        <w:t xml:space="preserve"> </w:t>
      </w:r>
      <w:hyperlink r:id="rId21">
        <w:r>
          <w:rPr>
            <w:rStyle w:val="Hyperlink"/>
          </w:rPr>
          <w:t xml:space="preserve">R Markdown: The Definitive Guide</w:t>
        </w:r>
      </w:hyperlink>
    </w:p>
    <w:p>
      <w:pPr>
        <w:numPr>
          <w:ilvl w:val="0"/>
          <w:numId w:val="1001"/>
        </w:numPr>
      </w:pPr>
      <w:r>
        <w:t xml:space="preserve">Xie, Dervieux, and Riederer (2022)</w:t>
      </w:r>
      <w:r>
        <w:t xml:space="preserve"> </w:t>
      </w:r>
      <w:hyperlink r:id="rId22">
        <w:r>
          <w:rPr>
            <w:rStyle w:val="Hyperlink"/>
          </w:rPr>
          <w:t xml:space="preserve">R Markdown Cookbook</w:t>
        </w:r>
      </w:hyperlink>
    </w:p>
    <w:p>
      <w:pPr>
        <w:pStyle w:val="FirstParagraph"/>
      </w:pPr>
      <w:r>
        <w:t xml:space="preserve">These resources go far beyond what you need to know at this stage, but they can be helpful for searching particular settings/issues that come up in your own coding.</w:t>
      </w:r>
    </w:p>
    <w:p>
      <w:pPr>
        <w:pStyle w:val="BodyText"/>
      </w:pPr>
      <w:r>
        <w:t xml:space="preserve">Below is a recommended structure and some example code for tabulations that seems to work well with Word documents.</w:t>
      </w:r>
    </w:p>
    <w:bookmarkStart w:id="31" w:name="your-title"/>
    <w:p>
      <w:pPr>
        <w:pStyle w:val="Heading1"/>
      </w:pPr>
      <w:r>
        <w:t xml:space="preserve">Your title</w:t>
      </w:r>
    </w:p>
    <w:bookmarkStart w:id="23" w:name="introduction"/>
    <w:p>
      <w:pPr>
        <w:pStyle w:val="Heading2"/>
      </w:pPr>
      <w:r>
        <w:t xml:space="preserve">Introduction</w:t>
      </w:r>
    </w:p>
    <w:bookmarkEnd w:id="23"/>
    <w:bookmarkStart w:id="25" w:name="X42504d540aa556a294dd5eafe4276feebab2588"/>
    <w:p>
      <w:pPr>
        <w:pStyle w:val="Heading2"/>
      </w:pPr>
      <w:r>
        <w:t xml:space="preserve">Literature review (or a better title for this section)</w:t>
      </w:r>
    </w:p>
    <w:bookmarkStart w:id="24" w:name="any-subtitles"/>
    <w:p>
      <w:pPr>
        <w:pStyle w:val="Heading3"/>
      </w:pPr>
      <w:r>
        <w:t xml:space="preserve">Any subtitles</w:t>
      </w:r>
    </w:p>
    <w:bookmarkEnd w:id="24"/>
    <w:bookmarkEnd w:id="25"/>
    <w:bookmarkStart w:id="26" w:name="data-and-methods"/>
    <w:p>
      <w:pPr>
        <w:pStyle w:val="Heading2"/>
      </w:pPr>
      <w:r>
        <w:t xml:space="preserve">Data and methods</w:t>
      </w:r>
    </w:p>
    <w:p>
      <w:pPr>
        <w:pStyle w:val="FirstParagraph"/>
      </w:pPr>
      <w:r>
        <w:t xml:space="preserve">Somewhere in this section or early on in the Results section you may want to show a summary of your variables of interest. For example, a table such as this (using the</w:t>
      </w:r>
      <w:r>
        <w:t xml:space="preserve"> </w:t>
      </w:r>
      <w:r>
        <w:rPr>
          <w:rStyle w:val="VerbatimChar"/>
        </w:rPr>
        <w:t xml:space="preserve">descr()</w:t>
      </w:r>
      <w:r>
        <w:t xml:space="preserve"> </w:t>
      </w:r>
      <w:r>
        <w:t xml:space="preserve">function from the</w:t>
      </w:r>
      <w:r>
        <w:t xml:space="preserve"> </w:t>
      </w:r>
      <w:r>
        <w:rPr>
          <w:rStyle w:val="VerbatimChar"/>
        </w:rPr>
        <w:t xml:space="preserve">summarytools</w:t>
      </w:r>
      <w:r>
        <w:t xml:space="preserve"> </w:t>
      </w:r>
      <w:r>
        <w:t xml:space="preserve">package):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Mean</w:t>
            </w:r>
          </w:p>
        </w:tc>
        <w:tc>
          <w:tcPr/>
          <w:p>
            <w:pPr>
              <w:pStyle w:val="Compact"/>
              <w:jc w:val="right"/>
            </w:pPr>
            <w:r>
              <w:t xml:space="preserve">Std.Dev</w:t>
            </w:r>
          </w:p>
        </w:tc>
        <w:tc>
          <w:tcPr/>
          <w:p>
            <w:pPr>
              <w:pStyle w:val="Compact"/>
              <w:jc w:val="right"/>
            </w:pPr>
            <w:r>
              <w:t xml:space="preserve">Median</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N.Valid</w:t>
            </w:r>
          </w:p>
        </w:tc>
      </w:tr>
      <w:tr>
        <w:tc>
          <w:tcPr/>
          <w:p>
            <w:pPr>
              <w:pStyle w:val="Compact"/>
              <w:jc w:val="left"/>
            </w:pPr>
            <w:r>
              <w:t xml:space="preserve">agea</w:t>
            </w:r>
          </w:p>
        </w:tc>
        <w:tc>
          <w:tcPr/>
          <w:p>
            <w:pPr>
              <w:pStyle w:val="Compact"/>
              <w:jc w:val="right"/>
            </w:pPr>
            <w:r>
              <w:t xml:space="preserve">51.13</w:t>
            </w:r>
          </w:p>
        </w:tc>
        <w:tc>
          <w:tcPr/>
          <w:p>
            <w:pPr>
              <w:pStyle w:val="Compact"/>
              <w:jc w:val="right"/>
            </w:pPr>
            <w:r>
              <w:t xml:space="preserve">12.86</w:t>
            </w:r>
          </w:p>
        </w:tc>
        <w:tc>
          <w:tcPr/>
          <w:p>
            <w:pPr>
              <w:pStyle w:val="Compact"/>
              <w:jc w:val="right"/>
            </w:pPr>
            <w:r>
              <w:t xml:space="preserve">53.00</w:t>
            </w:r>
          </w:p>
        </w:tc>
        <w:tc>
          <w:tcPr/>
          <w:p>
            <w:pPr>
              <w:pStyle w:val="Compact"/>
              <w:jc w:val="right"/>
            </w:pPr>
            <w:r>
              <w:t xml:space="preserve">25.00</w:t>
            </w:r>
          </w:p>
        </w:tc>
        <w:tc>
          <w:tcPr/>
          <w:p>
            <w:pPr>
              <w:pStyle w:val="Compact"/>
              <w:jc w:val="right"/>
            </w:pPr>
            <w:r>
              <w:t xml:space="preserve">80.00</w:t>
            </w:r>
          </w:p>
        </w:tc>
        <w:tc>
          <w:tcPr/>
          <w:p>
            <w:pPr>
              <w:pStyle w:val="Compact"/>
              <w:jc w:val="right"/>
            </w:pPr>
            <w:r>
              <w:t xml:space="preserve">42079.00</w:t>
            </w:r>
          </w:p>
        </w:tc>
      </w:tr>
      <w:tr>
        <w:tc>
          <w:tcPr/>
          <w:p>
            <w:pPr>
              <w:pStyle w:val="Compact"/>
              <w:jc w:val="left"/>
            </w:pPr>
            <w:r>
              <w:t xml:space="preserve">cntry</w:t>
            </w:r>
          </w:p>
        </w:tc>
        <w:tc>
          <w:tcPr/>
          <w:p>
            <w:pPr>
              <w:pStyle w:val="Compact"/>
              <w:jc w:val="right"/>
            </w:pPr>
            <w:r>
              <w:t xml:space="preserve">4.65</w:t>
            </w:r>
          </w:p>
        </w:tc>
        <w:tc>
          <w:tcPr/>
          <w:p>
            <w:pPr>
              <w:pStyle w:val="Compact"/>
              <w:jc w:val="right"/>
            </w:pPr>
            <w:r>
              <w:t xml:space="preserve">2.25</w:t>
            </w:r>
          </w:p>
        </w:tc>
        <w:tc>
          <w:tcPr/>
          <w:p>
            <w:pPr>
              <w:pStyle w:val="Compact"/>
              <w:jc w:val="right"/>
            </w:pPr>
            <w:r>
              <w:t xml:space="preserve">4.00</w:t>
            </w:r>
          </w:p>
        </w:tc>
        <w:tc>
          <w:tcPr/>
          <w:p>
            <w:pPr>
              <w:pStyle w:val="Compact"/>
              <w:jc w:val="right"/>
            </w:pPr>
            <w:r>
              <w:t xml:space="preserve">1.00</w:t>
            </w:r>
          </w:p>
        </w:tc>
        <w:tc>
          <w:tcPr/>
          <w:p>
            <w:pPr>
              <w:pStyle w:val="Compact"/>
              <w:jc w:val="right"/>
            </w:pPr>
            <w:r>
              <w:t xml:space="preserve">8.00</w:t>
            </w:r>
          </w:p>
        </w:tc>
        <w:tc>
          <w:tcPr/>
          <w:p>
            <w:pPr>
              <w:pStyle w:val="Compact"/>
              <w:jc w:val="right"/>
            </w:pPr>
            <w:r>
              <w:t xml:space="preserve">42079.00</w:t>
            </w:r>
          </w:p>
        </w:tc>
      </w:tr>
      <w:tr>
        <w:tc>
          <w:tcPr/>
          <w:p>
            <w:pPr>
              <w:pStyle w:val="Compact"/>
              <w:jc w:val="left"/>
            </w:pPr>
            <w:r>
              <w:t xml:space="preserve">eduyrs25</w:t>
            </w:r>
          </w:p>
        </w:tc>
        <w:tc>
          <w:tcPr/>
          <w:p>
            <w:pPr>
              <w:pStyle w:val="Compact"/>
              <w:jc w:val="right"/>
            </w:pPr>
            <w:r>
              <w:t xml:space="preserve">12.38</w:t>
            </w:r>
          </w:p>
        </w:tc>
        <w:tc>
          <w:tcPr/>
          <w:p>
            <w:pPr>
              <w:pStyle w:val="Compact"/>
              <w:jc w:val="right"/>
            </w:pPr>
            <w:r>
              <w:t xml:space="preserve">4.32</w:t>
            </w:r>
          </w:p>
        </w:tc>
        <w:tc>
          <w:tcPr/>
          <w:p>
            <w:pPr>
              <w:pStyle w:val="Compact"/>
              <w:jc w:val="right"/>
            </w:pPr>
            <w:r>
              <w:t xml:space="preserve">12.00</w:t>
            </w:r>
          </w:p>
        </w:tc>
        <w:tc>
          <w:tcPr/>
          <w:p>
            <w:pPr>
              <w:pStyle w:val="Compact"/>
              <w:jc w:val="right"/>
            </w:pPr>
            <w:r>
              <w:t xml:space="preserve">0.00</w:t>
            </w:r>
          </w:p>
        </w:tc>
        <w:tc>
          <w:tcPr/>
          <w:p>
            <w:pPr>
              <w:pStyle w:val="Compact"/>
              <w:jc w:val="right"/>
            </w:pPr>
            <w:r>
              <w:t xml:space="preserve">25.00</w:t>
            </w:r>
          </w:p>
        </w:tc>
        <w:tc>
          <w:tcPr/>
          <w:p>
            <w:pPr>
              <w:pStyle w:val="Compact"/>
              <w:jc w:val="right"/>
            </w:pPr>
            <w:r>
              <w:t xml:space="preserve">41626.00</w:t>
            </w:r>
          </w:p>
        </w:tc>
      </w:tr>
      <w:tr>
        <w:tc>
          <w:tcPr/>
          <w:p>
            <w:pPr>
              <w:pStyle w:val="Compact"/>
              <w:jc w:val="left"/>
            </w:pPr>
            <w:r>
              <w:t xml:space="preserve">facntr</w:t>
            </w:r>
          </w:p>
        </w:tc>
        <w:tc>
          <w:tcPr/>
          <w:p>
            <w:pPr>
              <w:pStyle w:val="Compact"/>
              <w:jc w:val="right"/>
            </w:pPr>
            <w:r>
              <w:t xml:space="preserve">0.96</w:t>
            </w:r>
          </w:p>
        </w:tc>
        <w:tc>
          <w:tcPr/>
          <w:p>
            <w:pPr>
              <w:pStyle w:val="Compact"/>
              <w:jc w:val="right"/>
            </w:pPr>
            <w:r>
              <w:t xml:space="preserve">0.19</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42079.00</w:t>
            </w:r>
          </w:p>
        </w:tc>
      </w:tr>
      <w:tr>
        <w:tc>
          <w:tcPr/>
          <w:p>
            <w:pPr>
              <w:pStyle w:val="Compact"/>
              <w:jc w:val="left"/>
            </w:pPr>
            <w:r>
              <w:t xml:space="preserve">female</w:t>
            </w:r>
          </w:p>
        </w:tc>
        <w:tc>
          <w:tcPr/>
          <w:p>
            <w:pPr>
              <w:pStyle w:val="Compact"/>
              <w:jc w:val="right"/>
            </w:pPr>
            <w:r>
              <w:t xml:space="preserve">0.54</w:t>
            </w:r>
          </w:p>
        </w:tc>
        <w:tc>
          <w:tcPr/>
          <w:p>
            <w:pPr>
              <w:pStyle w:val="Compact"/>
              <w:jc w:val="right"/>
            </w:pPr>
            <w:r>
              <w:t xml:space="preserve">0.50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42079.00</w:t>
            </w:r>
          </w:p>
        </w:tc>
      </w:tr>
      <w:tr>
        <w:tc>
          <w:tcPr/>
          <w:p>
            <w:pPr>
              <w:pStyle w:val="Compact"/>
              <w:jc w:val="left"/>
            </w:pPr>
            <w:r>
              <w:t xml:space="preserve">mocntr</w:t>
            </w:r>
          </w:p>
        </w:tc>
        <w:tc>
          <w:tcPr/>
          <w:p>
            <w:pPr>
              <w:pStyle w:val="Compact"/>
              <w:jc w:val="right"/>
            </w:pPr>
            <w:r>
              <w:t xml:space="preserve">0.97</w:t>
            </w:r>
          </w:p>
        </w:tc>
        <w:tc>
          <w:tcPr/>
          <w:p>
            <w:pPr>
              <w:pStyle w:val="Compact"/>
              <w:jc w:val="right"/>
            </w:pPr>
            <w:r>
              <w:t xml:space="preserve">0.18</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42079.00</w:t>
            </w:r>
          </w:p>
        </w:tc>
      </w:tr>
      <w:tr>
        <w:tc>
          <w:tcPr/>
          <w:p>
            <w:pPr>
              <w:pStyle w:val="Compact"/>
              <w:jc w:val="left"/>
            </w:pPr>
            <w:r>
              <w:t xml:space="preserve">paredu_a_high</w:t>
            </w:r>
          </w:p>
        </w:tc>
        <w:tc>
          <w:tcPr/>
          <w:p>
            <w:pPr>
              <w:pStyle w:val="Compact"/>
              <w:jc w:val="right"/>
            </w:pPr>
            <w:r>
              <w:t xml:space="preserve">0.33</w:t>
            </w:r>
          </w:p>
        </w:tc>
        <w:tc>
          <w:tcPr/>
          <w:p>
            <w:pPr>
              <w:pStyle w:val="Compact"/>
              <w:jc w:val="right"/>
            </w:pPr>
            <w:r>
              <w:t xml:space="preserve">0.47</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39765.00</w:t>
            </w:r>
          </w:p>
        </w:tc>
      </w:tr>
      <w:tr>
        <w:tc>
          <w:tcPr/>
          <w:p>
            <w:pPr>
              <w:pStyle w:val="Compact"/>
              <w:jc w:val="left"/>
            </w:pPr>
            <w:r>
              <w:t xml:space="preserve">pplfair</w:t>
            </w:r>
          </w:p>
        </w:tc>
        <w:tc>
          <w:tcPr/>
          <w:p>
            <w:pPr>
              <w:pStyle w:val="Compact"/>
              <w:jc w:val="right"/>
            </w:pPr>
            <w:r>
              <w:t xml:space="preserve">6.44</w:t>
            </w:r>
          </w:p>
        </w:tc>
        <w:tc>
          <w:tcPr/>
          <w:p>
            <w:pPr>
              <w:pStyle w:val="Compact"/>
              <w:jc w:val="right"/>
            </w:pPr>
            <w:r>
              <w:t xml:space="preserve">2.21</w:t>
            </w:r>
          </w:p>
        </w:tc>
        <w:tc>
          <w:tcPr/>
          <w:p>
            <w:pPr>
              <w:pStyle w:val="Compact"/>
              <w:jc w:val="right"/>
            </w:pPr>
            <w:r>
              <w:t xml:space="preserve">6.00</w:t>
            </w:r>
          </w:p>
        </w:tc>
        <w:tc>
          <w:tcPr/>
          <w:p>
            <w:pPr>
              <w:pStyle w:val="Compact"/>
              <w:jc w:val="right"/>
            </w:pPr>
            <w:r>
              <w:t xml:space="preserve">1.00</w:t>
            </w:r>
          </w:p>
        </w:tc>
        <w:tc>
          <w:tcPr/>
          <w:p>
            <w:pPr>
              <w:pStyle w:val="Compact"/>
              <w:jc w:val="right"/>
            </w:pPr>
            <w:r>
              <w:t xml:space="preserve">11.00</w:t>
            </w:r>
          </w:p>
        </w:tc>
        <w:tc>
          <w:tcPr/>
          <w:p>
            <w:pPr>
              <w:pStyle w:val="Compact"/>
              <w:jc w:val="right"/>
            </w:pPr>
            <w:r>
              <w:t xml:space="preserve">41879.00</w:t>
            </w:r>
          </w:p>
        </w:tc>
      </w:tr>
      <w:tr>
        <w:tc>
          <w:tcPr/>
          <w:p>
            <w:pPr>
              <w:pStyle w:val="Compact"/>
              <w:jc w:val="left"/>
            </w:pPr>
            <w:r>
              <w:t xml:space="preserve">ppltrst</w:t>
            </w:r>
          </w:p>
        </w:tc>
        <w:tc>
          <w:tcPr/>
          <w:p>
            <w:pPr>
              <w:pStyle w:val="Compact"/>
              <w:jc w:val="right"/>
            </w:pPr>
            <w:r>
              <w:t xml:space="preserve">5.67</w:t>
            </w:r>
          </w:p>
        </w:tc>
        <w:tc>
          <w:tcPr/>
          <w:p>
            <w:pPr>
              <w:pStyle w:val="Compact"/>
              <w:jc w:val="right"/>
            </w:pPr>
            <w:r>
              <w:t xml:space="preserve">2.36</w:t>
            </w:r>
          </w:p>
        </w:tc>
        <w:tc>
          <w:tcPr/>
          <w:p>
            <w:pPr>
              <w:pStyle w:val="Compact"/>
              <w:jc w:val="right"/>
            </w:pPr>
            <w:r>
              <w:t xml:space="preserve">6.00</w:t>
            </w:r>
          </w:p>
        </w:tc>
        <w:tc>
          <w:tcPr/>
          <w:p>
            <w:pPr>
              <w:pStyle w:val="Compact"/>
              <w:jc w:val="right"/>
            </w:pPr>
            <w:r>
              <w:t xml:space="preserve">1.00</w:t>
            </w:r>
          </w:p>
        </w:tc>
        <w:tc>
          <w:tcPr/>
          <w:p>
            <w:pPr>
              <w:pStyle w:val="Compact"/>
              <w:jc w:val="right"/>
            </w:pPr>
            <w:r>
              <w:t xml:space="preserve">11.00</w:t>
            </w:r>
          </w:p>
        </w:tc>
        <w:tc>
          <w:tcPr/>
          <w:p>
            <w:pPr>
              <w:pStyle w:val="Compact"/>
              <w:jc w:val="right"/>
            </w:pPr>
            <w:r>
              <w:t xml:space="preserve">42031.00</w:t>
            </w:r>
          </w:p>
        </w:tc>
      </w:tr>
      <w:tr>
        <w:tc>
          <w:tcPr/>
          <w:p>
            <w:pPr>
              <w:pStyle w:val="Compact"/>
              <w:jc w:val="left"/>
            </w:pPr>
            <w:r>
              <w:t xml:space="preserve">trustindex3</w:t>
            </w:r>
          </w:p>
        </w:tc>
        <w:tc>
          <w:tcPr/>
          <w:p>
            <w:pPr>
              <w:pStyle w:val="Compact"/>
              <w:jc w:val="right"/>
            </w:pPr>
            <w:r>
              <w:t xml:space="preserve">4.93</w:t>
            </w:r>
          </w:p>
        </w:tc>
        <w:tc>
          <w:tcPr/>
          <w:p>
            <w:pPr>
              <w:pStyle w:val="Compact"/>
              <w:jc w:val="right"/>
            </w:pPr>
            <w:r>
              <w:t xml:space="preserve">1.86</w:t>
            </w:r>
          </w:p>
        </w:tc>
        <w:tc>
          <w:tcPr/>
          <w:p>
            <w:pPr>
              <w:pStyle w:val="Compact"/>
              <w:jc w:val="right"/>
            </w:pPr>
            <w:r>
              <w:t xml:space="preserve">5.00</w:t>
            </w:r>
          </w:p>
        </w:tc>
        <w:tc>
          <w:tcPr/>
          <w:p>
            <w:pPr>
              <w:pStyle w:val="Compact"/>
              <w:jc w:val="right"/>
            </w:pPr>
            <w:r>
              <w:t xml:space="preserve">0.00</w:t>
            </w:r>
          </w:p>
        </w:tc>
        <w:tc>
          <w:tcPr/>
          <w:p>
            <w:pPr>
              <w:pStyle w:val="Compact"/>
              <w:jc w:val="right"/>
            </w:pPr>
            <w:r>
              <w:t xml:space="preserve">10.00</w:t>
            </w:r>
          </w:p>
        </w:tc>
        <w:tc>
          <w:tcPr/>
          <w:p>
            <w:pPr>
              <w:pStyle w:val="Compact"/>
              <w:jc w:val="right"/>
            </w:pPr>
            <w:r>
              <w:t xml:space="preserve">42079.00</w:t>
            </w:r>
          </w:p>
        </w:tc>
      </w:tr>
    </w:tbl>
    <w:p>
      <w:pPr>
        <w:pStyle w:val="BodyText"/>
      </w:pPr>
      <w:r>
        <w:t xml:space="preserve">The main aesthetic limitation is that the number of decimal points cannot be set separately for each statistic, which in this particular table is inconvenient. Decimals can be rounded down to 0, but then the Mean and Std. Dev also gets rounded down.Also, variables are re-ordered alphabetically.</w:t>
      </w:r>
    </w:p>
    <w:p>
      <w:pPr>
        <w:pStyle w:val="BodyText"/>
      </w:pPr>
      <w:r>
        <w:t xml:space="preserve">Another option is using another function also called</w:t>
      </w:r>
      <w:r>
        <w:t xml:space="preserve"> </w:t>
      </w:r>
      <w:r>
        <w:rPr>
          <w:rStyle w:val="VerbatimChar"/>
        </w:rPr>
        <w:t xml:space="preserve">descr()</w:t>
      </w:r>
      <w:r>
        <w:t xml:space="preserve">, but from the</w:t>
      </w:r>
      <w:r>
        <w:t xml:space="preserve"> </w:t>
      </w:r>
      <w:r>
        <w:rPr>
          <w:rStyle w:val="VerbatimChar"/>
        </w:rPr>
        <w:t xml:space="preserve">sjmisc</w:t>
      </w:r>
      <w:r>
        <w:t xml:space="preserve"> </w:t>
      </w:r>
      <w:r>
        <w:t xml:space="preserve">package: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var</w:t>
            </w:r>
          </w:p>
        </w:tc>
        <w:tc>
          <w:tcPr/>
          <w:p>
            <w:pPr>
              <w:pStyle w:val="Compact"/>
              <w:jc w:val="left"/>
            </w:pPr>
            <w:r>
              <w:t xml:space="preserve">n</w:t>
            </w:r>
          </w:p>
        </w:tc>
        <w:tc>
          <w:tcPr/>
          <w:p>
            <w:pPr>
              <w:pStyle w:val="Compact"/>
              <w:jc w:val="right"/>
            </w:pPr>
            <w:r>
              <w:t xml:space="preserve">NA.prc</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md</w:t>
            </w:r>
          </w:p>
        </w:tc>
        <w:tc>
          <w:tcPr/>
          <w:p>
            <w:pPr>
              <w:pStyle w:val="Compact"/>
              <w:jc w:val="right"/>
            </w:pPr>
            <w:r>
              <w:t xml:space="preserve">range</w:t>
            </w:r>
          </w:p>
        </w:tc>
      </w:tr>
      <w:tr>
        <w:tc>
          <w:tcPr/>
          <w:p>
            <w:pPr>
              <w:pStyle w:val="Compact"/>
              <w:jc w:val="left"/>
            </w:pPr>
            <w:r>
              <w:t xml:space="preserve">trustindex3</w:t>
            </w:r>
          </w:p>
        </w:tc>
        <w:tc>
          <w:tcPr/>
          <w:p>
            <w:pPr>
              <w:pStyle w:val="Compact"/>
              <w:jc w:val="left"/>
            </w:pPr>
            <w:r>
              <w:t xml:space="preserve">42079</w:t>
            </w:r>
          </w:p>
        </w:tc>
        <w:tc>
          <w:tcPr/>
          <w:p>
            <w:pPr>
              <w:pStyle w:val="Compact"/>
              <w:jc w:val="right"/>
            </w:pPr>
            <w:r>
              <w:t xml:space="preserve">0.00</w:t>
            </w:r>
          </w:p>
        </w:tc>
        <w:tc>
          <w:tcPr/>
          <w:p>
            <w:pPr>
              <w:pStyle w:val="Compact"/>
              <w:jc w:val="right"/>
            </w:pPr>
            <w:r>
              <w:t xml:space="preserve">4.93</w:t>
            </w:r>
          </w:p>
        </w:tc>
        <w:tc>
          <w:tcPr/>
          <w:p>
            <w:pPr>
              <w:pStyle w:val="Compact"/>
              <w:jc w:val="right"/>
            </w:pPr>
            <w:r>
              <w:t xml:space="preserve">1.86</w:t>
            </w:r>
          </w:p>
        </w:tc>
        <w:tc>
          <w:tcPr/>
          <w:p>
            <w:pPr>
              <w:pStyle w:val="Compact"/>
              <w:jc w:val="right"/>
            </w:pPr>
            <w:r>
              <w:t xml:space="preserve">5</w:t>
            </w:r>
          </w:p>
        </w:tc>
        <w:tc>
          <w:tcPr/>
          <w:p>
            <w:pPr>
              <w:pStyle w:val="Compact"/>
              <w:jc w:val="right"/>
            </w:pPr>
            <w:r>
              <w:t xml:space="preserve">10 (0-10)</w:t>
            </w:r>
          </w:p>
        </w:tc>
      </w:tr>
      <w:tr>
        <w:tc>
          <w:tcPr/>
          <w:p>
            <w:pPr>
              <w:pStyle w:val="Compact"/>
              <w:jc w:val="left"/>
            </w:pPr>
            <w:r>
              <w:t xml:space="preserve">ppltrst</w:t>
            </w:r>
          </w:p>
        </w:tc>
        <w:tc>
          <w:tcPr/>
          <w:p>
            <w:pPr>
              <w:pStyle w:val="Compact"/>
              <w:jc w:val="left"/>
            </w:pPr>
            <w:r>
              <w:t xml:space="preserve">42031</w:t>
            </w:r>
          </w:p>
        </w:tc>
        <w:tc>
          <w:tcPr/>
          <w:p>
            <w:pPr>
              <w:pStyle w:val="Compact"/>
              <w:jc w:val="right"/>
            </w:pPr>
            <w:r>
              <w:t xml:space="preserve">0.11</w:t>
            </w:r>
          </w:p>
        </w:tc>
        <w:tc>
          <w:tcPr/>
          <w:p>
            <w:pPr>
              <w:pStyle w:val="Compact"/>
              <w:jc w:val="right"/>
            </w:pPr>
            <w:r>
              <w:t xml:space="preserve">5.67</w:t>
            </w:r>
          </w:p>
        </w:tc>
        <w:tc>
          <w:tcPr/>
          <w:p>
            <w:pPr>
              <w:pStyle w:val="Compact"/>
              <w:jc w:val="right"/>
            </w:pPr>
            <w:r>
              <w:t xml:space="preserve">2.36</w:t>
            </w:r>
          </w:p>
        </w:tc>
        <w:tc>
          <w:tcPr/>
          <w:p>
            <w:pPr>
              <w:pStyle w:val="Compact"/>
              <w:jc w:val="right"/>
            </w:pPr>
            <w:r>
              <w:t xml:space="preserve">6</w:t>
            </w:r>
          </w:p>
        </w:tc>
        <w:tc>
          <w:tcPr/>
          <w:p>
            <w:pPr>
              <w:pStyle w:val="Compact"/>
              <w:jc w:val="right"/>
            </w:pPr>
            <w:r>
              <w:t xml:space="preserve">10 (1-11)</w:t>
            </w:r>
          </w:p>
        </w:tc>
      </w:tr>
      <w:tr>
        <w:tc>
          <w:tcPr/>
          <w:p>
            <w:pPr>
              <w:pStyle w:val="Compact"/>
              <w:jc w:val="left"/>
            </w:pPr>
            <w:r>
              <w:t xml:space="preserve">pplfair</w:t>
            </w:r>
          </w:p>
        </w:tc>
        <w:tc>
          <w:tcPr/>
          <w:p>
            <w:pPr>
              <w:pStyle w:val="Compact"/>
              <w:jc w:val="left"/>
            </w:pPr>
            <w:r>
              <w:t xml:space="preserve">41879</w:t>
            </w:r>
          </w:p>
        </w:tc>
        <w:tc>
          <w:tcPr/>
          <w:p>
            <w:pPr>
              <w:pStyle w:val="Compact"/>
              <w:jc w:val="right"/>
            </w:pPr>
            <w:r>
              <w:t xml:space="preserve">0.48</w:t>
            </w:r>
          </w:p>
        </w:tc>
        <w:tc>
          <w:tcPr/>
          <w:p>
            <w:pPr>
              <w:pStyle w:val="Compact"/>
              <w:jc w:val="right"/>
            </w:pPr>
            <w:r>
              <w:t xml:space="preserve">6.44</w:t>
            </w:r>
          </w:p>
        </w:tc>
        <w:tc>
          <w:tcPr/>
          <w:p>
            <w:pPr>
              <w:pStyle w:val="Compact"/>
              <w:jc w:val="right"/>
            </w:pPr>
            <w:r>
              <w:t xml:space="preserve">2.21</w:t>
            </w:r>
          </w:p>
        </w:tc>
        <w:tc>
          <w:tcPr/>
          <w:p>
            <w:pPr>
              <w:pStyle w:val="Compact"/>
              <w:jc w:val="right"/>
            </w:pPr>
            <w:r>
              <w:t xml:space="preserve">6</w:t>
            </w:r>
          </w:p>
        </w:tc>
        <w:tc>
          <w:tcPr/>
          <w:p>
            <w:pPr>
              <w:pStyle w:val="Compact"/>
              <w:jc w:val="right"/>
            </w:pPr>
            <w:r>
              <w:t xml:space="preserve">10 (1-11)</w:t>
            </w:r>
          </w:p>
        </w:tc>
      </w:tr>
      <w:tr>
        <w:tc>
          <w:tcPr/>
          <w:p>
            <w:pPr>
              <w:pStyle w:val="Compact"/>
              <w:jc w:val="left"/>
            </w:pPr>
            <w:r>
              <w:t xml:space="preserve">cntry</w:t>
            </w:r>
          </w:p>
        </w:tc>
        <w:tc>
          <w:tcPr/>
          <w:p>
            <w:pPr>
              <w:pStyle w:val="Compact"/>
              <w:jc w:val="left"/>
            </w:pPr>
            <w:r>
              <w:t xml:space="preserve">42079</w:t>
            </w:r>
          </w:p>
        </w:tc>
        <w:tc>
          <w:tcPr/>
          <w:p>
            <w:pPr>
              <w:pStyle w:val="Compact"/>
              <w:jc w:val="right"/>
            </w:pPr>
            <w:r>
              <w:t xml:space="preserve">0.00</w:t>
            </w:r>
          </w:p>
        </w:tc>
        <w:tc>
          <w:tcPr/>
          <w:p>
            <w:pPr>
              <w:pStyle w:val="Compact"/>
              <w:jc w:val="right"/>
            </w:pPr>
            <w:r>
              <w:t xml:space="preserve">4.65</w:t>
            </w:r>
          </w:p>
        </w:tc>
        <w:tc>
          <w:tcPr/>
          <w:p>
            <w:pPr>
              <w:pStyle w:val="Compact"/>
              <w:jc w:val="right"/>
            </w:pPr>
            <w:r>
              <w:t xml:space="preserve">2.25</w:t>
            </w:r>
          </w:p>
        </w:tc>
        <w:tc>
          <w:tcPr/>
          <w:p>
            <w:pPr>
              <w:pStyle w:val="Compact"/>
              <w:jc w:val="right"/>
            </w:pPr>
            <w:r>
              <w:t xml:space="preserve">4</w:t>
            </w:r>
          </w:p>
        </w:tc>
        <w:tc>
          <w:tcPr/>
          <w:p>
            <w:pPr>
              <w:pStyle w:val="Compact"/>
              <w:jc w:val="right"/>
            </w:pPr>
            <w:r>
              <w:t xml:space="preserve">7 (1-8)</w:t>
            </w:r>
          </w:p>
        </w:tc>
      </w:tr>
      <w:tr>
        <w:tc>
          <w:tcPr/>
          <w:p>
            <w:pPr>
              <w:pStyle w:val="Compact"/>
              <w:jc w:val="left"/>
            </w:pPr>
            <w:r>
              <w:t xml:space="preserve">facntr</w:t>
            </w:r>
          </w:p>
        </w:tc>
        <w:tc>
          <w:tcPr/>
          <w:p>
            <w:pPr>
              <w:pStyle w:val="Compact"/>
              <w:jc w:val="left"/>
            </w:pPr>
            <w:r>
              <w:t xml:space="preserve">42079</w:t>
            </w:r>
          </w:p>
        </w:tc>
        <w:tc>
          <w:tcPr/>
          <w:p>
            <w:pPr>
              <w:pStyle w:val="Compact"/>
              <w:jc w:val="right"/>
            </w:pPr>
            <w:r>
              <w:t xml:space="preserve">0.00</w:t>
            </w:r>
          </w:p>
        </w:tc>
        <w:tc>
          <w:tcPr/>
          <w:p>
            <w:pPr>
              <w:pStyle w:val="Compact"/>
              <w:jc w:val="right"/>
            </w:pPr>
            <w:r>
              <w:t xml:space="preserve">0.96</w:t>
            </w:r>
          </w:p>
        </w:tc>
        <w:tc>
          <w:tcPr/>
          <w:p>
            <w:pPr>
              <w:pStyle w:val="Compact"/>
              <w:jc w:val="right"/>
            </w:pPr>
            <w:r>
              <w:t xml:space="preserve">0.19</w:t>
            </w:r>
          </w:p>
        </w:tc>
        <w:tc>
          <w:tcPr/>
          <w:p>
            <w:pPr>
              <w:pStyle w:val="Compact"/>
              <w:jc w:val="right"/>
            </w:pPr>
            <w:r>
              <w:t xml:space="preserve">1</w:t>
            </w:r>
          </w:p>
        </w:tc>
        <w:tc>
          <w:tcPr/>
          <w:p>
            <w:pPr>
              <w:pStyle w:val="Compact"/>
              <w:jc w:val="right"/>
            </w:pPr>
            <w:r>
              <w:t xml:space="preserve">1 (0-1)</w:t>
            </w:r>
          </w:p>
        </w:tc>
      </w:tr>
      <w:tr>
        <w:tc>
          <w:tcPr/>
          <w:p>
            <w:pPr>
              <w:pStyle w:val="Compact"/>
              <w:jc w:val="left"/>
            </w:pPr>
            <w:r>
              <w:t xml:space="preserve">mocntr</w:t>
            </w:r>
          </w:p>
        </w:tc>
        <w:tc>
          <w:tcPr/>
          <w:p>
            <w:pPr>
              <w:pStyle w:val="Compact"/>
              <w:jc w:val="left"/>
            </w:pPr>
            <w:r>
              <w:t xml:space="preserve">42079</w:t>
            </w:r>
          </w:p>
        </w:tc>
        <w:tc>
          <w:tcPr/>
          <w:p>
            <w:pPr>
              <w:pStyle w:val="Compact"/>
              <w:jc w:val="right"/>
            </w:pPr>
            <w:r>
              <w:t xml:space="preserve">0.00</w:t>
            </w:r>
          </w:p>
        </w:tc>
        <w:tc>
          <w:tcPr/>
          <w:p>
            <w:pPr>
              <w:pStyle w:val="Compact"/>
              <w:jc w:val="right"/>
            </w:pPr>
            <w:r>
              <w:t xml:space="preserve">0.97</w:t>
            </w:r>
          </w:p>
        </w:tc>
        <w:tc>
          <w:tcPr/>
          <w:p>
            <w:pPr>
              <w:pStyle w:val="Compact"/>
              <w:jc w:val="right"/>
            </w:pPr>
            <w:r>
              <w:t xml:space="preserve">0.18</w:t>
            </w:r>
          </w:p>
        </w:tc>
        <w:tc>
          <w:tcPr/>
          <w:p>
            <w:pPr>
              <w:pStyle w:val="Compact"/>
              <w:jc w:val="right"/>
            </w:pPr>
            <w:r>
              <w:t xml:space="preserve">1</w:t>
            </w:r>
          </w:p>
        </w:tc>
        <w:tc>
          <w:tcPr/>
          <w:p>
            <w:pPr>
              <w:pStyle w:val="Compact"/>
              <w:jc w:val="right"/>
            </w:pPr>
            <w:r>
              <w:t xml:space="preserve">1 (0-1)</w:t>
            </w:r>
          </w:p>
        </w:tc>
      </w:tr>
      <w:tr>
        <w:tc>
          <w:tcPr/>
          <w:p>
            <w:pPr>
              <w:pStyle w:val="Compact"/>
              <w:jc w:val="left"/>
            </w:pPr>
            <w:r>
              <w:t xml:space="preserve">female</w:t>
            </w:r>
          </w:p>
        </w:tc>
        <w:tc>
          <w:tcPr/>
          <w:p>
            <w:pPr>
              <w:pStyle w:val="Compact"/>
              <w:jc w:val="left"/>
            </w:pPr>
            <w:r>
              <w:t xml:space="preserve">42079</w:t>
            </w:r>
          </w:p>
        </w:tc>
        <w:tc>
          <w:tcPr/>
          <w:p>
            <w:pPr>
              <w:pStyle w:val="Compact"/>
              <w:jc w:val="right"/>
            </w:pPr>
            <w:r>
              <w:t xml:space="preserve">0.00</w:t>
            </w:r>
          </w:p>
        </w:tc>
        <w:tc>
          <w:tcPr/>
          <w:p>
            <w:pPr>
              <w:pStyle w:val="Compact"/>
              <w:jc w:val="right"/>
            </w:pPr>
            <w:r>
              <w:t xml:space="preserve">0.54</w:t>
            </w:r>
          </w:p>
        </w:tc>
        <w:tc>
          <w:tcPr/>
          <w:p>
            <w:pPr>
              <w:pStyle w:val="Compact"/>
              <w:jc w:val="right"/>
            </w:pPr>
            <w:r>
              <w:t xml:space="preserve">0.50</w:t>
            </w:r>
          </w:p>
        </w:tc>
        <w:tc>
          <w:tcPr/>
          <w:p>
            <w:pPr>
              <w:pStyle w:val="Compact"/>
              <w:jc w:val="right"/>
            </w:pPr>
            <w:r>
              <w:t xml:space="preserve">1</w:t>
            </w:r>
          </w:p>
        </w:tc>
        <w:tc>
          <w:tcPr/>
          <w:p>
            <w:pPr>
              <w:pStyle w:val="Compact"/>
              <w:jc w:val="right"/>
            </w:pPr>
            <w:r>
              <w:t xml:space="preserve">1 (0-1)</w:t>
            </w:r>
          </w:p>
        </w:tc>
      </w:tr>
      <w:tr>
        <w:tc>
          <w:tcPr/>
          <w:p>
            <w:pPr>
              <w:pStyle w:val="Compact"/>
              <w:jc w:val="left"/>
            </w:pPr>
            <w:r>
              <w:t xml:space="preserve">agea</w:t>
            </w:r>
          </w:p>
        </w:tc>
        <w:tc>
          <w:tcPr/>
          <w:p>
            <w:pPr>
              <w:pStyle w:val="Compact"/>
              <w:jc w:val="left"/>
            </w:pPr>
            <w:r>
              <w:t xml:space="preserve">42079</w:t>
            </w:r>
          </w:p>
        </w:tc>
        <w:tc>
          <w:tcPr/>
          <w:p>
            <w:pPr>
              <w:pStyle w:val="Compact"/>
              <w:jc w:val="right"/>
            </w:pPr>
            <w:r>
              <w:t xml:space="preserve">0.00</w:t>
            </w:r>
          </w:p>
        </w:tc>
        <w:tc>
          <w:tcPr/>
          <w:p>
            <w:pPr>
              <w:pStyle w:val="Compact"/>
              <w:jc w:val="right"/>
            </w:pPr>
            <w:r>
              <w:t xml:space="preserve">51.13</w:t>
            </w:r>
          </w:p>
        </w:tc>
        <w:tc>
          <w:tcPr/>
          <w:p>
            <w:pPr>
              <w:pStyle w:val="Compact"/>
              <w:jc w:val="right"/>
            </w:pPr>
            <w:r>
              <w:t xml:space="preserve">12.86</w:t>
            </w:r>
          </w:p>
        </w:tc>
        <w:tc>
          <w:tcPr/>
          <w:p>
            <w:pPr>
              <w:pStyle w:val="Compact"/>
              <w:jc w:val="right"/>
            </w:pPr>
            <w:r>
              <w:t xml:space="preserve">53</w:t>
            </w:r>
          </w:p>
        </w:tc>
        <w:tc>
          <w:tcPr/>
          <w:p>
            <w:pPr>
              <w:pStyle w:val="Compact"/>
              <w:jc w:val="right"/>
            </w:pPr>
            <w:r>
              <w:t xml:space="preserve">55 (25-80)</w:t>
            </w:r>
          </w:p>
        </w:tc>
      </w:tr>
      <w:tr>
        <w:tc>
          <w:tcPr/>
          <w:p>
            <w:pPr>
              <w:pStyle w:val="Compact"/>
              <w:jc w:val="left"/>
            </w:pPr>
            <w:r>
              <w:t xml:space="preserve">eduyrs25</w:t>
            </w:r>
          </w:p>
        </w:tc>
        <w:tc>
          <w:tcPr/>
          <w:p>
            <w:pPr>
              <w:pStyle w:val="Compact"/>
              <w:jc w:val="left"/>
            </w:pPr>
            <w:r>
              <w:t xml:space="preserve">41626</w:t>
            </w:r>
          </w:p>
        </w:tc>
        <w:tc>
          <w:tcPr/>
          <w:p>
            <w:pPr>
              <w:pStyle w:val="Compact"/>
              <w:jc w:val="right"/>
            </w:pPr>
            <w:r>
              <w:t xml:space="preserve">1.08</w:t>
            </w:r>
          </w:p>
        </w:tc>
        <w:tc>
          <w:tcPr/>
          <w:p>
            <w:pPr>
              <w:pStyle w:val="Compact"/>
              <w:jc w:val="right"/>
            </w:pPr>
            <w:r>
              <w:t xml:space="preserve">12.38</w:t>
            </w:r>
          </w:p>
        </w:tc>
        <w:tc>
          <w:tcPr/>
          <w:p>
            <w:pPr>
              <w:pStyle w:val="Compact"/>
              <w:jc w:val="right"/>
            </w:pPr>
            <w:r>
              <w:t xml:space="preserve">4.32</w:t>
            </w:r>
          </w:p>
        </w:tc>
        <w:tc>
          <w:tcPr/>
          <w:p>
            <w:pPr>
              <w:pStyle w:val="Compact"/>
              <w:jc w:val="right"/>
            </w:pPr>
            <w:r>
              <w:t xml:space="preserve">12</w:t>
            </w:r>
          </w:p>
        </w:tc>
        <w:tc>
          <w:tcPr/>
          <w:p>
            <w:pPr>
              <w:pStyle w:val="Compact"/>
              <w:jc w:val="right"/>
            </w:pPr>
            <w:r>
              <w:t xml:space="preserve">25 (0-25)</w:t>
            </w:r>
          </w:p>
        </w:tc>
      </w:tr>
      <w:tr>
        <w:tc>
          <w:tcPr/>
          <w:p>
            <w:pPr>
              <w:pStyle w:val="Compact"/>
              <w:jc w:val="left"/>
            </w:pPr>
            <w:r>
              <w:t xml:space="preserve">paredu_a_high</w:t>
            </w:r>
          </w:p>
        </w:tc>
        <w:tc>
          <w:tcPr/>
          <w:p>
            <w:pPr>
              <w:pStyle w:val="Compact"/>
              <w:jc w:val="left"/>
            </w:pPr>
            <w:r>
              <w:t xml:space="preserve">39765</w:t>
            </w:r>
          </w:p>
        </w:tc>
        <w:tc>
          <w:tcPr/>
          <w:p>
            <w:pPr>
              <w:pStyle w:val="Compact"/>
              <w:jc w:val="right"/>
            </w:pPr>
            <w:r>
              <w:t xml:space="preserve">5.50</w:t>
            </w:r>
          </w:p>
        </w:tc>
        <w:tc>
          <w:tcPr/>
          <w:p>
            <w:pPr>
              <w:pStyle w:val="Compact"/>
              <w:jc w:val="right"/>
            </w:pPr>
            <w:r>
              <w:t xml:space="preserve">0.33</w:t>
            </w:r>
          </w:p>
        </w:tc>
        <w:tc>
          <w:tcPr/>
          <w:p>
            <w:pPr>
              <w:pStyle w:val="Compact"/>
              <w:jc w:val="right"/>
            </w:pPr>
            <w:r>
              <w:t xml:space="preserve">0.47</w:t>
            </w:r>
          </w:p>
        </w:tc>
        <w:tc>
          <w:tcPr/>
          <w:p>
            <w:pPr>
              <w:pStyle w:val="Compact"/>
              <w:jc w:val="right"/>
            </w:pPr>
            <w:r>
              <w:t xml:space="preserve">0</w:t>
            </w:r>
          </w:p>
        </w:tc>
        <w:tc>
          <w:tcPr/>
          <w:p>
            <w:pPr>
              <w:pStyle w:val="Compact"/>
              <w:jc w:val="right"/>
            </w:pPr>
            <w:r>
              <w:t xml:space="preserve">1 (0-1)</w:t>
            </w:r>
          </w:p>
        </w:tc>
      </w:tr>
    </w:tbl>
    <w:p>
      <w:pPr>
        <w:pStyle w:val="BodyText"/>
      </w:pPr>
      <w:r>
        <w:t xml:space="preserve">Here, on the other hand, what’s inconvenient is that the order of the statistics (column headings) cannot be changed. That’s probably easier to do manually in Word, however, if needed.</w:t>
      </w:r>
    </w:p>
    <w:bookmarkEnd w:id="26"/>
    <w:bookmarkStart w:id="27" w:name="results"/>
    <w:p>
      <w:pPr>
        <w:pStyle w:val="Heading2"/>
      </w:pPr>
      <w:r>
        <w:t xml:space="preserve">Results</w:t>
      </w:r>
    </w:p>
    <w:p>
      <w:pPr>
        <w:pStyle w:val="FirstParagraph"/>
      </w:pPr>
      <w:r>
        <w:t xml:space="preserve">This is the section where you describe the results of your main analysis, which will be some regression model. In this example, I fit three nested models - M1, M2 and M3 - starting with a simple bivariate regression of</w:t>
      </w:r>
      <w:r>
        <w:t xml:space="preserve"> </w:t>
      </w:r>
      <w:r>
        <w:rPr>
          <w:rStyle w:val="VerbatimChar"/>
        </w:rPr>
        <w:t xml:space="preserve">trust</w:t>
      </w:r>
      <w:r>
        <w:t xml:space="preserve"> </w:t>
      </w:r>
      <w:r>
        <w:t xml:space="preserve">on</w:t>
      </w:r>
      <w:r>
        <w:t xml:space="preserve"> </w:t>
      </w:r>
      <w:r>
        <w:rPr>
          <w:rStyle w:val="VerbatimChar"/>
        </w:rPr>
        <w:t xml:space="preserve">education years</w:t>
      </w:r>
      <w:r>
        <w:t xml:space="preserve"> </w:t>
      </w:r>
      <w:r>
        <w:t xml:space="preserve">only (M1), then expanding the list of predictors with</w:t>
      </w:r>
      <w:r>
        <w:t xml:space="preserve"> </w:t>
      </w:r>
      <w:r>
        <w:rPr>
          <w:rStyle w:val="VerbatimChar"/>
        </w:rPr>
        <w:t xml:space="preserve">age</w:t>
      </w:r>
      <w:r>
        <w:t xml:space="preserve"> </w:t>
      </w:r>
      <w:r>
        <w:t xml:space="preserve">and</w:t>
      </w:r>
      <w:r>
        <w:t xml:space="preserve"> </w:t>
      </w:r>
      <w:r>
        <w:rPr>
          <w:rStyle w:val="VerbatimChar"/>
        </w:rPr>
        <w:t xml:space="preserve">sex</w:t>
      </w:r>
      <w:r>
        <w:t xml:space="preserve"> </w:t>
      </w:r>
      <w:r>
        <w:t xml:space="preserve">(M2), and finally including also</w:t>
      </w:r>
      <w:r>
        <w:t xml:space="preserve"> </w:t>
      </w:r>
      <w:r>
        <w:rPr>
          <w:rStyle w:val="VerbatimChar"/>
        </w:rPr>
        <w:t xml:space="preserve">parental education</w:t>
      </w:r>
      <w:r>
        <w:t xml:space="preserve"> </w:t>
      </w:r>
      <w:r>
        <w:t xml:space="preserve">and</w:t>
      </w:r>
      <w:r>
        <w:t xml:space="preserve"> </w:t>
      </w:r>
      <w:r>
        <w:rPr>
          <w:rStyle w:val="VerbatimChar"/>
        </w:rPr>
        <w:t xml:space="preserve">parents born abroad</w:t>
      </w:r>
      <w:r>
        <w:t xml:space="preserve">. The</w:t>
      </w:r>
      <w:r>
        <w:t xml:space="preserve"> </w:t>
      </w:r>
      <w:r>
        <w:rPr>
          <w:rStyle w:val="VerbatimChar"/>
          <w:iCs/>
          <w:i/>
        </w:rPr>
        <w:t xml:space="preserve">.Rmd</w:t>
      </w:r>
      <w:r>
        <w:t xml:space="preserve"> </w:t>
      </w:r>
      <w:r>
        <w:t xml:space="preserve">file fits and saves these models in the background.</w:t>
      </w:r>
    </w:p>
    <w:p>
      <w:pPr>
        <w:pStyle w:val="BodyText"/>
      </w:pPr>
      <w:r>
        <w:t xml:space="preserve">In class, your aim was to print summary statistics from the fit model in a format that helped you to interpret the results. Apart from the standard call to</w:t>
      </w:r>
      <w:r>
        <w:t xml:space="preserve"> </w:t>
      </w:r>
      <w:r>
        <w:rPr>
          <w:rStyle w:val="VerbatimChar"/>
        </w:rPr>
        <w:t xml:space="preserve">summary()</w:t>
      </w:r>
      <w:r>
        <w:t xml:space="preserve">, we have tried</w:t>
      </w:r>
      <w:r>
        <w:t xml:space="preserve"> </w:t>
      </w:r>
      <w:r>
        <w:rPr>
          <w:rStyle w:val="VerbatimChar"/>
        </w:rPr>
        <w:t xml:space="preserve">summ()</w:t>
      </w:r>
      <w:r>
        <w:t xml:space="preserve"> </w:t>
      </w:r>
      <w:r>
        <w:t xml:space="preserve">from the</w:t>
      </w:r>
      <w:r>
        <w:t xml:space="preserve"> </w:t>
      </w:r>
      <w:r>
        <w:rPr>
          <w:rStyle w:val="VerbatimChar"/>
        </w:rPr>
        <w:t xml:space="preserve">jtools</w:t>
      </w:r>
      <w:r>
        <w:t xml:space="preserve"> </w:t>
      </w:r>
      <w:r>
        <w:t xml:space="preserve">package.</w:t>
      </w:r>
    </w:p>
    <w:p>
      <w:pPr>
        <w:pStyle w:val="BodyText"/>
      </w:pPr>
      <w:r>
        <w:t xml:space="preserve">Here, your aim is to find the best way to present your model(s) to readers. The two summary tools we used in class are not ideal for directly knitting nicely formatted regression model summaries to Word documents in RMarkdown. The</w:t>
      </w:r>
      <w:r>
        <w:t xml:space="preserve"> </w:t>
      </w:r>
      <w:r>
        <w:rPr>
          <w:rStyle w:val="VerbatimChar"/>
          <w:iCs/>
          <w:i/>
        </w:rPr>
        <w:t xml:space="preserve">.Rmd</w:t>
      </w:r>
      <w:r>
        <w:t xml:space="preserve"> </w:t>
      </w:r>
      <w:r>
        <w:t xml:space="preserve">file contains some better functions for this purpose.</w:t>
      </w:r>
    </w:p>
    <w:p>
      <w:pPr>
        <w:pStyle w:val="BodyText"/>
      </w:pPr>
      <w:r>
        <w:t xml:space="preserve">Here is an example of a summary table of a single model using the</w:t>
      </w:r>
      <w:r>
        <w:t xml:space="preserve"> </w:t>
      </w:r>
      <w:r>
        <w:rPr>
          <w:rStyle w:val="VerbatimChar"/>
        </w:rPr>
        <w:t xml:space="preserve">parameters</w:t>
      </w:r>
      <w:r>
        <w:t xml:space="preserve"> </w:t>
      </w:r>
      <w:r>
        <w:t xml:space="preserve">package):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Parameter</w:t>
            </w:r>
          </w:p>
        </w:tc>
        <w:tc>
          <w:tcPr/>
          <w:p>
            <w:pPr>
              <w:pStyle w:val="Compact"/>
              <w:jc w:val="center"/>
            </w:pPr>
            <w:r>
              <w:t xml:space="preserve">Coefficient</w:t>
            </w:r>
          </w:p>
        </w:tc>
        <w:tc>
          <w:tcPr/>
          <w:p>
            <w:pPr>
              <w:pStyle w:val="Compact"/>
              <w:jc w:val="center"/>
            </w:pPr>
            <w:r>
              <w:t xml:space="preserve">SE</w:t>
            </w:r>
          </w:p>
        </w:tc>
        <w:tc>
          <w:tcPr/>
          <w:p>
            <w:pPr>
              <w:pStyle w:val="Compact"/>
              <w:jc w:val="center"/>
            </w:pPr>
            <w:r>
              <w:t xml:space="preserve">95% CI</w:t>
            </w:r>
          </w:p>
        </w:tc>
        <w:tc>
          <w:tcPr/>
          <w:p>
            <w:pPr>
              <w:pStyle w:val="Compact"/>
              <w:jc w:val="center"/>
            </w:pPr>
            <w:r>
              <w:t xml:space="preserve">t(39381)</w:t>
            </w:r>
          </w:p>
        </w:tc>
        <w:tc>
          <w:tcPr/>
          <w:p>
            <w:pPr>
              <w:pStyle w:val="Compact"/>
              <w:jc w:val="center"/>
            </w:pPr>
            <w:r>
              <w:t xml:space="preserve">p</w:t>
            </w:r>
          </w:p>
        </w:tc>
      </w:tr>
      <w:tr>
        <w:tc>
          <w:tcPr/>
          <w:p>
            <w:pPr>
              <w:pStyle w:val="Compact"/>
              <w:jc w:val="left"/>
            </w:pPr>
            <w:r>
              <w:t xml:space="preserve">(Intercept)</w:t>
            </w:r>
          </w:p>
        </w:tc>
        <w:tc>
          <w:tcPr/>
          <w:p>
            <w:pPr>
              <w:pStyle w:val="Compact"/>
              <w:jc w:val="center"/>
            </w:pPr>
            <w:r>
              <w:t xml:space="preserve">3.028</w:t>
            </w:r>
          </w:p>
        </w:tc>
        <w:tc>
          <w:tcPr/>
          <w:p>
            <w:pPr>
              <w:pStyle w:val="Compact"/>
              <w:jc w:val="center"/>
            </w:pPr>
            <w:r>
              <w:t xml:space="preserve">0.053</w:t>
            </w:r>
          </w:p>
        </w:tc>
        <w:tc>
          <w:tcPr/>
          <w:p>
            <w:pPr>
              <w:pStyle w:val="Compact"/>
              <w:jc w:val="center"/>
            </w:pPr>
            <w:r>
              <w:t xml:space="preserve">(2.92, 3.13)</w:t>
            </w:r>
          </w:p>
        </w:tc>
        <w:tc>
          <w:tcPr/>
          <w:p>
            <w:pPr>
              <w:pStyle w:val="Compact"/>
              <w:jc w:val="center"/>
            </w:pPr>
            <w:r>
              <w:t xml:space="preserve">57.373</w:t>
            </w:r>
          </w:p>
        </w:tc>
        <w:tc>
          <w:tcPr/>
          <w:p>
            <w:pPr>
              <w:pStyle w:val="Compact"/>
              <w:jc w:val="center"/>
            </w:pPr>
            <w:r>
              <w:t xml:space="preserve">&lt; .001</w:t>
            </w:r>
          </w:p>
        </w:tc>
      </w:tr>
      <w:tr>
        <w:tc>
          <w:tcPr/>
          <w:p>
            <w:pPr>
              <w:pStyle w:val="Compact"/>
              <w:jc w:val="left"/>
            </w:pPr>
            <w:r>
              <w:t xml:space="preserve">eduyrs25</w:t>
            </w:r>
          </w:p>
        </w:tc>
        <w:tc>
          <w:tcPr/>
          <w:p>
            <w:pPr>
              <w:pStyle w:val="Compact"/>
              <w:jc w:val="center"/>
            </w:pPr>
            <w:r>
              <w:t xml:space="preserve">0.097</w:t>
            </w:r>
          </w:p>
        </w:tc>
        <w:tc>
          <w:tcPr/>
          <w:p>
            <w:pPr>
              <w:pStyle w:val="Compact"/>
              <w:jc w:val="center"/>
            </w:pPr>
            <w:r>
              <w:t xml:space="preserve">0.002</w:t>
            </w:r>
          </w:p>
        </w:tc>
        <w:tc>
          <w:tcPr/>
          <w:p>
            <w:pPr>
              <w:pStyle w:val="Compact"/>
              <w:jc w:val="center"/>
            </w:pPr>
            <w:r>
              <w:t xml:space="preserve">(0.09, 0.10)</w:t>
            </w:r>
          </w:p>
        </w:tc>
        <w:tc>
          <w:tcPr/>
          <w:p>
            <w:pPr>
              <w:pStyle w:val="Compact"/>
              <w:jc w:val="center"/>
            </w:pPr>
            <w:r>
              <w:t xml:space="preserve">42.015</w:t>
            </w:r>
          </w:p>
        </w:tc>
        <w:tc>
          <w:tcPr/>
          <w:p>
            <w:pPr>
              <w:pStyle w:val="Compact"/>
              <w:jc w:val="center"/>
            </w:pPr>
            <w:r>
              <w:t xml:space="preserve">&lt; .001</w:t>
            </w:r>
          </w:p>
        </w:tc>
      </w:tr>
      <w:tr>
        <w:tc>
          <w:tcPr/>
          <w:p>
            <w:pPr>
              <w:pStyle w:val="Compact"/>
              <w:jc w:val="left"/>
            </w:pPr>
            <w:r>
              <w:t xml:space="preserve">agea</w:t>
            </w:r>
          </w:p>
        </w:tc>
        <w:tc>
          <w:tcPr/>
          <w:p>
            <w:pPr>
              <w:pStyle w:val="Compact"/>
              <w:jc w:val="center"/>
            </w:pPr>
            <w:r>
              <w:t xml:space="preserve">0.012</w:t>
            </w:r>
          </w:p>
        </w:tc>
        <w:tc>
          <w:tcPr/>
          <w:p>
            <w:pPr>
              <w:pStyle w:val="Compact"/>
              <w:jc w:val="center"/>
            </w:pPr>
            <w:r>
              <w:t xml:space="preserve">7.294e-04</w:t>
            </w:r>
          </w:p>
        </w:tc>
        <w:tc>
          <w:tcPr/>
          <w:p>
            <w:pPr>
              <w:pStyle w:val="Compact"/>
              <w:jc w:val="center"/>
            </w:pPr>
            <w:r>
              <w:t xml:space="preserve">(0.01, 0.01)</w:t>
            </w:r>
          </w:p>
        </w:tc>
        <w:tc>
          <w:tcPr/>
          <w:p>
            <w:pPr>
              <w:pStyle w:val="Compact"/>
              <w:jc w:val="center"/>
            </w:pPr>
            <w:r>
              <w:t xml:space="preserve">16.751</w:t>
            </w:r>
          </w:p>
        </w:tc>
        <w:tc>
          <w:tcPr/>
          <w:p>
            <w:pPr>
              <w:pStyle w:val="Compact"/>
              <w:jc w:val="center"/>
            </w:pPr>
            <w:r>
              <w:t xml:space="preserve">&lt; .001</w:t>
            </w:r>
          </w:p>
        </w:tc>
      </w:tr>
      <w:tr>
        <w:tc>
          <w:tcPr/>
          <w:p>
            <w:pPr>
              <w:pStyle w:val="Compact"/>
              <w:jc w:val="left"/>
            </w:pPr>
            <w:r>
              <w:t xml:space="preserve">female</w:t>
            </w:r>
          </w:p>
        </w:tc>
        <w:tc>
          <w:tcPr/>
          <w:p>
            <w:pPr>
              <w:pStyle w:val="Compact"/>
              <w:jc w:val="center"/>
            </w:pPr>
            <w:r>
              <w:t xml:space="preserve">0.046</w:t>
            </w:r>
          </w:p>
        </w:tc>
        <w:tc>
          <w:tcPr/>
          <w:p>
            <w:pPr>
              <w:pStyle w:val="Compact"/>
              <w:jc w:val="center"/>
            </w:pPr>
            <w:r>
              <w:t xml:space="preserve">0.018</w:t>
            </w:r>
          </w:p>
        </w:tc>
        <w:tc>
          <w:tcPr/>
          <w:p>
            <w:pPr>
              <w:pStyle w:val="Compact"/>
              <w:jc w:val="center"/>
            </w:pPr>
            <w:r>
              <w:t xml:space="preserve">(0.01, 0.08)</w:t>
            </w:r>
          </w:p>
        </w:tc>
        <w:tc>
          <w:tcPr/>
          <w:p>
            <w:pPr>
              <w:pStyle w:val="Compact"/>
              <w:jc w:val="center"/>
            </w:pPr>
            <w:r>
              <w:t xml:space="preserve">2.543</w:t>
            </w:r>
          </w:p>
        </w:tc>
        <w:tc>
          <w:tcPr/>
          <w:p>
            <w:pPr>
              <w:pStyle w:val="Compact"/>
              <w:jc w:val="center"/>
            </w:pPr>
            <w:r>
              <w:t xml:space="preserve">0.011</w:t>
            </w:r>
          </w:p>
        </w:tc>
      </w:tr>
      <w:tr>
        <w:tc>
          <w:tcPr/>
          <w:p>
            <w:pPr>
              <w:pStyle w:val="Compact"/>
              <w:jc w:val="left"/>
            </w:pPr>
            <w:r>
              <w:t xml:space="preserve">paredu a high</w:t>
            </w:r>
          </w:p>
        </w:tc>
        <w:tc>
          <w:tcPr/>
          <w:p>
            <w:pPr>
              <w:pStyle w:val="Compact"/>
              <w:jc w:val="center"/>
            </w:pPr>
            <w:r>
              <w:t xml:space="preserve">0.179</w:t>
            </w:r>
          </w:p>
        </w:tc>
        <w:tc>
          <w:tcPr/>
          <w:p>
            <w:pPr>
              <w:pStyle w:val="Compact"/>
              <w:jc w:val="center"/>
            </w:pPr>
            <w:r>
              <w:t xml:space="preserve">0.021</w:t>
            </w:r>
          </w:p>
        </w:tc>
        <w:tc>
          <w:tcPr/>
          <w:p>
            <w:pPr>
              <w:pStyle w:val="Compact"/>
              <w:jc w:val="center"/>
            </w:pPr>
            <w:r>
              <w:t xml:space="preserve">(0.14, 0.22)</w:t>
            </w:r>
          </w:p>
        </w:tc>
        <w:tc>
          <w:tcPr/>
          <w:p>
            <w:pPr>
              <w:pStyle w:val="Compact"/>
              <w:jc w:val="center"/>
            </w:pPr>
            <w:r>
              <w:t xml:space="preserve">8.601</w:t>
            </w:r>
          </w:p>
        </w:tc>
        <w:tc>
          <w:tcPr/>
          <w:p>
            <w:pPr>
              <w:pStyle w:val="Compact"/>
              <w:jc w:val="center"/>
            </w:pPr>
            <w:r>
              <w:t xml:space="preserve">&lt; .001</w:t>
            </w:r>
          </w:p>
        </w:tc>
      </w:tr>
      <w:tr>
        <w:tc>
          <w:tcPr/>
          <w:p>
            <w:pPr>
              <w:pStyle w:val="Compact"/>
              <w:jc w:val="left"/>
            </w:pPr>
            <w:r>
              <w:t xml:space="preserve">fmnoncntr</w:t>
            </w:r>
          </w:p>
        </w:tc>
        <w:tc>
          <w:tcPr/>
          <w:p>
            <w:pPr>
              <w:pStyle w:val="Compact"/>
              <w:jc w:val="center"/>
            </w:pPr>
            <w:r>
              <w:t xml:space="preserve">-0.010</w:t>
            </w:r>
          </w:p>
        </w:tc>
        <w:tc>
          <w:tcPr/>
          <w:p>
            <w:pPr>
              <w:pStyle w:val="Compact"/>
              <w:jc w:val="center"/>
            </w:pPr>
            <w:r>
              <w:t xml:space="preserve">0.040</w:t>
            </w:r>
          </w:p>
        </w:tc>
        <w:tc>
          <w:tcPr/>
          <w:p>
            <w:pPr>
              <w:pStyle w:val="Compact"/>
              <w:jc w:val="center"/>
            </w:pPr>
            <w:r>
              <w:t xml:space="preserve">(-0.09, 0.07)</w:t>
            </w:r>
          </w:p>
        </w:tc>
        <w:tc>
          <w:tcPr/>
          <w:p>
            <w:pPr>
              <w:pStyle w:val="Compact"/>
              <w:jc w:val="center"/>
            </w:pPr>
            <w:r>
              <w:t xml:space="preserve">-0.245</w:t>
            </w:r>
          </w:p>
        </w:tc>
        <w:tc>
          <w:tcPr/>
          <w:p>
            <w:pPr>
              <w:pStyle w:val="Compact"/>
              <w:jc w:val="center"/>
            </w:pPr>
            <w:r>
              <w:t xml:space="preserve">0.807</w:t>
            </w:r>
          </w:p>
        </w:tc>
      </w:tr>
    </w:tbl>
    <w:p>
      <w:pPr>
        <w:pStyle w:val="BodyText"/>
      </w:pPr>
      <w:r>
        <w:t xml:space="preserve">A summary table of several models (using the</w:t>
      </w:r>
      <w:r>
        <w:t xml:space="preserve"> </w:t>
      </w:r>
      <w:r>
        <w:rPr>
          <w:rStyle w:val="VerbatimChar"/>
        </w:rPr>
        <w:t xml:space="preserve">parameters</w:t>
      </w:r>
      <w:r>
        <w:t xml:space="preserve"> </w:t>
      </w:r>
      <w:r>
        <w:t xml:space="preserve">package):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Parameter</w:t>
            </w:r>
          </w:p>
        </w:tc>
        <w:tc>
          <w:tcPr/>
          <w:p>
            <w:pPr>
              <w:pStyle w:val="Compact"/>
              <w:jc w:val="right"/>
            </w:pPr>
            <w:r>
              <w:t xml:space="preserve">M1</w:t>
            </w:r>
          </w:p>
        </w:tc>
        <w:tc>
          <w:tcPr/>
          <w:p>
            <w:pPr>
              <w:pStyle w:val="Compact"/>
              <w:jc w:val="right"/>
            </w:pPr>
            <w:r>
              <w:t xml:space="preserve">M2</w:t>
            </w:r>
          </w:p>
        </w:tc>
        <w:tc>
          <w:tcPr/>
          <w:p>
            <w:pPr>
              <w:pStyle w:val="Compact"/>
              <w:jc w:val="right"/>
            </w:pPr>
            <w:r>
              <w:t xml:space="preserve">M3</w:t>
            </w:r>
          </w:p>
        </w:tc>
      </w:tr>
      <w:tr>
        <w:tc>
          <w:tcPr/>
          <w:p>
            <w:pPr>
              <w:pStyle w:val="Compact"/>
              <w:jc w:val="left"/>
            </w:pPr>
            <w:r>
              <w:t xml:space="preserve">(Intercept)</w:t>
            </w:r>
          </w:p>
        </w:tc>
        <w:tc>
          <w:tcPr/>
          <w:p>
            <w:pPr>
              <w:pStyle w:val="Compact"/>
              <w:jc w:val="right"/>
            </w:pPr>
            <w:r>
              <w:t xml:space="preserve">3.75*** (0.03)</w:t>
            </w:r>
          </w:p>
        </w:tc>
        <w:tc>
          <w:tcPr/>
          <w:p>
            <w:pPr>
              <w:pStyle w:val="Compact"/>
              <w:jc w:val="right"/>
            </w:pPr>
            <w:r>
              <w:t xml:space="preserve">3.04*** (0.05)</w:t>
            </w:r>
          </w:p>
        </w:tc>
        <w:tc>
          <w:tcPr/>
          <w:p>
            <w:pPr>
              <w:pStyle w:val="Compact"/>
              <w:jc w:val="right"/>
            </w:pPr>
            <w:r>
              <w:t xml:space="preserve">3.03*** (0.05)</w:t>
            </w:r>
          </w:p>
        </w:tc>
      </w:tr>
      <w:tr>
        <w:tc>
          <w:tcPr/>
          <w:p>
            <w:pPr>
              <w:pStyle w:val="Compact"/>
              <w:jc w:val="left"/>
            </w:pPr>
            <w:r>
              <w:t xml:space="preserve">eduyrs25</w:t>
            </w:r>
          </w:p>
        </w:tc>
        <w:tc>
          <w:tcPr/>
          <w:p>
            <w:pPr>
              <w:pStyle w:val="Compact"/>
              <w:jc w:val="right"/>
            </w:pPr>
            <w:r>
              <w:t xml:space="preserve">0.10*** (2.06e-03)</w:t>
            </w:r>
          </w:p>
        </w:tc>
        <w:tc>
          <w:tcPr/>
          <w:p>
            <w:pPr>
              <w:pStyle w:val="Compact"/>
              <w:jc w:val="right"/>
            </w:pPr>
            <w:r>
              <w:t xml:space="preserve">0.10*** (2.11e-03)</w:t>
            </w:r>
          </w:p>
        </w:tc>
        <w:tc>
          <w:tcPr/>
          <w:p>
            <w:pPr>
              <w:pStyle w:val="Compact"/>
              <w:jc w:val="right"/>
            </w:pPr>
            <w:r>
              <w:t xml:space="preserve">0.10*** (2.32e-03)</w:t>
            </w:r>
          </w:p>
        </w:tc>
      </w:tr>
      <w:tr>
        <w:tc>
          <w:tcPr/>
          <w:p>
            <w:pPr>
              <w:pStyle w:val="Compact"/>
              <w:jc w:val="left"/>
            </w:pPr>
            <w:r>
              <w:t xml:space="preserve">agea</w:t>
            </w:r>
          </w:p>
        </w:tc>
        <w:tc>
          <w:tcPr/>
          <w:p>
            <w:pPr>
              <w:pStyle w:val="Compact"/>
            </w:pPr>
          </w:p>
        </w:tc>
        <w:tc>
          <w:tcPr/>
          <w:p>
            <w:pPr>
              <w:pStyle w:val="Compact"/>
              <w:jc w:val="right"/>
            </w:pPr>
            <w:r>
              <w:t xml:space="preserve">0.01*** (7.10e-04)</w:t>
            </w:r>
          </w:p>
        </w:tc>
        <w:tc>
          <w:tcPr/>
          <w:p>
            <w:pPr>
              <w:pStyle w:val="Compact"/>
              <w:jc w:val="right"/>
            </w:pPr>
            <w:r>
              <w:t xml:space="preserve">0.01*** (7.29e-04)</w:t>
            </w:r>
          </w:p>
        </w:tc>
      </w:tr>
      <w:tr>
        <w:tc>
          <w:tcPr/>
          <w:p>
            <w:pPr>
              <w:pStyle w:val="Compact"/>
              <w:jc w:val="left"/>
            </w:pPr>
            <w:r>
              <w:t xml:space="preserve">female</w:t>
            </w:r>
          </w:p>
        </w:tc>
        <w:tc>
          <w:tcPr/>
          <w:p>
            <w:pPr>
              <w:pStyle w:val="Compact"/>
            </w:pPr>
          </w:p>
        </w:tc>
        <w:tc>
          <w:tcPr/>
          <w:p>
            <w:pPr>
              <w:pStyle w:val="Compact"/>
              <w:jc w:val="right"/>
            </w:pPr>
            <w:r>
              <w:t xml:space="preserve">0.04* (0.02)</w:t>
            </w:r>
          </w:p>
        </w:tc>
        <w:tc>
          <w:tcPr/>
          <w:p>
            <w:pPr>
              <w:pStyle w:val="Compact"/>
              <w:jc w:val="right"/>
            </w:pPr>
            <w:r>
              <w:t xml:space="preserve">0.05* (0.02)</w:t>
            </w:r>
          </w:p>
        </w:tc>
      </w:tr>
      <w:tr>
        <w:tc>
          <w:tcPr/>
          <w:p>
            <w:pPr>
              <w:pStyle w:val="Compact"/>
              <w:jc w:val="left"/>
            </w:pPr>
            <w:r>
              <w:t xml:space="preserve">paredu a high</w:t>
            </w:r>
          </w:p>
        </w:tc>
        <w:tc>
          <w:tcPr/>
          <w:p>
            <w:pPr>
              <w:pStyle w:val="Compact"/>
            </w:pPr>
          </w:p>
        </w:tc>
        <w:tc>
          <w:tcPr/>
          <w:p>
            <w:pPr>
              <w:pStyle w:val="Compact"/>
            </w:pPr>
          </w:p>
        </w:tc>
        <w:tc>
          <w:tcPr/>
          <w:p>
            <w:pPr>
              <w:pStyle w:val="Compact"/>
              <w:jc w:val="right"/>
            </w:pPr>
            <w:r>
              <w:t xml:space="preserve">0.18*** (0.02)</w:t>
            </w:r>
          </w:p>
        </w:tc>
      </w:tr>
      <w:tr>
        <w:tc>
          <w:tcPr/>
          <w:p>
            <w:pPr>
              <w:pStyle w:val="Compact"/>
              <w:jc w:val="left"/>
            </w:pPr>
            <w:r>
              <w:t xml:space="preserve">fmnoncntr</w:t>
            </w:r>
          </w:p>
        </w:tc>
        <w:tc>
          <w:tcPr/>
          <w:p>
            <w:pPr>
              <w:pStyle w:val="Compact"/>
            </w:pPr>
          </w:p>
        </w:tc>
        <w:tc>
          <w:tcPr/>
          <w:p>
            <w:pPr>
              <w:pStyle w:val="Compact"/>
            </w:pPr>
          </w:p>
        </w:tc>
        <w:tc>
          <w:tcPr/>
          <w:p>
            <w:pPr>
              <w:pStyle w:val="Compact"/>
              <w:jc w:val="right"/>
            </w:pPr>
            <w:r>
              <w:t xml:space="preserve">-9.74e-03 (0.04)</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right"/>
            </w:pPr>
            <w:r>
              <w:t xml:space="preserve">41626</w:t>
            </w:r>
          </w:p>
        </w:tc>
        <w:tc>
          <w:tcPr/>
          <w:p>
            <w:pPr>
              <w:pStyle w:val="Compact"/>
              <w:jc w:val="right"/>
            </w:pPr>
            <w:r>
              <w:t xml:space="preserve">41626</w:t>
            </w:r>
          </w:p>
        </w:tc>
        <w:tc>
          <w:tcPr/>
          <w:p>
            <w:pPr>
              <w:pStyle w:val="Compact"/>
              <w:jc w:val="right"/>
            </w:pPr>
            <w:r>
              <w:t xml:space="preserve">39387</w:t>
            </w:r>
          </w:p>
        </w:tc>
      </w:tr>
    </w:tbl>
    <w:bookmarkEnd w:id="27"/>
    <w:bookmarkStart w:id="28" w:name="discussion"/>
    <w:p>
      <w:pPr>
        <w:pStyle w:val="Heading2"/>
      </w:pPr>
      <w:r>
        <w:t xml:space="preserve">Discussion</w:t>
      </w:r>
    </w:p>
    <w:bookmarkEnd w:id="28"/>
    <w:bookmarkStart w:id="29" w:name="conclusions"/>
    <w:p>
      <w:pPr>
        <w:pStyle w:val="Heading2"/>
      </w:pPr>
      <w:r>
        <w:t xml:space="preserve">Conclusions</w:t>
      </w:r>
    </w:p>
    <w:bookmarkEnd w:id="29"/>
    <w:bookmarkStart w:id="30" w:name="references"/>
    <w:p>
      <w:pPr>
        <w:pStyle w:val="Heading2"/>
      </w:pPr>
      <w:r>
        <w:t xml:space="preserve">References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bookdown.org/yihui/rmarkdown-cookbook/" TargetMode="External" /><Relationship Type="http://schemas.openxmlformats.org/officeDocument/2006/relationships/hyperlink" Id="rId21" Target="https://bookdown.org/yihui/rmarkdown/" TargetMode="External" /><Relationship Type="http://schemas.openxmlformats.org/officeDocument/2006/relationships/hyperlink" Id="rId20" Target="https://r4ds.had.co.nz/r-markdown.html" TargetMode="External" /></Relationships>
</file>

<file path=word/_rels/footnotes.xml.rels><?xml version="1.0" encoding="UTF-8"?><Relationships xmlns="http://schemas.openxmlformats.org/package/2006/relationships"><Relationship Type="http://schemas.openxmlformats.org/officeDocument/2006/relationships/hyperlink" Id="rId22" Target="https://bookdown.org/yihui/rmarkdown-cookbook/" TargetMode="External" /><Relationship Type="http://schemas.openxmlformats.org/officeDocument/2006/relationships/hyperlink" Id="rId21" Target="https://bookdown.org/yihui/rmarkdown/" TargetMode="External" /><Relationship Type="http://schemas.openxmlformats.org/officeDocument/2006/relationships/hyperlink" Id="rId20" Target="https://r4ds.had.co.nz/r-markdow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2022-01-20T14:45:28Z</dcterms:created>
  <dcterms:modified xsi:type="dcterms:W3CDTF">2022-01-20T14:45:28Z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