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uso de C extended</w:t>
      </w:r>
    </w:p>
    <w:p>
      <w:r>
        <w:t>Entregable 4  |  Analizador léxico en Windows Forms</w:t>
      </w:r>
    </w:p>
    <w:p>
      <w:r>
        <w:t>Este manual explica cómo abrir la aplicación, cargar o escribir código, analizarlo, consultar sus resultados y exportarlos. C-extended reconoce elementos léxicos de un subconjunto propio basado en C#; no ejecuta el programa ni sustituye una revisión sintáctica o semántica.</w:t>
      </w:r>
    </w:p>
    <w:p>
      <w:pPr>
        <w:pStyle w:val="Heading2"/>
      </w:pPr>
      <w:r>
        <w:t>Abrir la aplicación</w:t>
      </w:r>
    </w:p>
    <w:p>
      <w:r>
        <w:t>Se necesita Windows con .NET Framework 4.8. Abra C-Extended.exe desde la carpeta de ejecución y conserve sus archivos acompañantes, incluido C-Extended.exe.config. El SDK usado para desarrollar o ejecutar pruebas no es un requisito para utilizar el ejecutable.</w:t>
      </w:r>
    </w:p>
    <w:p>
      <w:pPr>
        <w:pStyle w:val="Heading2"/>
      </w:pPr>
      <w:r>
        <w:t>Cargar y analizar código</w:t>
      </w:r>
    </w:p>
    <w:p>
      <w:r>
        <w:t>1. Pulse Cargar archivo, elija un archivo .txt y confirme la apertura. Se admite UTF-8 y UTF-16 con BOM; si hay problemas de codificación, guarde el archivo nuevamente como UTF-8.</w:t>
      </w:r>
    </w:p>
    <w:p>
      <w:r>
        <w:t>2. Revise el nombre de la fuente y el código del editor. También puede escribir o pegar código directamente. Los números del margen no forman parte del texto analizado.</w:t>
      </w:r>
    </w:p>
    <w:p>
      <w:r>
        <w:t>3. Pulse Analizar. Se procesa el contenido actual del editor. Consulte Tokens, Errores léxicos, Tabla de símbolos y Estadísticas; el resumen inferior muestra los totales.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039"/>
      </w:tblGrid>
      <w:tr>
        <w:trPr>
          <w:cantSplit/>
          <w:tblHeader/>
        </w:trPr>
        <w:tc>
          <w:tcPr>
            <w:tcW w:type="dxa" w:w="2268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  <w:shd w:fill="EEF1F4"/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20"/>
              </w:rPr>
              <w:t>Botón</w:t>
            </w:r>
          </w:p>
        </w:tc>
        <w:tc>
          <w:tcPr>
            <w:tcW w:type="dxa" w:w="13039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  <w:shd w:fill="EEF1F4"/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Cargar archivo</w:t>
            </w:r>
          </w:p>
        </w:tc>
        <w:tc>
          <w:tcPr>
            <w:tcW w:type="dxa" w:w="13039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Selecciona y carga un archivo de código. Cancelar conserva la sesión actual.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Analizar</w:t>
            </w:r>
          </w:p>
        </w:tc>
        <w:tc>
          <w:tcPr>
            <w:tcW w:type="dxa" w:w="13039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Reconoce los tokens y actualiza errores, símbolos y estadísticas.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Exportar resultados</w:t>
            </w:r>
          </w:p>
        </w:tc>
        <w:tc>
          <w:tcPr>
            <w:tcW w:type="dxa" w:w="13039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Guarda un informe TXT del último análisis vigente.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Limpiar</w:t>
            </w:r>
          </w:p>
        </w:tc>
        <w:tc>
          <w:tcPr>
            <w:tcW w:type="dxa" w:w="13039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Vacía el editor y los resultados, y deja la exportación deshabilitada.</w:t>
            </w:r>
          </w:p>
        </w:tc>
      </w:tr>
    </w:tbl>
    <w:p>
      <w:pPr>
        <w:spacing w:after="0"/>
      </w:pPr>
    </w:p>
    <w:p>
      <w:r>
        <w:rPr>
          <w:b/>
        </w:rPr>
        <w:t>Ejemplo de este manual:</w:t>
      </w:r>
      <w:r>
        <w:t xml:space="preserve"> use Entradas/Prueba6_nueva/prueba6_interfaz_exportacion.txt, incluido en la carpeta de documentación. Produce 98 tokens, 15 símbolos únicos, 1 error intencional y 32 líneas, incluida la línea vacía final.</w:t>
      </w:r>
    </w:p>
    <w:p>
      <w:r>
        <w:br w:type="page"/>
      </w:r>
    </w:p>
    <w:p>
      <w:pPr>
        <w:pStyle w:val="Heading1"/>
      </w:pPr>
      <w:r>
        <w:t>Lectura de tokens</w:t>
      </w:r>
    </w:p>
    <w:p>
      <w:r>
        <w:t>Cada fila muestra el orden del token, su lexema, su categoría y la línea y columna donde comienza; las posiciones empiezan en 1. Use la barra de desplazamiento para recorrer la tabla. La captura muestra los últimos tokens: recuperado y return se reconocen después del error de la línea 26.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51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tokens_y_resum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5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i/>
          <w:sz w:val="18"/>
        </w:rPr>
        <w:t>Figura 1. Editor, tabla de tokens y resumen del caso de ejemplo. El carácter # se informa en la pestaña de errores y no se registra como token válido.</w:t>
      </w:r>
    </w:p>
    <w:p>
      <w:r>
        <w:br w:type="page"/>
      </w:r>
    </w:p>
    <w:p>
      <w:pPr>
        <w:pStyle w:val="Heading1"/>
      </w:pPr>
      <w:r>
        <w:t>Lectura de errores léxicos</w:t>
      </w:r>
    </w:p>
    <w:p>
      <w:r>
        <w:t>Esta pestaña indica la secuencia inválida, su línea y columna y la descripción del problema. En el ejemplo, # aparece en 26:26 como Carácter no permitido. El analizador continúa cuando la regla de recuperación lo permite; los tokens y símbolos recuperados siguen disponibles y el resultado puede exportarse.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769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errores_lexi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76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i/>
          <w:sz w:val="18"/>
        </w:rPr>
        <w:t>Figura 2. Error intencional del caso de ejemplo. Si no se detectan errores, la aplicación muestra No se encontraron errores léxicos.</w:t>
      </w:r>
    </w:p>
    <w:p>
      <w:r>
        <w:br w:type="page"/>
      </w:r>
    </w:p>
    <w:p>
      <w:pPr>
        <w:pStyle w:val="Heading1"/>
      </w:pPr>
      <w:r>
        <w:t>Consulta de la tabla de símbolos</w:t>
      </w:r>
    </w:p>
    <w:p>
      <w:r>
        <w:t>La tabla reúne los identificadores únicos en orden de primera aparición. Aunque contador se usa varias veces, ocupa una sola fila y conserva su primera ubicación, 7:17. TK_IDENTIFICADOR expresa una categoría léxica; no es el tipo de dato ni el ámbito semántico. Se distinguen mayúsculas y minúsculas.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71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tabla_simbol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i/>
          <w:sz w:val="18"/>
        </w:rPr>
        <w:t>Figura 3. Los 15 identificadores únicos del ejemplo, con su primera línea y columna. La lista incluye nombres de espacios, clases y funciones, además de variables.</w:t>
      </w:r>
    </w:p>
    <w:p>
      <w:r>
        <w:br w:type="page"/>
      </w:r>
    </w:p>
    <w:p>
      <w:pPr>
        <w:pStyle w:val="Heading1"/>
      </w:pPr>
      <w:r>
        <w:t>Interpretación de las estadísticas</w:t>
      </w:r>
    </w:p>
    <w:p>
      <w:r>
        <w:t>El panel presenta totales y distribución por categoría; los comentarios también cuentan como tokens. Las categorías del ejemplo suman 98. El conteo de líneas incluye las vacías y la línea final creada por un salto. El tiempo se muestra en milisegundos enteros: una entrada pequeña puede indicar 0 ms y haber sido analizada correctamente.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9720000" cy="5151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estadistic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0000" cy="5151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i/>
          <w:sz w:val="18"/>
        </w:rPr>
        <w:t>Figura 4. Totales y distribución del mismo análisis. El tiempo y la fecha cambian entre ejecuciones; los resultados léxicos del archivo permanecen iguales.</w:t>
      </w:r>
    </w:p>
    <w:p>
      <w:r>
        <w:br w:type="page"/>
      </w:r>
    </w:p>
    <w:p>
      <w:pPr>
        <w:pStyle w:val="Heading1"/>
      </w:pPr>
      <w:r>
        <w:t>Exportación y continuidad del trabajo</w:t>
      </w:r>
    </w:p>
    <w:p>
      <w:pPr>
        <w:pStyle w:val="Heading2"/>
      </w:pPr>
      <w:r>
        <w:t>Guardar los resultados</w:t>
      </w:r>
    </w:p>
    <w:p>
      <w:r>
        <w:t>1. Tras analizar, pulse Exportar resultados. Elija una carpeta y un nombre terminado en .txt y pulse Guardar. Espere la confirmación de éxito; cancelar el diálogo conserva el análisis.</w:t>
      </w:r>
    </w:p>
    <w:p>
      <w:r>
        <w:t>2. Abra el TXT guardado. Debe contener la fuente, fecha del análisis, fecha de exportación, resumen, categorías y tablas de tokens, errores y símbolos. Para este ejemplo, compruebe 98 tokens, 1 error (# en 26:26), 15 símbolos y 32 líneas.</w:t>
      </w:r>
    </w:p>
    <w:p>
      <w:r>
        <w:t>3. Los saltos, tabulaciones, comillas y barras de los lexemas se muestran mediante escapes explicados en el encabezado. El informe guarda resultados; no reemplaza un archivo del código fuente escrito en el editor.</w:t>
      </w:r>
    </w:p>
    <w:p>
      <w:pPr>
        <w:pStyle w:val="Heading2"/>
      </w:pPr>
      <w:r>
        <w:t>Editar y volver a analizar</w:t>
      </w:r>
    </w:p>
    <w:p>
      <w:r>
        <w:t>Al modificar el editor, las tablas y estadísticas se limpian y Exportar resultados se deshabilita. Pulse Analizar nuevamente para obtener resultados vigentes. Limpiar elimina el texto y los resultados de la sesión; conserve por separado el código que necesite reutilizar.</w:t>
      </w:r>
    </w:p>
    <w:p>
      <w:pPr>
        <w:pStyle w:val="Heading2"/>
      </w:pPr>
      <w:r>
        <w:t>Mensajes habituales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10602"/>
      </w:tblGrid>
      <w:tr>
        <w:trPr>
          <w:cantSplit/>
          <w:tblHeader/>
        </w:trPr>
        <w:tc>
          <w:tcPr>
            <w:tcW w:type="dxa" w:w="4706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  <w:shd w:fill="EEF1F4"/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20"/>
              </w:rPr>
              <w:t>Situación</w:t>
            </w:r>
          </w:p>
        </w:tc>
        <w:tc>
          <w:tcPr>
            <w:tcW w:type="dxa" w:w="10602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  <w:shd w:fill="EEF1F4"/>
          </w:tcPr>
          <w:p>
            <w:pPr>
              <w:spacing w:after="80" w:before="80"/>
            </w:pPr>
            <w:r>
              <w:rPr>
                <w:rFonts w:ascii="Arial" w:hAnsi="Arial"/>
                <w:b/>
                <w:sz w:val="20"/>
              </w:rPr>
              <w:t>Qué hacer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Editor vacío o solo espacios</w:t>
            </w:r>
          </w:p>
        </w:tc>
        <w:tc>
          <w:tcPr>
            <w:tcW w:type="dxa" w:w="10602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Escriba o cargue código antes de pulsar Analizar.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Código modificado o exportación deshabilitada</w:t>
            </w:r>
          </w:p>
        </w:tc>
        <w:tc>
          <w:tcPr>
            <w:tcW w:type="dxa" w:w="10602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Vuelva a analizar el contenido actual del editor.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Archivo con UTF-8 inválido, NUL o codificación no admitida</w:t>
            </w:r>
          </w:p>
        </w:tc>
        <w:tc>
          <w:tcPr>
            <w:tcW w:type="dxa" w:w="10602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Revise el archivo y guárdelo como texto UTF-8. El rechazo de carga conserva el contenido anterior.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Error de acceso, lectura o escritura</w:t>
            </w:r>
          </w:p>
        </w:tc>
        <w:tc>
          <w:tcPr>
            <w:tcW w:type="dxa" w:w="10602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Revise la ruta y sus permisos. Para exportar, pruebe una carpeta donde pueda guardar archivos.</w:t>
            </w:r>
          </w:p>
        </w:tc>
      </w:tr>
      <w:tr>
        <w:trPr>
          <w:cantSplit/>
        </w:trPr>
        <w:tc>
          <w:tcPr>
            <w:tcW w:type="dxa" w:w="4706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Se detectaron errores léxicos</w:t>
            </w:r>
          </w:p>
        </w:tc>
        <w:tc>
          <w:tcPr>
            <w:tcW w:type="dxa" w:w="10602"/>
            <w:tcBorders>
              <w:top w:val="single" w:sz="4" w:color="CCD2D8"/>
              <w:left w:val="single" w:sz="4" w:color="CCD2D8"/>
              <w:bottom w:val="single" w:sz="4" w:color="CCD2D8"/>
              <w:right w:val="single" w:sz="4" w:color="CCD2D8"/>
            </w:tcBorders>
          </w:tcPr>
          <w:p>
            <w:pPr>
              <w:spacing w:after="80" w:before="80"/>
            </w:pPr>
            <w:r>
              <w:rPr>
                <w:rFonts w:ascii="Arial" w:hAnsi="Arial"/>
                <w:b w:val="0"/>
                <w:sz w:val="20"/>
              </w:rPr>
              <w:t>Consulte sus posiciones y corrija el código si corresponde. Puede exportar el diagnóstico antes de corregirlo.</w:t>
            </w:r>
          </w:p>
        </w:tc>
      </w:tr>
    </w:tbl>
    <w:p>
      <w:pPr>
        <w:spacing w:after="0"/>
      </w:pPr>
    </w:p>
    <w:p>
      <w:pPr>
        <w:pStyle w:val="Heading2"/>
      </w:pPr>
      <w:r>
        <w:t>Apoyo de herramientas de inteligencia artificial</w:t>
      </w:r>
    </w:p>
    <w:p>
      <w:r>
        <w:t>Se utilizó Antigravity como apoyo a la implementación de la interfaz e integración del proyecto, y Codex para revisión, propuestas de corrección, comprobaciones y preparación de esta documentación. El grupo aplicó los cambios y comprobó los flujos de la aplicación. Las capturas corresponden al programa del grupo en ejecución.</w:t>
      </w:r>
    </w:p>
    <w:p>
      <w:r>
        <w:t>Fuente: Proyecto_Analizador_Lexico_CSharp_WinForms, sección del Entregable 4, páginas 12 y 13, y normas generales sobre apoyo de IA, página 16.</w:t>
      </w:r>
    </w:p>
    <w:sectPr w:rsidR="00FC693F" w:rsidRPr="0006063C" w:rsidSect="00034616">
      <w:footerReference w:type="default" r:id="rId9"/>
      <w:pgSz w:w="16838" w:h="11906" w:orient="landscape"/>
      <w:pgMar w:top="680" w:right="680" w:bottom="680" w:left="680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C-extended  |  Manual de uso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de C extended</dc:title>
  <dc:subject>Entregable 4 del analizador léxico C-extended</dc:subject>
  <dc:creator/>
  <cp:keywords>C-extended, analizador léxico, manual de uso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