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3"/>
        <w:tblW w:w="5000" w:type="pct"/>
        <w:tblLook w:val="04A0" w:firstRow="1" w:lastRow="0" w:firstColumn="1" w:lastColumn="0" w:noHBand="0" w:noVBand="1"/>
      </w:tblPr>
      <w:tblGrid>
        <w:gridCol w:w="9935"/>
        <w:gridCol w:w="2161"/>
        <w:gridCol w:w="2124"/>
      </w:tblGrid>
      <w:tr w:rsidR="00005707" w:rsidRPr="00DF09BA" w:rsidTr="001343B6">
        <w:tc>
          <w:tcPr>
            <w:tcW w:w="3493" w:type="pct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A :  Destinataires </w:t>
            </w:r>
          </w:p>
        </w:tc>
        <w:tc>
          <w:tcPr>
            <w:tcW w:w="760" w:type="pct"/>
          </w:tcPr>
          <w:p w:rsidR="00005707" w:rsidRPr="00DF09BA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De : </w:t>
            </w:r>
            <w:r w:rsidR="00DF09BA"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S. </w:t>
            </w:r>
            <w:r w:rsid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Breedstraet</w:t>
            </w:r>
          </w:p>
        </w:tc>
        <w:tc>
          <w:tcPr>
            <w:tcW w:w="747" w:type="pct"/>
            <w:vMerge w:val="restart"/>
          </w:tcPr>
          <w:p w:rsidR="00005707" w:rsidRPr="00DF09BA" w:rsidRDefault="00AD6D6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b/>
                <w:noProof/>
                <w:lang w:eastAsia="fr-BE"/>
              </w:rPr>
              <w:drawing>
                <wp:anchor distT="0" distB="0" distL="114300" distR="114300" simplePos="0" relativeHeight="251659264" behindDoc="0" locked="0" layoutInCell="1" allowOverlap="1" wp14:anchorId="2F405CA8" wp14:editId="532F61C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55245</wp:posOffset>
                  </wp:positionV>
                  <wp:extent cx="1028700" cy="1028700"/>
                  <wp:effectExtent l="0" t="0" r="0" b="0"/>
                  <wp:wrapNone/>
                  <wp:docPr id="24" name="Image 1" descr="Z:\Mes images\header-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Z:\Mes images\header-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5707" w:rsidRPr="00DF09BA">
              <w:rPr>
                <w:rFonts w:ascii="Arial" w:hAnsi="Arial" w:cs="Arial"/>
                <w:sz w:val="20"/>
                <w:szCs w:val="20"/>
                <w:lang w:val="nl-BE"/>
              </w:rPr>
              <w:t xml:space="preserve">     </w:t>
            </w:r>
          </w:p>
        </w:tc>
      </w:tr>
      <w:tr w:rsidR="00DF09BA" w:rsidRPr="00166711" w:rsidTr="00F37711">
        <w:tc>
          <w:tcPr>
            <w:tcW w:w="4253" w:type="pct"/>
            <w:gridSpan w:val="2"/>
          </w:tcPr>
          <w:p w:rsidR="00E017EF" w:rsidRPr="00CB3EFC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  <w:r w:rsidRPr="00CB3EFC">
              <w:rPr>
                <w:rFonts w:ascii="Arial" w:hAnsi="Arial" w:cs="Arial"/>
                <w:b/>
                <w:sz w:val="20"/>
                <w:szCs w:val="20"/>
                <w:u w:val="single"/>
                <w:lang w:val="nl-BE"/>
              </w:rPr>
              <w:t>Présents</w:t>
            </w:r>
            <w:r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 : S. Breedstraet, R. Calloens, </w:t>
            </w:r>
            <w:r w:rsidR="00E70932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I. Capron, </w:t>
            </w:r>
            <w:r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Campi, </w:t>
            </w:r>
            <w:r w:rsidR="00375EB5"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M. Delclisard, </w:t>
            </w:r>
            <w:r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Dehasseleer, </w:t>
            </w:r>
            <w:r w:rsidR="001B4312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D. Delguste, </w:t>
            </w:r>
            <w:r w:rsidR="00241A81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M. Deridder, </w:t>
            </w:r>
            <w:r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Y. Dubois, </w:t>
            </w:r>
            <w:r w:rsidR="00CB3EFC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Guisset, </w:t>
            </w:r>
            <w:r w:rsidR="00E70932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P. Herpelinck, </w:t>
            </w:r>
            <w:r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>A. Lekeux,</w:t>
            </w:r>
            <w:r w:rsidR="00DF51F9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</w:t>
            </w:r>
            <w:r w:rsidR="001B4312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M. Robert, </w:t>
            </w:r>
            <w:r w:rsidR="00CB3EFC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>R. Vandeuren, S. Verschuren</w:t>
            </w:r>
          </w:p>
          <w:p w:rsidR="00FC0E10" w:rsidRPr="00CB3EFC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</w:p>
          <w:p w:rsidR="00E70932" w:rsidRPr="00E70932" w:rsidRDefault="00FC0E10" w:rsidP="00E709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  <w:r w:rsidRPr="00E70932">
              <w:rPr>
                <w:rFonts w:ascii="Arial" w:hAnsi="Arial" w:cs="Arial"/>
                <w:b/>
                <w:sz w:val="20"/>
                <w:szCs w:val="20"/>
                <w:u w:val="single"/>
                <w:lang w:val="nl-BE"/>
              </w:rPr>
              <w:t>Excusés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: I. Bauwens, </w:t>
            </w:r>
            <w:r w:rsidR="00241A81" w:rsidRPr="00241A81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Bultot, 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J. Dancot, </w:t>
            </w:r>
            <w:r w:rsidR="00CE0CCE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>C. Dury</w:t>
            </w:r>
            <w:r w:rsidR="00CE0CCE" w:rsidRPr="00A60EA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, </w:t>
            </w:r>
            <w:r w:rsidR="006032B0" w:rsidRPr="00A60EAC">
              <w:rPr>
                <w:rFonts w:ascii="Arial" w:hAnsi="Arial" w:cs="Arial"/>
                <w:b/>
                <w:sz w:val="20"/>
                <w:szCs w:val="20"/>
                <w:lang w:val="nl-BE"/>
              </w:rPr>
              <w:t>M</w:t>
            </w:r>
            <w:r w:rsidR="00A60EAC" w:rsidRPr="00A60EA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. Goedert,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Keutgen, </w:t>
            </w:r>
            <w:r w:rsidR="00CB3EFC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P. Lemoine, </w:t>
            </w:r>
            <w:r w:rsidR="00375EB5"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>D. Noël,</w:t>
            </w:r>
            <w:r w:rsidR="00375EB5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>F. Rigaux, C. Therasse</w:t>
            </w:r>
            <w:r w:rsidR="006032B0" w:rsidRPr="00CB3EFC">
              <w:rPr>
                <w:rFonts w:ascii="Arial" w:hAnsi="Arial" w:cs="Arial"/>
                <w:b/>
                <w:sz w:val="20"/>
                <w:szCs w:val="20"/>
                <w:lang w:val="nl-BE"/>
              </w:rPr>
              <w:t>, C. Willems.</w:t>
            </w:r>
          </w:p>
          <w:p w:rsidR="00FC0E10" w:rsidRPr="00E70932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</w:p>
          <w:p w:rsidR="00DF09BA" w:rsidRPr="00E70932" w:rsidRDefault="00DF09BA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</w:p>
        </w:tc>
        <w:tc>
          <w:tcPr>
            <w:tcW w:w="747" w:type="pct"/>
            <w:vMerge/>
          </w:tcPr>
          <w:p w:rsidR="00DF09BA" w:rsidRPr="00E70932" w:rsidRDefault="00DF09BA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</w:p>
        </w:tc>
      </w:tr>
      <w:tr w:rsidR="00F37711" w:rsidRPr="00005707" w:rsidTr="001343B6">
        <w:trPr>
          <w:trHeight w:val="444"/>
        </w:trPr>
        <w:tc>
          <w:tcPr>
            <w:tcW w:w="3493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Projet/objet de la réunion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CA Fine Bel-Lux</w:t>
            </w:r>
          </w:p>
        </w:tc>
        <w:tc>
          <w:tcPr>
            <w:tcW w:w="760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Date : </w:t>
            </w:r>
            <w:r w:rsidR="001B4312">
              <w:rPr>
                <w:rFonts w:ascii="Arial" w:hAnsi="Arial" w:cs="Arial"/>
                <w:b/>
                <w:sz w:val="20"/>
                <w:szCs w:val="20"/>
              </w:rPr>
              <w:t>15.03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>.19</w:t>
            </w:r>
          </w:p>
        </w:tc>
        <w:tc>
          <w:tcPr>
            <w:tcW w:w="747" w:type="pct"/>
            <w:vMerge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46BF" w:rsidRDefault="000F46BF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4858"/>
        <w:gridCol w:w="4913"/>
        <w:gridCol w:w="2698"/>
        <w:gridCol w:w="1525"/>
      </w:tblGrid>
      <w:tr w:rsidR="00C33EF4" w:rsidRPr="00005707" w:rsidTr="00DB1E90">
        <w:tc>
          <w:tcPr>
            <w:tcW w:w="485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Points de discussion</w:t>
            </w:r>
          </w:p>
        </w:tc>
        <w:tc>
          <w:tcPr>
            <w:tcW w:w="4913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Décision/action</w:t>
            </w:r>
          </w:p>
        </w:tc>
        <w:tc>
          <w:tcPr>
            <w:tcW w:w="269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Qui </w:t>
            </w:r>
          </w:p>
        </w:tc>
        <w:tc>
          <w:tcPr>
            <w:tcW w:w="1525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Quand</w:t>
            </w:r>
          </w:p>
        </w:tc>
      </w:tr>
      <w:tr w:rsidR="00005707" w:rsidRPr="00005707" w:rsidTr="008A7D2B">
        <w:tc>
          <w:tcPr>
            <w:tcW w:w="13994" w:type="dxa"/>
            <w:gridSpan w:val="4"/>
            <w:shd w:val="clear" w:color="auto" w:fill="D9D9D9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8F2D6F">
              <w:rPr>
                <w:rFonts w:ascii="Arial" w:hAnsi="Arial" w:cs="Arial"/>
                <w:b/>
                <w:sz w:val="20"/>
                <w:szCs w:val="20"/>
              </w:rPr>
              <w:t>Approbation du PV</w:t>
            </w:r>
          </w:p>
        </w:tc>
      </w:tr>
      <w:tr w:rsidR="000D1EE9" w:rsidRPr="00005707" w:rsidTr="00DB1E90">
        <w:tc>
          <w:tcPr>
            <w:tcW w:w="4858" w:type="dxa"/>
          </w:tcPr>
          <w:p w:rsidR="000D1EE9" w:rsidRDefault="000D1EE9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0D1EE9" w:rsidRDefault="000D1EE9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</w:tcPr>
          <w:p w:rsidR="000D1EE9" w:rsidRDefault="000D1EE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:rsidR="000D1EE9" w:rsidRPr="00005707" w:rsidRDefault="000D1EE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EE9" w:rsidRPr="000D1EE9" w:rsidTr="003446DD">
        <w:tc>
          <w:tcPr>
            <w:tcW w:w="13994" w:type="dxa"/>
            <w:gridSpan w:val="4"/>
            <w:shd w:val="clear" w:color="auto" w:fill="D9D9D9" w:themeFill="background1" w:themeFillShade="D9"/>
          </w:tcPr>
          <w:p w:rsidR="000D1EE9" w:rsidRPr="000D1EE9" w:rsidRDefault="000D1EE9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1EE9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EB3EC2">
              <w:rPr>
                <w:rFonts w:ascii="Arial" w:hAnsi="Arial" w:cs="Arial"/>
                <w:b/>
                <w:sz w:val="20"/>
                <w:szCs w:val="20"/>
              </w:rPr>
              <w:t xml:space="preserve"> Rencontre avec Madame Clarys – Cabinet Schyns, Communauté française </w:t>
            </w:r>
          </w:p>
        </w:tc>
      </w:tr>
      <w:tr w:rsidR="00C33EF4" w:rsidRPr="00005707" w:rsidTr="00DB1E90">
        <w:tc>
          <w:tcPr>
            <w:tcW w:w="4858" w:type="dxa"/>
          </w:tcPr>
          <w:p w:rsidR="006C00AB" w:rsidRDefault="006C00A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34B9" w:rsidRDefault="00EA34B9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Tour de table des personnes présent</w:t>
            </w:r>
            <w:r w:rsidR="0038625B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8625B">
              <w:rPr>
                <w:rFonts w:ascii="Arial" w:hAnsi="Arial" w:cs="Arial"/>
                <w:sz w:val="20"/>
                <w:szCs w:val="20"/>
              </w:rPr>
              <w:t xml:space="preserve"> afin de permettre à notre invitée Madame Clarys du Cabinet de la Ministre Scnyns de comprendre notre groupe</w:t>
            </w:r>
            <w:r w:rsidR="00166711">
              <w:rPr>
                <w:rFonts w:ascii="Arial" w:hAnsi="Arial" w:cs="Arial"/>
                <w:sz w:val="20"/>
                <w:szCs w:val="20"/>
              </w:rPr>
              <w:t xml:space="preserve"> et de situer les intervenants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C064B" w:rsidRDefault="005C064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Présentation et précision du contexte de cette rencontre. </w:t>
            </w:r>
          </w:p>
          <w:p w:rsidR="00EA34B9" w:rsidRDefault="00EA34B9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Madame Clarys précise que </w:t>
            </w:r>
          </w:p>
          <w:p w:rsidR="00EA34B9" w:rsidRDefault="0038625B" w:rsidP="0038625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</w:t>
            </w:r>
            <w:r w:rsidR="00EA34B9" w:rsidRPr="0038625B">
              <w:rPr>
                <w:rFonts w:ascii="Arial" w:hAnsi="Arial" w:cs="Arial"/>
                <w:sz w:val="20"/>
                <w:szCs w:val="20"/>
              </w:rPr>
              <w:t>ituation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est </w:t>
            </w:r>
            <w:r w:rsidR="00EA34B9" w:rsidRPr="0038625B">
              <w:rPr>
                <w:rFonts w:ascii="Arial" w:hAnsi="Arial" w:cs="Arial"/>
                <w:sz w:val="20"/>
                <w:szCs w:val="20"/>
              </w:rPr>
              <w:t xml:space="preserve"> plus claire qu’il y a 4 ans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EA34B9" w:rsidRPr="003862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A34B9" w:rsidRDefault="00166711" w:rsidP="0038625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 y a </w:t>
            </w:r>
            <w:r w:rsidR="0038625B">
              <w:rPr>
                <w:rFonts w:ascii="Arial" w:hAnsi="Arial" w:cs="Arial"/>
                <w:sz w:val="20"/>
                <w:szCs w:val="20"/>
              </w:rPr>
              <w:t>r</w:t>
            </w:r>
            <w:r w:rsidR="00EA34B9" w:rsidRPr="0038625B">
              <w:rPr>
                <w:rFonts w:ascii="Arial" w:hAnsi="Arial" w:cs="Arial"/>
                <w:sz w:val="20"/>
                <w:szCs w:val="20"/>
              </w:rPr>
              <w:t xml:space="preserve">enforcement évident pour les formations </w:t>
            </w:r>
            <w:r w:rsidR="003C0010" w:rsidRPr="0038625B">
              <w:rPr>
                <w:rFonts w:ascii="Arial" w:hAnsi="Arial" w:cs="Arial"/>
                <w:sz w:val="20"/>
                <w:szCs w:val="20"/>
              </w:rPr>
              <w:t>entre autres pour la mobilité</w:t>
            </w:r>
            <w:r w:rsidR="0038625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3C0010" w:rsidRPr="0038625B" w:rsidRDefault="0038625B" w:rsidP="001B4312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3C0010" w:rsidRPr="0038625B">
              <w:rPr>
                <w:rFonts w:ascii="Arial" w:hAnsi="Arial" w:cs="Arial"/>
                <w:sz w:val="20"/>
                <w:szCs w:val="20"/>
              </w:rPr>
              <w:t>a demi-année peut paraître surprenante en termes d’organisation mais la situation a été anticipée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7903" w:rsidRDefault="0046790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67903" w:rsidRDefault="0046790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L’enseignement attend les avis du </w:t>
            </w:r>
            <w:r w:rsidR="00166711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édéral afin de pouvoir organiser les formations qui correspondent aux métiers.</w:t>
            </w:r>
          </w:p>
          <w:p w:rsidR="00467903" w:rsidRDefault="0046790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F6554" w:rsidRDefault="0046790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question se pose plus au niveau du futur des aides-soignants. Si le </w:t>
            </w:r>
            <w:r w:rsidR="00166711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édéral reconnait une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formation intermédiaire « health car</w:t>
            </w:r>
            <w:r w:rsidR="00404F12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assistant » les écoles de brevet pourrai</w:t>
            </w:r>
            <w:r w:rsidR="002F6554">
              <w:rPr>
                <w:rFonts w:ascii="Arial" w:hAnsi="Arial" w:cs="Arial"/>
                <w:sz w:val="20"/>
                <w:szCs w:val="20"/>
              </w:rPr>
              <w:t>ent organiser cette formation. Ce n’est pas actuellement le souhait de la Santé except</w:t>
            </w:r>
            <w:r w:rsidR="00166711">
              <w:rPr>
                <w:rFonts w:ascii="Arial" w:hAnsi="Arial" w:cs="Arial"/>
                <w:sz w:val="20"/>
                <w:szCs w:val="20"/>
              </w:rPr>
              <w:t>ion faite de</w:t>
            </w:r>
            <w:r w:rsidR="002F6554">
              <w:rPr>
                <w:rFonts w:ascii="Arial" w:hAnsi="Arial" w:cs="Arial"/>
                <w:sz w:val="20"/>
                <w:szCs w:val="20"/>
              </w:rPr>
              <w:t xml:space="preserve"> la volonté d’augmenter les responsabilités des </w:t>
            </w:r>
            <w:r w:rsidR="0038625B">
              <w:rPr>
                <w:rFonts w:ascii="Arial" w:hAnsi="Arial" w:cs="Arial"/>
                <w:sz w:val="20"/>
                <w:szCs w:val="20"/>
              </w:rPr>
              <w:t>aides-soignants</w:t>
            </w:r>
            <w:r w:rsidR="002F6554">
              <w:rPr>
                <w:rFonts w:ascii="Arial" w:hAnsi="Arial" w:cs="Arial"/>
                <w:sz w:val="20"/>
                <w:szCs w:val="20"/>
              </w:rPr>
              <w:t>. Un groupe de travail réfléchit sur ces problématiques, l’objet est d’intégrer ces notions dans les formations professionnelles.</w:t>
            </w:r>
          </w:p>
          <w:p w:rsidR="003F2553" w:rsidRDefault="003F255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F2553" w:rsidRDefault="003F255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Pour l’instant les deux niveaux de formations </w:t>
            </w:r>
            <w:r w:rsidR="00166711">
              <w:rPr>
                <w:rFonts w:ascii="Arial" w:hAnsi="Arial" w:cs="Arial"/>
                <w:sz w:val="20"/>
                <w:szCs w:val="20"/>
              </w:rPr>
              <w:t xml:space="preserve">en soins infirmiers </w:t>
            </w:r>
            <w:r>
              <w:rPr>
                <w:rFonts w:ascii="Arial" w:hAnsi="Arial" w:cs="Arial"/>
                <w:sz w:val="20"/>
                <w:szCs w:val="20"/>
              </w:rPr>
              <w:t>font l’objet de remarques par rapport à la mise en conformité européenne. Ces travaux sont centralisés afin de répondre à la Commission Européenne.</w:t>
            </w:r>
          </w:p>
          <w:p w:rsidR="003F2553" w:rsidRDefault="003F2553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F2553" w:rsidRDefault="00C73C52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question se pose sur la</w:t>
            </w:r>
            <w:r w:rsidR="0038625B">
              <w:rPr>
                <w:rFonts w:ascii="Arial" w:hAnsi="Arial" w:cs="Arial"/>
                <w:sz w:val="20"/>
                <w:szCs w:val="20"/>
              </w:rPr>
              <w:t>/es</w:t>
            </w:r>
            <w:r>
              <w:rPr>
                <w:rFonts w:ascii="Arial" w:hAnsi="Arial" w:cs="Arial"/>
                <w:sz w:val="20"/>
                <w:szCs w:val="20"/>
              </w:rPr>
              <w:t xml:space="preserve"> collaboration</w:t>
            </w:r>
            <w:r w:rsidR="0038625B">
              <w:rPr>
                <w:rFonts w:ascii="Arial" w:hAnsi="Arial" w:cs="Arial"/>
                <w:sz w:val="20"/>
                <w:szCs w:val="20"/>
              </w:rPr>
              <w:t>/s</w:t>
            </w:r>
            <w:r>
              <w:rPr>
                <w:rFonts w:ascii="Arial" w:hAnsi="Arial" w:cs="Arial"/>
                <w:sz w:val="20"/>
                <w:szCs w:val="20"/>
              </w:rPr>
              <w:t xml:space="preserve"> possible pour la suite</w:t>
            </w:r>
            <w:r w:rsidR="00FD7637">
              <w:rPr>
                <w:rFonts w:ascii="Arial" w:hAnsi="Arial" w:cs="Arial"/>
                <w:sz w:val="20"/>
                <w:szCs w:val="20"/>
              </w:rPr>
              <w:t xml:space="preserve"> au sein de notre équipe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049A6" w:rsidRDefault="000049A6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Qu’est-ce qui est prévu au niveau légal pour le passage du brevet au bachelier</w:t>
            </w:r>
            <w:r w:rsidR="0001251E">
              <w:rPr>
                <w:rFonts w:ascii="Arial" w:hAnsi="Arial" w:cs="Arial"/>
                <w:sz w:val="20"/>
                <w:szCs w:val="20"/>
              </w:rPr>
              <w:t xml:space="preserve"> ? Nous devons vérifier les textes de lois et envisager une évolution de </w:t>
            </w:r>
            <w:r w:rsidR="00227657">
              <w:rPr>
                <w:rFonts w:ascii="Arial" w:hAnsi="Arial" w:cs="Arial"/>
                <w:sz w:val="20"/>
                <w:szCs w:val="20"/>
              </w:rPr>
              <w:t xml:space="preserve">la/les formations </w:t>
            </w:r>
            <w:r w:rsidR="00EF77BA">
              <w:rPr>
                <w:rFonts w:ascii="Arial" w:hAnsi="Arial" w:cs="Arial"/>
                <w:sz w:val="20"/>
                <w:szCs w:val="20"/>
              </w:rPr>
              <w:t>« </w:t>
            </w:r>
            <w:r w:rsidR="00227657">
              <w:rPr>
                <w:rFonts w:ascii="Arial" w:hAnsi="Arial" w:cs="Arial"/>
                <w:sz w:val="20"/>
                <w:szCs w:val="20"/>
              </w:rPr>
              <w:t>passerelle</w:t>
            </w:r>
            <w:r w:rsidR="00EF77BA">
              <w:rPr>
                <w:rFonts w:ascii="Arial" w:hAnsi="Arial" w:cs="Arial"/>
                <w:sz w:val="20"/>
                <w:szCs w:val="20"/>
              </w:rPr>
              <w:t> »</w:t>
            </w:r>
            <w:r w:rsidR="00227657">
              <w:rPr>
                <w:rFonts w:ascii="Arial" w:hAnsi="Arial" w:cs="Arial"/>
                <w:sz w:val="20"/>
                <w:szCs w:val="20"/>
              </w:rPr>
              <w:t xml:space="preserve"> existantes. </w:t>
            </w:r>
          </w:p>
          <w:p w:rsidR="0063529E" w:rsidRDefault="0063529E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3529E" w:rsidRDefault="0038625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existe un g</w:t>
            </w:r>
            <w:r w:rsidR="0063529E">
              <w:rPr>
                <w:rFonts w:ascii="Arial" w:hAnsi="Arial" w:cs="Arial"/>
                <w:sz w:val="20"/>
                <w:szCs w:val="20"/>
              </w:rPr>
              <w:t>ap entre les anciennes et nouvelles formations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63529E">
              <w:rPr>
                <w:rFonts w:ascii="Arial" w:hAnsi="Arial" w:cs="Arial"/>
                <w:sz w:val="20"/>
                <w:szCs w:val="20"/>
              </w:rPr>
              <w:t xml:space="preserve"> quelle </w:t>
            </w:r>
            <w:r>
              <w:rPr>
                <w:rFonts w:ascii="Arial" w:hAnsi="Arial" w:cs="Arial"/>
                <w:sz w:val="20"/>
                <w:szCs w:val="20"/>
              </w:rPr>
              <w:t xml:space="preserve">sera </w:t>
            </w:r>
            <w:r w:rsidR="0063529E">
              <w:rPr>
                <w:rFonts w:ascii="Arial" w:hAnsi="Arial" w:cs="Arial"/>
                <w:sz w:val="20"/>
                <w:szCs w:val="20"/>
              </w:rPr>
              <w:t xml:space="preserve">la demande </w:t>
            </w:r>
            <w:r>
              <w:rPr>
                <w:rFonts w:ascii="Arial" w:hAnsi="Arial" w:cs="Arial"/>
                <w:sz w:val="20"/>
                <w:szCs w:val="20"/>
              </w:rPr>
              <w:t xml:space="preserve">des professionnels de santé </w:t>
            </w:r>
            <w:r w:rsidR="005D4EDD">
              <w:rPr>
                <w:rFonts w:ascii="Arial" w:hAnsi="Arial" w:cs="Arial"/>
                <w:sz w:val="20"/>
                <w:szCs w:val="20"/>
              </w:rPr>
              <w:t>et/ou du terrain professionnel ?</w:t>
            </w:r>
          </w:p>
          <w:p w:rsidR="00220EFE" w:rsidRDefault="00220EFE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20EFE" w:rsidRDefault="005D4EDD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Fine doit impérativement travailler sur les f</w:t>
            </w:r>
            <w:r w:rsidR="00220EFE">
              <w:rPr>
                <w:rFonts w:ascii="Arial" w:hAnsi="Arial" w:cs="Arial"/>
                <w:sz w:val="20"/>
                <w:szCs w:val="20"/>
              </w:rPr>
              <w:t xml:space="preserve">ondements pédagogiques </w:t>
            </w:r>
            <w:r>
              <w:rPr>
                <w:rFonts w:ascii="Arial" w:hAnsi="Arial" w:cs="Arial"/>
                <w:sz w:val="20"/>
                <w:szCs w:val="20"/>
              </w:rPr>
              <w:t>pour faire remonter nos interpellations</w:t>
            </w:r>
            <w:r w:rsidR="00220EFE">
              <w:rPr>
                <w:rFonts w:ascii="Arial" w:hAnsi="Arial" w:cs="Arial"/>
                <w:sz w:val="20"/>
                <w:szCs w:val="20"/>
              </w:rPr>
              <w:t xml:space="preserve"> vers le politique </w:t>
            </w:r>
            <w:r>
              <w:rPr>
                <w:rFonts w:ascii="Arial" w:hAnsi="Arial" w:cs="Arial"/>
                <w:sz w:val="20"/>
                <w:szCs w:val="20"/>
              </w:rPr>
              <w:t>par le biais des réseaux.</w:t>
            </w:r>
            <w:r w:rsidR="00166711">
              <w:rPr>
                <w:rFonts w:ascii="Arial" w:hAnsi="Arial" w:cs="Arial"/>
                <w:sz w:val="20"/>
                <w:szCs w:val="20"/>
              </w:rPr>
              <w:t xml:space="preserve"> Nos démarches devront être portées par un a</w:t>
            </w:r>
            <w:r w:rsidR="00220EFE">
              <w:rPr>
                <w:rFonts w:ascii="Arial" w:hAnsi="Arial" w:cs="Arial"/>
                <w:sz w:val="20"/>
                <w:szCs w:val="20"/>
              </w:rPr>
              <w:t xml:space="preserve">vis d’expert pour aller chercher un mode d’évaluation commun des compétences </w:t>
            </w:r>
          </w:p>
          <w:p w:rsidR="003C0010" w:rsidRDefault="003C0010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A34B9" w:rsidRDefault="00CE0CCE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Lekeux pose la question d’une éventuelle démarche envers le Ministère de la Santé français. </w:t>
            </w:r>
          </w:p>
          <w:p w:rsidR="00FA584B" w:rsidRDefault="00FA584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584B" w:rsidRDefault="00FA584B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service des équivalences de la CF ne peut-il pas nous aider dans nos démarches ? Ils disposent de</w:t>
            </w:r>
            <w:r w:rsidR="00FD0285">
              <w:rPr>
                <w:rFonts w:ascii="Arial" w:hAnsi="Arial" w:cs="Arial"/>
                <w:sz w:val="20"/>
                <w:szCs w:val="20"/>
              </w:rPr>
              <w:t>s systèmes scolaires dans les différents pays et ont s</w:t>
            </w:r>
            <w:r w:rsidR="00166711">
              <w:rPr>
                <w:rFonts w:ascii="Arial" w:hAnsi="Arial" w:cs="Arial"/>
                <w:sz w:val="20"/>
                <w:szCs w:val="20"/>
              </w:rPr>
              <w:t>û</w:t>
            </w:r>
            <w:r w:rsidR="00FD0285">
              <w:rPr>
                <w:rFonts w:ascii="Arial" w:hAnsi="Arial" w:cs="Arial"/>
                <w:sz w:val="20"/>
                <w:szCs w:val="20"/>
              </w:rPr>
              <w:t>rement des outils supports.</w:t>
            </w:r>
          </w:p>
          <w:p w:rsidR="00FD0285" w:rsidRPr="00005707" w:rsidRDefault="00FD0285" w:rsidP="001B431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B96340" w:rsidRDefault="00B9634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0010" w:rsidRDefault="003C001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0010" w:rsidRDefault="003C001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0010" w:rsidRDefault="003C001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0010" w:rsidRDefault="003C001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C0010" w:rsidRDefault="003C0010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Campi précise que les premier</w:t>
            </w:r>
            <w:r w:rsidR="0016671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BIRSG qui seront diplômés sont les candidats qui terminent la passerelle. </w:t>
            </w: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38625B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38625B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Nous vivons de plus en plus des situations pour lesquelles nous sommes amenés à proposer des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parcours individualisés. </w:t>
            </w:r>
          </w:p>
          <w:p w:rsidR="0038625B" w:rsidRDefault="0038625B" w:rsidP="0038625B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Aides-soignants qui vont monter en brevet ? Comme</w:t>
            </w:r>
            <w:r w:rsidR="00166711">
              <w:rPr>
                <w:rFonts w:ascii="Arial" w:hAnsi="Arial" w:cs="Arial"/>
                <w:sz w:val="20"/>
                <w:szCs w:val="20"/>
              </w:rPr>
              <w:t>nt</w:t>
            </w:r>
            <w:r>
              <w:rPr>
                <w:rFonts w:ascii="Arial" w:hAnsi="Arial" w:cs="Arial"/>
                <w:sz w:val="20"/>
                <w:szCs w:val="20"/>
              </w:rPr>
              <w:t xml:space="preserve"> va s’opérer l’évaluation des compétences requises ? </w:t>
            </w: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8625B" w:rsidRDefault="0038625B" w:rsidP="0038625B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Dehasseleer évoque que certains diplômés de son institut se voient proposer des contrats qui les invitent à faire la passerelle pour passer à durée indéterminée. </w:t>
            </w: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38625B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Madame Clarys s’engage à vérifier la législation.</w:t>
            </w: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CE0CCE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0CCE" w:rsidRDefault="006C2672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</w:t>
            </w:r>
            <w:r w:rsidR="002C4A69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action pourrait être entreprise pour informer nos collègues français de nos différentes réformes. </w:t>
            </w:r>
          </w:p>
          <w:p w:rsidR="006C2672" w:rsidRDefault="006C2672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Lekeux va transmettre les références à Madame Clarys.</w:t>
            </w:r>
          </w:p>
          <w:p w:rsidR="006C2672" w:rsidRDefault="006C2672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Sur l’attestation du brevet, c’est bien acté que le diplôme correspond à la directive européenne. </w:t>
            </w:r>
          </w:p>
          <w:p w:rsidR="006C2672" w:rsidRDefault="006C2672" w:rsidP="00EA34B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C’est l’Europe qui doit fournir cette forme de « carte d’identité européenne ». </w:t>
            </w:r>
            <w:r w:rsidR="00243420">
              <w:rPr>
                <w:rFonts w:ascii="Arial" w:hAnsi="Arial" w:cs="Arial"/>
                <w:sz w:val="20"/>
                <w:szCs w:val="20"/>
              </w:rPr>
              <w:t xml:space="preserve">Il faut passer par l’EFN qui est l’intermédiaire de la DG Grow. </w:t>
            </w:r>
          </w:p>
          <w:p w:rsidR="00AC7B97" w:rsidRDefault="00AC7B97" w:rsidP="002C4A6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96F7E" w:rsidRPr="00EA34B9" w:rsidRDefault="00196F7E" w:rsidP="002C4A6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 ne semble pas que ces structures ne soient pas suffisamment professionnelles pour nous venir en aide. </w:t>
            </w:r>
          </w:p>
        </w:tc>
        <w:tc>
          <w:tcPr>
            <w:tcW w:w="2698" w:type="dxa"/>
          </w:tcPr>
          <w:p w:rsidR="00DF09BA" w:rsidRDefault="00DF09B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E45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2C4A6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Lekeux se charge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contacter la DG Grow pour connaitre le taux de demande et la procédure d’obtention de cette carte. </w:t>
            </w: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4A69" w:rsidRDefault="002C4A6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Pr="00005707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432BE" w:rsidRDefault="00D432B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432BE" w:rsidRDefault="00D432B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Pr="00005707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166711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3</w:t>
            </w:r>
            <w:r w:rsidR="00005707" w:rsidRPr="006C00AB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5005A">
              <w:rPr>
                <w:rFonts w:ascii="Arial" w:hAnsi="Arial" w:cs="Arial"/>
                <w:b/>
                <w:sz w:val="20"/>
                <w:szCs w:val="20"/>
              </w:rPr>
              <w:t>Statuts</w:t>
            </w:r>
          </w:p>
        </w:tc>
      </w:tr>
      <w:tr w:rsidR="00C33EF4" w:rsidRPr="00E70932" w:rsidTr="00DB1E90">
        <w:tc>
          <w:tcPr>
            <w:tcW w:w="4858" w:type="dxa"/>
          </w:tcPr>
          <w:p w:rsidR="000E45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822DC" w:rsidRDefault="00386832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attente de transmission </w:t>
            </w:r>
            <w:r w:rsidR="00166711">
              <w:rPr>
                <w:rFonts w:ascii="Arial" w:hAnsi="Arial" w:cs="Arial"/>
                <w:sz w:val="20"/>
                <w:szCs w:val="20"/>
              </w:rPr>
              <w:t>au Moniteur (Cf. PV du CA précédent).</w:t>
            </w:r>
          </w:p>
          <w:p w:rsidR="00162D03" w:rsidRPr="00005707" w:rsidRDefault="00162D03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240709" w:rsidRDefault="00240709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74B4A" w:rsidRPr="00DF51F9" w:rsidRDefault="00374B4A" w:rsidP="00DF51F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</w:tcPr>
          <w:p w:rsidR="00116F81" w:rsidRPr="00AF0F8D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25" w:type="dxa"/>
          </w:tcPr>
          <w:p w:rsidR="00005707" w:rsidRPr="00AF0F8D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166711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EB4ABB" w:rsidRPr="006C00AB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A5005A">
              <w:rPr>
                <w:rFonts w:ascii="Arial" w:hAnsi="Arial" w:cs="Arial"/>
                <w:b/>
                <w:sz w:val="20"/>
                <w:szCs w:val="20"/>
              </w:rPr>
              <w:t xml:space="preserve">Comptes </w:t>
            </w:r>
          </w:p>
        </w:tc>
      </w:tr>
      <w:tr w:rsidR="00C33EF4" w:rsidRPr="00005707" w:rsidTr="00DB1E90">
        <w:tc>
          <w:tcPr>
            <w:tcW w:w="4858" w:type="dxa"/>
            <w:shd w:val="clear" w:color="auto" w:fill="auto"/>
          </w:tcPr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86832" w:rsidRDefault="00697CB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situation est présentée par I. Capron </w:t>
            </w:r>
          </w:p>
          <w:p w:rsidR="00697CB9" w:rsidRDefault="00DC0D9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comptes sont légèrement en déficit</w:t>
            </w:r>
            <w:r w:rsidR="00DF51F9">
              <w:rPr>
                <w:rFonts w:ascii="Arial" w:hAnsi="Arial" w:cs="Arial"/>
                <w:sz w:val="20"/>
                <w:szCs w:val="20"/>
              </w:rPr>
              <w:t xml:space="preserve">, mais il reste de </w:t>
            </w:r>
            <w:r w:rsidR="00166711">
              <w:rPr>
                <w:rFonts w:ascii="Arial" w:hAnsi="Arial" w:cs="Arial"/>
                <w:sz w:val="20"/>
                <w:szCs w:val="20"/>
              </w:rPr>
              <w:t>l</w:t>
            </w:r>
            <w:r w:rsidR="00DF51F9">
              <w:rPr>
                <w:rFonts w:ascii="Arial" w:hAnsi="Arial" w:cs="Arial"/>
                <w:sz w:val="20"/>
                <w:szCs w:val="20"/>
              </w:rPr>
              <w:t xml:space="preserve">‘argent sur le compte. </w:t>
            </w:r>
          </w:p>
          <w:p w:rsidR="00E22C23" w:rsidRPr="00005707" w:rsidRDefault="00E22C23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633AD" w:rsidRDefault="00F633AD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633AD" w:rsidRDefault="00166711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Nous avons la possibilité d’a</w:t>
            </w:r>
            <w:r w:rsidR="00F633AD">
              <w:rPr>
                <w:rFonts w:ascii="Arial" w:hAnsi="Arial" w:cs="Arial"/>
                <w:sz w:val="20"/>
                <w:szCs w:val="20"/>
              </w:rPr>
              <w:t xml:space="preserve">ugmenter les rentrées via des événements </w:t>
            </w:r>
          </w:p>
          <w:p w:rsidR="00F633AD" w:rsidRDefault="00F633AD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Lors du colloque, nous souhaitons qu’il n’y ait pas plus de deux orateurs par présentation.</w:t>
            </w:r>
          </w:p>
          <w:p w:rsidR="00F633AD" w:rsidRDefault="00F633AD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semble nécessaire de faire de la publicité pour nos colloques et de calculer plus précisément le prix de reviens</w:t>
            </w:r>
            <w:r w:rsidR="00075547">
              <w:rPr>
                <w:rFonts w:ascii="Arial" w:hAnsi="Arial" w:cs="Arial"/>
                <w:sz w:val="20"/>
                <w:szCs w:val="20"/>
              </w:rPr>
              <w:t xml:space="preserve"> de l’ensemble des frais annexes. </w:t>
            </w:r>
          </w:p>
          <w:p w:rsidR="00DF51F9" w:rsidRDefault="00DF51F9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649AA" w:rsidRDefault="006649AA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Prévoir 3000 euros pour l’intervention d’un expert pédagogique</w:t>
            </w:r>
            <w:r w:rsidR="00166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6D96" w:rsidRPr="00DF51F9" w:rsidRDefault="002A6D96" w:rsidP="00DF51F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shd w:val="clear" w:color="auto" w:fill="auto"/>
          </w:tcPr>
          <w:p w:rsidR="00FF108B" w:rsidRDefault="00FF108B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Pr="00005707" w:rsidRDefault="0016671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Capron</w:t>
            </w:r>
          </w:p>
        </w:tc>
        <w:tc>
          <w:tcPr>
            <w:tcW w:w="1525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166711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EB4ABB" w:rsidRPr="006C00AB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A5005A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9805C3">
              <w:rPr>
                <w:rFonts w:ascii="Arial" w:hAnsi="Arial" w:cs="Arial"/>
                <w:b/>
                <w:sz w:val="20"/>
                <w:szCs w:val="20"/>
              </w:rPr>
              <w:t>bjet et o</w:t>
            </w:r>
            <w:r w:rsidR="00A5005A">
              <w:rPr>
                <w:rFonts w:ascii="Arial" w:hAnsi="Arial" w:cs="Arial"/>
                <w:b/>
                <w:sz w:val="20"/>
                <w:szCs w:val="20"/>
              </w:rPr>
              <w:t>rganisation des réunions à venir</w:t>
            </w:r>
          </w:p>
        </w:tc>
      </w:tr>
      <w:tr w:rsidR="00C33EF4" w:rsidRPr="00005707" w:rsidTr="00DB1E90">
        <w:tc>
          <w:tcPr>
            <w:tcW w:w="4858" w:type="dxa"/>
            <w:shd w:val="clear" w:color="auto" w:fill="auto"/>
          </w:tcPr>
          <w:p w:rsidR="002428AF" w:rsidRDefault="002428AF" w:rsidP="002428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649AA" w:rsidRDefault="00166711" w:rsidP="002428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 demi-journée</w:t>
            </w:r>
            <w:r w:rsidR="006649A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réunion sera prévue </w:t>
            </w:r>
            <w:r w:rsidR="008C2964">
              <w:rPr>
                <w:rFonts w:ascii="Arial" w:hAnsi="Arial" w:cs="Arial"/>
                <w:sz w:val="20"/>
                <w:szCs w:val="20"/>
              </w:rPr>
              <w:t xml:space="preserve">en mai pour spécifier les objectifs </w:t>
            </w:r>
            <w:r>
              <w:rPr>
                <w:rFonts w:ascii="Arial" w:hAnsi="Arial" w:cs="Arial"/>
                <w:sz w:val="20"/>
                <w:szCs w:val="20"/>
              </w:rPr>
              <w:t>à venir du CA. Par la suite, les membres proposent de bloquer des j</w:t>
            </w:r>
            <w:r w:rsidR="006649AA">
              <w:rPr>
                <w:rFonts w:ascii="Arial" w:hAnsi="Arial" w:cs="Arial"/>
                <w:sz w:val="20"/>
                <w:szCs w:val="20"/>
              </w:rPr>
              <w:t xml:space="preserve">ournées complètes </w:t>
            </w:r>
            <w:r>
              <w:rPr>
                <w:rFonts w:ascii="Arial" w:hAnsi="Arial" w:cs="Arial"/>
                <w:sz w:val="20"/>
                <w:szCs w:val="20"/>
              </w:rPr>
              <w:t>de travail pour être plus efficace et rassembler le plus de monde.</w:t>
            </w:r>
          </w:p>
          <w:p w:rsidR="006649AA" w:rsidRDefault="009D5A64" w:rsidP="002428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faut p</w:t>
            </w:r>
            <w:r w:rsidR="006649AA">
              <w:rPr>
                <w:rFonts w:ascii="Arial" w:hAnsi="Arial" w:cs="Arial"/>
                <w:sz w:val="20"/>
                <w:szCs w:val="20"/>
              </w:rPr>
              <w:t xml:space="preserve">révoir en mai les 4 journées de travail de </w:t>
            </w:r>
            <w:r w:rsidR="006649AA">
              <w:rPr>
                <w:rFonts w:ascii="Arial" w:hAnsi="Arial" w:cs="Arial"/>
                <w:sz w:val="20"/>
                <w:szCs w:val="20"/>
              </w:rPr>
              <w:lastRenderedPageBreak/>
              <w:t>l’année et l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6649AA">
              <w:rPr>
                <w:rFonts w:ascii="Arial" w:hAnsi="Arial" w:cs="Arial"/>
                <w:sz w:val="20"/>
                <w:szCs w:val="20"/>
              </w:rPr>
              <w:t xml:space="preserve"> date et sujet de l’évènement académique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432BE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432BE" w:rsidRPr="002428AF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37711" w:rsidRDefault="00F37711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5AFD" w:rsidRDefault="00166711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Breedstraet prévoit un doodle pour la rencontre de mai. Le dates des réunions de 19-20 seront proposées lors de ce CA.</w:t>
            </w:r>
          </w:p>
          <w:p w:rsidR="00166711" w:rsidRDefault="00166711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65D6D" w:rsidRDefault="00C65D6D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6711" w:rsidRDefault="00166711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65D6D" w:rsidRPr="00E708EC" w:rsidRDefault="009D5A64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A. Lekeux nous partage que le grand auditoire du Barbou sera disponible mais qu’il faut anticiper la date. </w:t>
            </w:r>
            <w:r w:rsidR="00C65D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8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0AB" w:rsidRPr="006C00AB" w:rsidTr="00893EFE">
        <w:tc>
          <w:tcPr>
            <w:tcW w:w="13994" w:type="dxa"/>
            <w:gridSpan w:val="4"/>
            <w:shd w:val="clear" w:color="auto" w:fill="D9D9D9"/>
          </w:tcPr>
          <w:p w:rsidR="006C00AB" w:rsidRPr="006C00AB" w:rsidRDefault="00C4386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5. </w:t>
            </w:r>
            <w:r w:rsidR="00952E05">
              <w:rPr>
                <w:rFonts w:ascii="Arial" w:hAnsi="Arial" w:cs="Arial"/>
                <w:b/>
                <w:sz w:val="20"/>
                <w:szCs w:val="20"/>
              </w:rPr>
              <w:t xml:space="preserve">Divers </w:t>
            </w:r>
          </w:p>
        </w:tc>
      </w:tr>
      <w:tr w:rsidR="00C33EF4" w:rsidRPr="00005707" w:rsidTr="00DB1E90">
        <w:tc>
          <w:tcPr>
            <w:tcW w:w="485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F3FEE" w:rsidRDefault="005F3FE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 du PV de l’AG sur le site</w:t>
            </w:r>
            <w:r w:rsidR="009D5A64">
              <w:rPr>
                <w:rFonts w:ascii="Arial" w:hAnsi="Arial" w:cs="Arial"/>
                <w:sz w:val="20"/>
                <w:szCs w:val="20"/>
              </w:rPr>
              <w:t xml:space="preserve"> suite à l’approbation en ligne.</w:t>
            </w:r>
          </w:p>
          <w:p w:rsidR="00300754" w:rsidRDefault="00300754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Réaction du CFAI</w:t>
            </w:r>
            <w:r w:rsidR="009D5A64">
              <w:rPr>
                <w:rFonts w:ascii="Arial" w:hAnsi="Arial" w:cs="Arial"/>
                <w:sz w:val="20"/>
                <w:szCs w:val="20"/>
              </w:rPr>
              <w:t xml:space="preserve"> par rapport à la demande de dérogation pour es heures de formation continue pour les enseignants. Notre demande a été refusée mais comme cette recommandation n’a pas été validée par la Ministre, nous ne perdons pas d’énergie maintenant à réagir.</w:t>
            </w:r>
          </w:p>
          <w:p w:rsidR="009D5A64" w:rsidRDefault="009D5A64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F2D6F" w:rsidRPr="00005707" w:rsidRDefault="008F2D6F" w:rsidP="001B43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EB5620" w:rsidRDefault="00EB5620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B5620" w:rsidP="00E7093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D5A64" w:rsidRDefault="009D5A64" w:rsidP="00E7093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D5A64" w:rsidRDefault="009D5A64" w:rsidP="00E7093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réponse est en annexe de ce PV.</w:t>
            </w:r>
          </w:p>
          <w:p w:rsidR="009D5A64" w:rsidRPr="00005707" w:rsidRDefault="009D5A64" w:rsidP="00E7093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08EC" w:rsidRDefault="00E708EC" w:rsidP="008926E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F37711" w:rsidRDefault="00F37711" w:rsidP="00F37711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Belle semaine à tous et toutes,</w:t>
      </w:r>
    </w:p>
    <w:p w:rsidR="00F37711" w:rsidRDefault="00F37711" w:rsidP="00F37711">
      <w:pPr>
        <w:spacing w:after="0"/>
        <w:jc w:val="right"/>
      </w:pPr>
      <w:r>
        <w:rPr>
          <w:rFonts w:ascii="Arial" w:hAnsi="Arial" w:cs="Arial"/>
          <w:sz w:val="20"/>
          <w:szCs w:val="20"/>
        </w:rPr>
        <w:t>S. Breedstraet, rapporteur</w:t>
      </w:r>
    </w:p>
    <w:sectPr w:rsidR="00F37711" w:rsidSect="00005707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8F" w:rsidRDefault="00B4038F" w:rsidP="00E708EC">
      <w:pPr>
        <w:spacing w:after="0" w:line="240" w:lineRule="auto"/>
      </w:pPr>
      <w:r>
        <w:separator/>
      </w:r>
    </w:p>
  </w:endnote>
  <w:endnote w:type="continuationSeparator" w:id="0">
    <w:p w:rsidR="00B4038F" w:rsidRDefault="00B4038F" w:rsidP="00E7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886342"/>
      <w:docPartObj>
        <w:docPartGallery w:val="Page Numbers (Bottom of Page)"/>
        <w:docPartUnique/>
      </w:docPartObj>
    </w:sdtPr>
    <w:sdtEndPr/>
    <w:sdtContent>
      <w:p w:rsidR="00E708EC" w:rsidRDefault="00E708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8A0" w:rsidRPr="00C558A0">
          <w:rPr>
            <w:noProof/>
            <w:lang w:val="fr-FR"/>
          </w:rPr>
          <w:t>2</w:t>
        </w:r>
        <w:r>
          <w:fldChar w:fldCharType="end"/>
        </w:r>
      </w:p>
    </w:sdtContent>
  </w:sdt>
  <w:p w:rsidR="00E708EC" w:rsidRDefault="00E70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8F" w:rsidRDefault="00B4038F" w:rsidP="00E708EC">
      <w:pPr>
        <w:spacing w:after="0" w:line="240" w:lineRule="auto"/>
      </w:pPr>
      <w:r>
        <w:separator/>
      </w:r>
    </w:p>
  </w:footnote>
  <w:footnote w:type="continuationSeparator" w:id="0">
    <w:p w:rsidR="00B4038F" w:rsidRDefault="00B4038F" w:rsidP="00E7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738"/>
    <w:multiLevelType w:val="hybridMultilevel"/>
    <w:tmpl w:val="FBD6D766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52A9"/>
    <w:multiLevelType w:val="hybridMultilevel"/>
    <w:tmpl w:val="68C244B6"/>
    <w:lvl w:ilvl="0" w:tplc="20FEF67A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F4BB3"/>
    <w:multiLevelType w:val="hybridMultilevel"/>
    <w:tmpl w:val="C310C592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A381F"/>
    <w:multiLevelType w:val="hybridMultilevel"/>
    <w:tmpl w:val="1A4C1DE6"/>
    <w:lvl w:ilvl="0" w:tplc="0958DC0A">
      <w:start w:val="1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85590"/>
    <w:multiLevelType w:val="hybridMultilevel"/>
    <w:tmpl w:val="9724A82C"/>
    <w:lvl w:ilvl="0" w:tplc="78E21C72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D717A"/>
    <w:multiLevelType w:val="hybridMultilevel"/>
    <w:tmpl w:val="50786624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D68F2"/>
    <w:multiLevelType w:val="hybridMultilevel"/>
    <w:tmpl w:val="F18E99B8"/>
    <w:lvl w:ilvl="0" w:tplc="3064DC4C">
      <w:start w:val="1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61004"/>
    <w:multiLevelType w:val="hybridMultilevel"/>
    <w:tmpl w:val="73EA41FE"/>
    <w:lvl w:ilvl="0" w:tplc="1D7EE3CA">
      <w:start w:val="1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49A6"/>
    <w:rsid w:val="00005707"/>
    <w:rsid w:val="0001251E"/>
    <w:rsid w:val="00053E5B"/>
    <w:rsid w:val="00075547"/>
    <w:rsid w:val="0008050C"/>
    <w:rsid w:val="000D1EE9"/>
    <w:rsid w:val="000D5536"/>
    <w:rsid w:val="000E4507"/>
    <w:rsid w:val="000F46BF"/>
    <w:rsid w:val="00116F81"/>
    <w:rsid w:val="001258CC"/>
    <w:rsid w:val="00133601"/>
    <w:rsid w:val="001343B6"/>
    <w:rsid w:val="001411DF"/>
    <w:rsid w:val="00146ED0"/>
    <w:rsid w:val="00155AFD"/>
    <w:rsid w:val="00162D03"/>
    <w:rsid w:val="00164421"/>
    <w:rsid w:val="00166711"/>
    <w:rsid w:val="00183413"/>
    <w:rsid w:val="001920E7"/>
    <w:rsid w:val="00196F7E"/>
    <w:rsid w:val="001B4312"/>
    <w:rsid w:val="001F5878"/>
    <w:rsid w:val="00220EFE"/>
    <w:rsid w:val="00227657"/>
    <w:rsid w:val="0023544F"/>
    <w:rsid w:val="00240709"/>
    <w:rsid w:val="00241A81"/>
    <w:rsid w:val="002428AF"/>
    <w:rsid w:val="00243420"/>
    <w:rsid w:val="00290094"/>
    <w:rsid w:val="002A40A7"/>
    <w:rsid w:val="002A6D96"/>
    <w:rsid w:val="002C0F96"/>
    <w:rsid w:val="002C4A69"/>
    <w:rsid w:val="002C590D"/>
    <w:rsid w:val="002D217B"/>
    <w:rsid w:val="002E5099"/>
    <w:rsid w:val="002F6554"/>
    <w:rsid w:val="00300754"/>
    <w:rsid w:val="00327CDF"/>
    <w:rsid w:val="00336CD9"/>
    <w:rsid w:val="00374B4A"/>
    <w:rsid w:val="00375EB5"/>
    <w:rsid w:val="0038625B"/>
    <w:rsid w:val="00386832"/>
    <w:rsid w:val="0038767A"/>
    <w:rsid w:val="003970A6"/>
    <w:rsid w:val="003C0010"/>
    <w:rsid w:val="003F2553"/>
    <w:rsid w:val="003F3B41"/>
    <w:rsid w:val="00401E0D"/>
    <w:rsid w:val="00402D6E"/>
    <w:rsid w:val="00404F12"/>
    <w:rsid w:val="004504EA"/>
    <w:rsid w:val="00467903"/>
    <w:rsid w:val="00472E22"/>
    <w:rsid w:val="00502675"/>
    <w:rsid w:val="00507124"/>
    <w:rsid w:val="00555666"/>
    <w:rsid w:val="00563C8F"/>
    <w:rsid w:val="00567683"/>
    <w:rsid w:val="005B5FF6"/>
    <w:rsid w:val="005C064B"/>
    <w:rsid w:val="005D4EDD"/>
    <w:rsid w:val="005D6DF2"/>
    <w:rsid w:val="005F3B9D"/>
    <w:rsid w:val="005F3FEE"/>
    <w:rsid w:val="006032B0"/>
    <w:rsid w:val="0063529E"/>
    <w:rsid w:val="00641FE9"/>
    <w:rsid w:val="006649AA"/>
    <w:rsid w:val="00666E25"/>
    <w:rsid w:val="00671816"/>
    <w:rsid w:val="00697CB9"/>
    <w:rsid w:val="006C00AB"/>
    <w:rsid w:val="006C2672"/>
    <w:rsid w:val="00747C83"/>
    <w:rsid w:val="0075402B"/>
    <w:rsid w:val="0077030B"/>
    <w:rsid w:val="007722A3"/>
    <w:rsid w:val="007822DC"/>
    <w:rsid w:val="0078439C"/>
    <w:rsid w:val="007A4437"/>
    <w:rsid w:val="007A7900"/>
    <w:rsid w:val="007C4D30"/>
    <w:rsid w:val="00805F55"/>
    <w:rsid w:val="0081471F"/>
    <w:rsid w:val="008926ED"/>
    <w:rsid w:val="008A7D2B"/>
    <w:rsid w:val="008B49F2"/>
    <w:rsid w:val="008C2964"/>
    <w:rsid w:val="008F10BB"/>
    <w:rsid w:val="008F2D6F"/>
    <w:rsid w:val="00952370"/>
    <w:rsid w:val="00952E05"/>
    <w:rsid w:val="009655D6"/>
    <w:rsid w:val="0096638C"/>
    <w:rsid w:val="009805C3"/>
    <w:rsid w:val="00980961"/>
    <w:rsid w:val="009954BC"/>
    <w:rsid w:val="00997784"/>
    <w:rsid w:val="009A2D9B"/>
    <w:rsid w:val="009A35FD"/>
    <w:rsid w:val="009B30E1"/>
    <w:rsid w:val="009D5A64"/>
    <w:rsid w:val="009E53ED"/>
    <w:rsid w:val="009E546E"/>
    <w:rsid w:val="009E7CAF"/>
    <w:rsid w:val="009F13D1"/>
    <w:rsid w:val="00A10446"/>
    <w:rsid w:val="00A1743E"/>
    <w:rsid w:val="00A22781"/>
    <w:rsid w:val="00A5005A"/>
    <w:rsid w:val="00A60EAC"/>
    <w:rsid w:val="00A64936"/>
    <w:rsid w:val="00A7266B"/>
    <w:rsid w:val="00AC349F"/>
    <w:rsid w:val="00AC7B97"/>
    <w:rsid w:val="00AD0C84"/>
    <w:rsid w:val="00AD6D68"/>
    <w:rsid w:val="00AF0F8D"/>
    <w:rsid w:val="00AF67BB"/>
    <w:rsid w:val="00B4038F"/>
    <w:rsid w:val="00B46078"/>
    <w:rsid w:val="00B91D90"/>
    <w:rsid w:val="00B96340"/>
    <w:rsid w:val="00C33EF4"/>
    <w:rsid w:val="00C35592"/>
    <w:rsid w:val="00C436F0"/>
    <w:rsid w:val="00C43863"/>
    <w:rsid w:val="00C558A0"/>
    <w:rsid w:val="00C65D6D"/>
    <w:rsid w:val="00C70938"/>
    <w:rsid w:val="00C73C52"/>
    <w:rsid w:val="00CB3EFC"/>
    <w:rsid w:val="00CE0CCE"/>
    <w:rsid w:val="00CE62BD"/>
    <w:rsid w:val="00CE7202"/>
    <w:rsid w:val="00D432BE"/>
    <w:rsid w:val="00D533FD"/>
    <w:rsid w:val="00D86702"/>
    <w:rsid w:val="00D940F1"/>
    <w:rsid w:val="00DA2289"/>
    <w:rsid w:val="00DB1E90"/>
    <w:rsid w:val="00DB5714"/>
    <w:rsid w:val="00DC0D9E"/>
    <w:rsid w:val="00DD5C76"/>
    <w:rsid w:val="00DF09BA"/>
    <w:rsid w:val="00DF51F9"/>
    <w:rsid w:val="00E017EF"/>
    <w:rsid w:val="00E14A75"/>
    <w:rsid w:val="00E14EB6"/>
    <w:rsid w:val="00E22C23"/>
    <w:rsid w:val="00E708EC"/>
    <w:rsid w:val="00E70932"/>
    <w:rsid w:val="00E8774A"/>
    <w:rsid w:val="00E96AAD"/>
    <w:rsid w:val="00EA2E03"/>
    <w:rsid w:val="00EA34B9"/>
    <w:rsid w:val="00EB3EC2"/>
    <w:rsid w:val="00EB4ABB"/>
    <w:rsid w:val="00EB5620"/>
    <w:rsid w:val="00EC59FF"/>
    <w:rsid w:val="00EC5A42"/>
    <w:rsid w:val="00EF77BA"/>
    <w:rsid w:val="00F2766D"/>
    <w:rsid w:val="00F319D1"/>
    <w:rsid w:val="00F33BAB"/>
    <w:rsid w:val="00F37711"/>
    <w:rsid w:val="00F57884"/>
    <w:rsid w:val="00F633AD"/>
    <w:rsid w:val="00FA584B"/>
    <w:rsid w:val="00FB4A5A"/>
    <w:rsid w:val="00FC0E10"/>
    <w:rsid w:val="00FC10E3"/>
    <w:rsid w:val="00FC4477"/>
    <w:rsid w:val="00FC77CB"/>
    <w:rsid w:val="00FD0285"/>
    <w:rsid w:val="00FD7637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Breedstraet</dc:creator>
  <cp:lastModifiedBy>ROBERT Marielle</cp:lastModifiedBy>
  <cp:revision>2</cp:revision>
  <cp:lastPrinted>2018-10-09T07:41:00Z</cp:lastPrinted>
  <dcterms:created xsi:type="dcterms:W3CDTF">2019-03-26T13:06:00Z</dcterms:created>
  <dcterms:modified xsi:type="dcterms:W3CDTF">2019-03-26T13:06:00Z</dcterms:modified>
</cp:coreProperties>
</file>