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color w:val="0B3A6A"/>
          <w:sz w:val="40"/>
        </w:rPr>
        <w:t>Inventario de parámetros de sistema</w:t>
      </w:r>
    </w:p>
    <w:p>
      <w:pPr>
        <w:spacing w:before="0" w:after="40"/>
      </w:pPr>
      <w:r>
        <w:rPr>
          <w:rFonts w:ascii="Calibri" w:hAnsi="Calibri" w:eastAsia="Calibri"/>
          <w:b w:val="0"/>
          <w:color w:val="4B5563"/>
          <w:sz w:val="24"/>
        </w:rPr>
        <w:t>Core API  ·  enum SystemParameterKey</w:t>
      </w:r>
    </w:p>
    <w:p>
      <w:pPr>
        <w:spacing w:before="0" w:after="200"/>
      </w:pPr>
      <w:r>
        <w:rPr>
          <w:rFonts w:ascii="Calibri" w:hAnsi="Calibri" w:eastAsia="Calibri"/>
          <w:b w:val="0"/>
          <w:color w:val="6B7280"/>
          <w:sz w:val="18"/>
        </w:rPr>
        <w:t>Fuente: recursosProductivos/apiRest · com.davivienda.factoraje.domain.enums.SystemParameterKey</w:t>
      </w:r>
    </w:p>
    <w:p>
      <w:pPr>
        <w:spacing w:before="0" w:after="120"/>
      </w:pPr>
      <w:r>
        <w:rPr>
          <w:rFonts w:ascii="Calibri" w:hAnsi="Calibri" w:eastAsia="Calibri"/>
          <w:b w:val="0"/>
          <w:sz w:val="22"/>
        </w:rPr>
        <w:t>El enum define 26 parámetros. El valor por defecto se usa cuando la fila no existe en system_parameters o el valor guardado es inválido, para que un error de configuración no detenga la operación.</w:t>
      </w:r>
    </w:p>
    <w:p>
      <w:pPr>
        <w:spacing w:before="0" w:after="80"/>
      </w:pPr>
      <w:r>
        <w:rPr>
          <w:rFonts w:ascii="Calibri" w:hAnsi="Calibri" w:eastAsia="Calibri"/>
          <w:b w:val="0"/>
          <w:sz w:val="22"/>
        </w:rPr>
        <w:t>Cinco parámetros son de negocio y los administra el operador bancario (ADMIN). El resto son técnicos y los administra SYSTEM_ADMIN, incluidas las llaves que no están en este enum. El valor CONFIGURAR indica que el parámetro todavía no se ha configurado en el ambiente. Los marcados como sensibles no salen en los logs ni en las respuestas de la API. El valor almacenado no puede superar 255 caracteres.</w:t>
      </w:r>
    </w:p>
    <w:p>
      <w:pPr>
        <w:spacing w:before="320" w:after="80"/>
        <w:pBdr>
          <w:bottom w:val="single" w:sz="8" w:space="1" w:color="0B3A6A"/>
        </w:pBdr>
      </w:pPr>
      <w:r>
        <w:rPr>
          <w:rFonts w:ascii="Calibri" w:hAnsi="Calibri" w:eastAsia="Calibri"/>
          <w:b/>
          <w:color w:val="0B3A6A"/>
          <w:sz w:val="28"/>
        </w:rPr>
        <w:t>1. Negocio (ADMIN)</w:t>
      </w:r>
    </w:p>
    <w:p>
      <w:pPr>
        <w:spacing w:before="40" w:after="80"/>
      </w:pPr>
      <w:r>
        <w:rPr>
          <w:rFonts w:ascii="Calibri" w:hAnsi="Calibri" w:eastAsia="Calibri"/>
          <w:b w:val="0"/>
          <w:color w:val="4B5563"/>
          <w:sz w:val="20"/>
        </w:rPr>
        <w:t>Reglas que administra el operador bancario.</w:t>
      </w:r>
    </w:p>
    <w:tbl>
      <w:tblPr>
        <w:tblW w:type="dxa" w:w="10427"/>
        <w:jc w:val="center"/>
        <w:tblLayout w:type="fixed"/>
        <w:tblLook w:firstColumn="1" w:firstRow="1" w:lastColumn="0" w:lastRow="0" w:noHBand="0" w:noVBand="1" w:val="04A0"/>
        <w:tblLayout w:type="fixed"/>
      </w:tblPr>
      <w:tblGrid>
        <w:gridCol w:w="2800"/>
        <w:gridCol w:w="1600"/>
        <w:gridCol w:w="3027"/>
        <w:gridCol w:w="3000"/>
      </w:tblGrid>
      <w:tr>
        <w:trPr>
          <w:cantSplit/>
        </w:trPr>
        <w:tc>
          <w:tcPr>
            <w:tcW w:type="dxa" w:w="28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Parámetro</w:t>
            </w:r>
          </w:p>
        </w:tc>
        <w:tc>
          <w:tcPr>
            <w:tcW w:type="dxa" w:w="16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Tipo</w:t>
            </w:r>
          </w:p>
        </w:tc>
        <w:tc>
          <w:tcPr>
            <w:tcW w:type="dxa" w:w="3027"/>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Valor por defecto</w:t>
            </w:r>
          </w:p>
        </w:tc>
        <w:tc>
          <w:tcPr>
            <w:tcW w:type="dxa" w:w="30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Rango o regla</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IVA_RATE</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DECIMAL</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0.13</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0 a 1</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DEFAULT_CREDIT_THRESHOLD</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DECIMAL</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0.80</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0.01 a 1</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DISBURSEMENT_CUTOFF_TIME</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TIME</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15:00</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Formato HH:mm</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DUE_DATE_GRACE_DAYS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INTEGER</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5</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0 a 60</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MAX_INVOICE_AGE_DAYS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INTEGER</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120</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1 a 3650</w:t>
            </w:r>
          </w:p>
        </w:tc>
      </w:tr>
    </w:tbl>
    <w:p>
      <w:pPr>
        <w:spacing w:before="0" w:after="40"/>
      </w:pPr>
      <w:r>
        <w:rPr>
          <w:rFonts w:ascii="Calibri" w:hAnsi="Calibri" w:eastAsia="Calibri"/>
          <w:b w:val="0"/>
          <w:sz w:val="12"/>
        </w:rPr>
      </w:r>
    </w:p>
    <w:p>
      <w:pPr>
        <w:spacing w:before="320" w:after="80"/>
        <w:pBdr>
          <w:bottom w:val="single" w:sz="8" w:space="1" w:color="0B3A6A"/>
        </w:pBdr>
      </w:pPr>
      <w:r>
        <w:rPr>
          <w:rFonts w:ascii="Calibri" w:hAnsi="Calibri" w:eastAsia="Calibri"/>
          <w:b/>
          <w:color w:val="0B3A6A"/>
          <w:sz w:val="28"/>
        </w:rPr>
        <w:t>2. Carga de archivos</w:t>
      </w:r>
    </w:p>
    <w:p>
      <w:pPr>
        <w:spacing w:before="40" w:after="80"/>
      </w:pPr>
      <w:r>
        <w:rPr>
          <w:rFonts w:ascii="Calibri" w:hAnsi="Calibri" w:eastAsia="Calibri"/>
          <w:b w:val="0"/>
          <w:color w:val="4B5563"/>
          <w:sz w:val="20"/>
        </w:rPr>
        <w:t>UPLOAD_MAX_FILE_SIZE_MB debe coincidir con spring.servlet.multipart.max-file-size.</w:t>
      </w:r>
    </w:p>
    <w:tbl>
      <w:tblPr>
        <w:tblW w:type="dxa" w:w="10427"/>
        <w:jc w:val="center"/>
        <w:tblLayout w:type="fixed"/>
        <w:tblLook w:firstColumn="1" w:firstRow="1" w:lastColumn="0" w:lastRow="0" w:noHBand="0" w:noVBand="1" w:val="04A0"/>
        <w:tblLayout w:type="fixed"/>
      </w:tblPr>
      <w:tblGrid>
        <w:gridCol w:w="2800"/>
        <w:gridCol w:w="1600"/>
        <w:gridCol w:w="3027"/>
        <w:gridCol w:w="3000"/>
      </w:tblGrid>
      <w:tr>
        <w:trPr>
          <w:cantSplit/>
        </w:trPr>
        <w:tc>
          <w:tcPr>
            <w:tcW w:type="dxa" w:w="28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Parámetro</w:t>
            </w:r>
          </w:p>
        </w:tc>
        <w:tc>
          <w:tcPr>
            <w:tcW w:type="dxa" w:w="16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Tipo</w:t>
            </w:r>
          </w:p>
        </w:tc>
        <w:tc>
          <w:tcPr>
            <w:tcW w:type="dxa" w:w="3027"/>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Valor por defecto</w:t>
            </w:r>
          </w:p>
        </w:tc>
        <w:tc>
          <w:tcPr>
            <w:tcW w:type="dxa" w:w="30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Rango o regla</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UPLOAD_ALLOWED_EXTENSIONS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FILE_EXTENSIONS</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.xlsx,.xls</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Solo .xlsx y .xls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UPLOAD_MAX_FILE_SIZE_MB</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INTEGER</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5</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1 a 50</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UPLOAD_MAX_ROWS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INTEGER</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5000</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1 a 100000</w:t>
            </w:r>
          </w:p>
        </w:tc>
      </w:tr>
    </w:tbl>
    <w:p>
      <w:pPr>
        <w:spacing w:before="0" w:after="40"/>
      </w:pPr>
      <w:r>
        <w:rPr>
          <w:rFonts w:ascii="Calibri" w:hAnsi="Calibri" w:eastAsia="Calibri"/>
          <w:b w:val="0"/>
          <w:sz w:val="12"/>
        </w:rPr>
      </w:r>
    </w:p>
    <w:p>
      <w:pPr>
        <w:spacing w:before="320" w:after="80"/>
        <w:pBdr>
          <w:bottom w:val="single" w:sz="8" w:space="1" w:color="0B3A6A"/>
        </w:pBdr>
      </w:pPr>
      <w:r>
        <w:rPr>
          <w:rFonts w:ascii="Calibri" w:hAnsi="Calibri" w:eastAsia="Calibri"/>
          <w:b/>
          <w:color w:val="0B3A6A"/>
          <w:sz w:val="28"/>
        </w:rPr>
        <w:t>3. Sesión y CORS</w:t>
      </w:r>
    </w:p>
    <w:p>
      <w:pPr>
        <w:spacing w:before="40" w:after="80"/>
      </w:pPr>
      <w:r>
        <w:rPr>
          <w:rFonts w:ascii="Calibri" w:hAnsi="Calibri" w:eastAsia="Calibri"/>
          <w:b w:val="0"/>
          <w:color w:val="4B5563"/>
          <w:sz w:val="20"/>
        </w:rPr>
        <w:t>SESSION_COOKIE_NAME se comparte con la aplicación de financiamiento. Cambiar el nombre deja sin sesión a quien ya ingresó.</w:t>
      </w:r>
    </w:p>
    <w:tbl>
      <w:tblPr>
        <w:tblW w:type="dxa" w:w="10427"/>
        <w:jc w:val="center"/>
        <w:tblLayout w:type="fixed"/>
        <w:tblLook w:firstColumn="1" w:firstRow="1" w:lastColumn="0" w:lastRow="0" w:noHBand="0" w:noVBand="1" w:val="04A0"/>
        <w:tblLayout w:type="fixed"/>
      </w:tblPr>
      <w:tblGrid>
        <w:gridCol w:w="2800"/>
        <w:gridCol w:w="1600"/>
        <w:gridCol w:w="3027"/>
        <w:gridCol w:w="3000"/>
      </w:tblGrid>
      <w:tr>
        <w:trPr>
          <w:cantSplit/>
        </w:trPr>
        <w:tc>
          <w:tcPr>
            <w:tcW w:type="dxa" w:w="28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Parámetro</w:t>
            </w:r>
          </w:p>
        </w:tc>
        <w:tc>
          <w:tcPr>
            <w:tcW w:type="dxa" w:w="16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Tipo</w:t>
            </w:r>
          </w:p>
        </w:tc>
        <w:tc>
          <w:tcPr>
            <w:tcW w:type="dxa" w:w="3027"/>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Valor por defecto</w:t>
            </w:r>
          </w:p>
        </w:tc>
        <w:tc>
          <w:tcPr>
            <w:tcW w:type="dxa" w:w="30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Rango o regla</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CORS_ALLOWED_ORIGINS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ORIGINS</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http://localhost:5173,</w:t>
            </w:r>
            <w:r>
              <w:br/>
            </w:r>
            <w:r>
              <w:rPr>
                <w:rFonts w:ascii="Calibri" w:hAnsi="Calibri" w:eastAsia="Calibri"/>
                <w:b w:val="0"/>
                <w:sz w:val="18"/>
              </w:rPr>
              <w:t>https://devpay.davivienda.com.sv</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Al menos un origen http(s)://host[:puerto], sin ruta</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JWT_EXPIRATION_MINUTES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INTEGER</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1440</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5 a 10080</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SESSION_IDLE_TIMEOUT_MINUTES</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INTEGER</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15</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1 a 480</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SESSION_COOKIE_NAME</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COOKIE_NAME</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fincxp_token</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Letras, números, guion y guion bajo. Máximo 64</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SESSION_COOKIE_DOMAIN</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davivienda.com.sv</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Máximo 255 caracteres</w:t>
            </w:r>
          </w:p>
        </w:tc>
      </w:tr>
    </w:tbl>
    <w:p>
      <w:pPr>
        <w:spacing w:before="0" w:after="40"/>
      </w:pPr>
      <w:r>
        <w:rPr>
          <w:rFonts w:ascii="Calibri" w:hAnsi="Calibri" w:eastAsia="Calibri"/>
          <w:b w:val="0"/>
          <w:sz w:val="12"/>
        </w:rPr>
      </w:r>
    </w:p>
    <w:p>
      <w:pPr>
        <w:spacing w:before="320" w:after="80"/>
        <w:pBdr>
          <w:bottom w:val="single" w:sz="8" w:space="1" w:color="0B3A6A"/>
        </w:pBdr>
      </w:pPr>
      <w:r>
        <w:rPr>
          <w:rFonts w:ascii="Calibri" w:hAnsi="Calibri" w:eastAsia="Calibri"/>
          <w:b/>
          <w:color w:val="0B3A6A"/>
          <w:sz w:val="28"/>
        </w:rPr>
        <w:t>4. Secretos, handoff y correo</w:t>
      </w:r>
    </w:p>
    <w:p>
      <w:pPr>
        <w:spacing w:before="40" w:after="80"/>
      </w:pPr>
      <w:r>
        <w:rPr>
          <w:rFonts w:ascii="Calibri" w:hAnsi="Calibri" w:eastAsia="Calibri"/>
          <w:b w:val="0"/>
          <w:color w:val="4B5563"/>
          <w:sz w:val="20"/>
        </w:rPr>
        <w:t>JWT_SECRET sin un valor Base64 válido impide el arranque de la API. BEARER_TOKEN y APP_CODE los presenta el portal; PAY_BEARER_TOKEN autoriza la validación del OTC en Davivienda.</w:t>
      </w:r>
    </w:p>
    <w:tbl>
      <w:tblPr>
        <w:tblW w:type="dxa" w:w="10427"/>
        <w:jc w:val="center"/>
        <w:tblLayout w:type="fixed"/>
        <w:tblLook w:firstColumn="1" w:firstRow="1" w:lastColumn="0" w:lastRow="0" w:noHBand="0" w:noVBand="1" w:val="04A0"/>
        <w:tblLayout w:type="fixed"/>
      </w:tblPr>
      <w:tblGrid>
        <w:gridCol w:w="2800"/>
        <w:gridCol w:w="1600"/>
        <w:gridCol w:w="3027"/>
        <w:gridCol w:w="3000"/>
      </w:tblGrid>
      <w:tr>
        <w:trPr>
          <w:cantSplit/>
        </w:trPr>
        <w:tc>
          <w:tcPr>
            <w:tcW w:type="dxa" w:w="28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Parámetro</w:t>
            </w:r>
          </w:p>
        </w:tc>
        <w:tc>
          <w:tcPr>
            <w:tcW w:type="dxa" w:w="16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Tipo</w:t>
            </w:r>
          </w:p>
        </w:tc>
        <w:tc>
          <w:tcPr>
            <w:tcW w:type="dxa" w:w="3027"/>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Valor por defecto</w:t>
            </w:r>
          </w:p>
        </w:tc>
        <w:tc>
          <w:tcPr>
            <w:tcW w:type="dxa" w:w="30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Sensible</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JWT_SECRET</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BASE64_KEY</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Sí. Mínimo 256 bits (32 bytes)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MAILJET_API_KEY</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Sí</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MAILJET_API_SECRET</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Sí</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MAILJET_FROM_EMAIL</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EMAIL</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No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MAILJET_FROM_NAME</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No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MAILJET_API_URL</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URL</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https://api.mailjet.com/v3.1/send</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No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BEARER_TOKEN</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Sí</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PAY_BEARER_TOKEN</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Sí</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APP_CODE</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TEXT</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Sí</w:t>
            </w:r>
          </w:p>
        </w:tc>
      </w:tr>
    </w:tbl>
    <w:p>
      <w:pPr>
        <w:spacing w:before="0" w:after="40"/>
      </w:pPr>
      <w:r>
        <w:rPr>
          <w:rFonts w:ascii="Calibri" w:hAnsi="Calibri" w:eastAsia="Calibri"/>
          <w:b w:val="0"/>
          <w:sz w:val="12"/>
        </w:rPr>
      </w:r>
    </w:p>
    <w:p>
      <w:pPr>
        <w:spacing w:before="320" w:after="80"/>
        <w:pBdr>
          <w:bottom w:val="single" w:sz="8" w:space="1" w:color="0B3A6A"/>
        </w:pBdr>
      </w:pPr>
      <w:r>
        <w:rPr>
          <w:rFonts w:ascii="Calibri" w:hAnsi="Calibri" w:eastAsia="Calibri"/>
          <w:b/>
          <w:color w:val="0B3A6A"/>
          <w:sz w:val="28"/>
        </w:rPr>
        <w:t>5. URLs y Content Security Policy</w:t>
      </w:r>
    </w:p>
    <w:p>
      <w:pPr>
        <w:spacing w:before="40" w:after="80"/>
      </w:pPr>
      <w:r>
        <w:rPr>
          <w:rFonts w:ascii="Calibri" w:hAnsi="Calibri" w:eastAsia="Calibri"/>
          <w:b w:val="0"/>
          <w:color w:val="4B5563"/>
          <w:sz w:val="20"/>
        </w:rPr>
        <w:t>Las URL admiten http o https, sin consulta ni fragmento. CSP_MODE y CSP_CONNECT_SRC los consume el Web Server. CSP_CONNECT_SRC cambia por ambiente.</w:t>
      </w:r>
    </w:p>
    <w:tbl>
      <w:tblPr>
        <w:tblW w:type="dxa" w:w="10427"/>
        <w:jc w:val="center"/>
        <w:tblLayout w:type="fixed"/>
        <w:tblLook w:firstColumn="1" w:firstRow="1" w:lastColumn="0" w:lastRow="0" w:noHBand="0" w:noVBand="1" w:val="04A0"/>
        <w:tblLayout w:type="fixed"/>
      </w:tblPr>
      <w:tblGrid>
        <w:gridCol w:w="2800"/>
        <w:gridCol w:w="1600"/>
        <w:gridCol w:w="3027"/>
        <w:gridCol w:w="3000"/>
      </w:tblGrid>
      <w:tr>
        <w:trPr>
          <w:cantSplit/>
        </w:trPr>
        <w:tc>
          <w:tcPr>
            <w:tcW w:type="dxa" w:w="28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Parámetro</w:t>
            </w:r>
          </w:p>
        </w:tc>
        <w:tc>
          <w:tcPr>
            <w:tcW w:type="dxa" w:w="16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Tipo</w:t>
            </w:r>
          </w:p>
        </w:tc>
        <w:tc>
          <w:tcPr>
            <w:tcW w:type="dxa" w:w="3027"/>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Valor por defecto</w:t>
            </w:r>
          </w:p>
        </w:tc>
        <w:tc>
          <w:tcPr>
            <w:tcW w:type="dxa" w:w="30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Valores admitidos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APP_LOGIN_URL</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URL</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http(s), sin consulta ni fragmento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PAY_DAVIVIENDA_URL</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URL</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Servicio que valida el OTC del handoff</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CSP_MODE</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CSP_MODE</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REPORT_ONLY</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REPORT_ONLY, ENFORCE o DISABLED</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CSP_CONNECT_SRC</w:t>
            </w:r>
          </w:p>
        </w:tc>
        <w:tc>
          <w:tcPr>
            <w:tcW w:type="dxa" w:w="16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ORIGINS</w:t>
            </w:r>
          </w:p>
        </w:tc>
        <w:tc>
          <w:tcPr>
            <w:tcW w:type="dxa" w:w="30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CONFIGURAR</w:t>
            </w:r>
          </w:p>
        </w:tc>
        <w:tc>
          <w:tcPr>
            <w:tcW w:type="dxa" w:w="30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Orígenes de la Core API</w:t>
            </w:r>
          </w:p>
        </w:tc>
      </w:tr>
    </w:tbl>
    <w:p>
      <w:pPr>
        <w:spacing w:before="0" w:after="40"/>
      </w:pPr>
      <w:r>
        <w:rPr>
          <w:rFonts w:ascii="Calibri" w:hAnsi="Calibri" w:eastAsia="Calibri"/>
          <w:b w:val="0"/>
          <w:sz w:val="12"/>
        </w:rPr>
      </w:r>
    </w:p>
    <w:p>
      <w:pPr>
        <w:spacing w:before="320" w:after="80"/>
        <w:pBdr>
          <w:bottom w:val="single" w:sz="8" w:space="1" w:color="0B3A6A"/>
        </w:pBdr>
      </w:pPr>
      <w:r>
        <w:rPr>
          <w:rFonts w:ascii="Calibri" w:hAnsi="Calibri" w:eastAsia="Calibri"/>
          <w:b/>
          <w:color w:val="0B3A6A"/>
          <w:sz w:val="28"/>
        </w:rPr>
        <w:t>6. Tipos de valor</w:t>
      </w:r>
    </w:p>
    <w:p>
      <w:pPr>
        <w:spacing w:before="40" w:after="80"/>
      </w:pPr>
      <w:r>
        <w:rPr>
          <w:rFonts w:ascii="Calibri" w:hAnsi="Calibri" w:eastAsia="Calibri"/>
          <w:b w:val="0"/>
          <w:color w:val="4B5563"/>
          <w:sz w:val="20"/>
        </w:rPr>
        <w:t>Regla que aplica normalize() antes de guardar el parámetro.</w:t>
      </w:r>
    </w:p>
    <w:tbl>
      <w:tblPr>
        <w:tblW w:type="dxa" w:w="10427"/>
        <w:jc w:val="center"/>
        <w:tblLayout w:type="fixed"/>
        <w:tblLook w:firstColumn="1" w:firstRow="1" w:lastColumn="0" w:lastRow="0" w:noHBand="0" w:noVBand="1" w:val="04A0"/>
        <w:tblLayout w:type="fixed"/>
      </w:tblPr>
      <w:tblGrid>
        <w:gridCol w:w="2800"/>
        <w:gridCol w:w="7627"/>
      </w:tblGrid>
      <w:tr>
        <w:trPr>
          <w:cantSplit/>
        </w:trPr>
        <w:tc>
          <w:tcPr>
            <w:tcW w:type="dxa" w:w="2800"/>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Tipo</w:t>
            </w:r>
          </w:p>
        </w:tc>
        <w:tc>
          <w:tcPr>
            <w:tcW w:type="dxa" w:w="7627"/>
            <w:shd w:fill="0B3A6A" w:val="clear"/>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color w:val="FFFFFF"/>
                <w:sz w:val="18"/>
              </w:rPr>
              <w:t>Validación</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INTEGER</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Entero dentro del mínimo y el máximo del parámetro.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DECIMAL</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Número con punto decimal, dentro del rango.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TIME</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Hora en formato HH:mm.</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FILE_EXTENSIONS</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Lista separada por comas. Solo .xlsx y .xls.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ORIGINS</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Orígenes http(s)://dominio[:puerto], sin ruta, separados por coma.</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TEXT</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Texto de hasta 255 caracteres.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EMAIL</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Correo válido, guardado en minúsculas.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URL</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http o https, sin consulta ni fragmento.</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BASE64_KEY</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Base64 de al menos 32 bytes. No admite dejar el literal CONFIGURAR.</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Pr>
                <w:b/>
              </w:rPr>
            </w:r>
            <w:r>
              <w:rPr>
                <w:rFonts w:ascii="Calibri" w:hAnsi="Calibri" w:eastAsia="Calibri"/>
                <w:b/>
                <w:sz w:val="18"/>
              </w:rPr>
              <w:t>COOKIE_NAME</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shd w:fill="F4F7FB" w:val="clear"/>
          </w:tcPr>
          <w:p>
            <w:pPr>
              <w:spacing w:before="0" w:after="0"/>
            </w:pPr>
            <w:r/>
            <w:r>
              <w:rPr>
                <w:rFonts w:ascii="Calibri" w:hAnsi="Calibri" w:eastAsia="Calibri"/>
                <w:b w:val="0"/>
                <w:sz w:val="18"/>
              </w:rPr>
              <w:t>Letras, números, guion y guion bajo. Máximo 64 caracteres.</w:t>
            </w:r>
          </w:p>
        </w:tc>
      </w:tr>
      <w:tr>
        <w:trPr>
          <w:cantSplit/>
        </w:trPr>
        <w:tc>
          <w:tcPr>
            <w:tcW w:type="dxa" w:w="2800"/>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Pr>
                <w:b/>
              </w:rPr>
            </w:r>
            <w:r>
              <w:rPr>
                <w:rFonts w:ascii="Calibri" w:hAnsi="Calibri" w:eastAsia="Calibri"/>
                <w:b/>
                <w:sz w:val="18"/>
              </w:rPr>
              <w:t>CSP_MODE</w:t>
            </w:r>
          </w:p>
        </w:tc>
        <w:tc>
          <w:tcPr>
            <w:tcW w:type="dxa" w:w="7627"/>
            <w:tcBorders>
              <w:top w:val="single" w:sz="4" w:space="0" w:color="D1D5DB"/>
              <w:left w:val="single" w:sz="4" w:space="0" w:color="D1D5DB"/>
              <w:bottom w:val="single" w:sz="4" w:space="0" w:color="D1D5DB"/>
              <w:right w:val="single" w:sz="4" w:space="0" w:color="D1D5DB"/>
            </w:tcBorders>
            <w:tcMar>
              <w:top w:w="50" w:type="dxa"/>
              <w:left w:w="80" w:type="dxa"/>
              <w:bottom w:w="50" w:type="dxa"/>
              <w:right w:w="80" w:type="dxa"/>
            </w:tcMar>
          </w:tcPr>
          <w:p>
            <w:pPr>
              <w:spacing w:before="0" w:after="0"/>
            </w:pPr>
            <w:r/>
            <w:r>
              <w:rPr>
                <w:rFonts w:ascii="Calibri" w:hAnsi="Calibri" w:eastAsia="Calibri"/>
                <w:b w:val="0"/>
                <w:sz w:val="18"/>
              </w:rPr>
              <w:t>REPORT_ONLY, ENFORCE o DISABLED.</w:t>
            </w:r>
          </w:p>
        </w:tc>
      </w:tr>
    </w:tbl>
    <w:p>
      <w:pPr>
        <w:spacing w:before="0" w:after="40"/>
      </w:pPr>
      <w:r>
        <w:rPr>
          <w:rFonts w:ascii="Calibri" w:hAnsi="Calibri" w:eastAsia="Calibri"/>
          <w:b w:val="0"/>
          <w:sz w:val="12"/>
        </w:rPr>
      </w:r>
    </w:p>
    <w:sectPr w:rsidR="00FC693F" w:rsidRPr="0006063C" w:rsidSect="00034616">
      <w:pgSz w:w="12240" w:h="15840"/>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