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1D" w:rsidRDefault="003A2E1D">
      <w:pPr>
        <w:rPr>
          <w:rFonts w:ascii="Arial" w:hAnsi="Arial" w:cs="Arial"/>
          <w:color w:val="333333"/>
          <w:sz w:val="26"/>
          <w:szCs w:val="26"/>
        </w:rPr>
      </w:pPr>
      <w:r>
        <w:t xml:space="preserve">Форма сделки соблюдена.  Статья 161 письменная форма сделки: </w:t>
      </w:r>
      <w:r>
        <w:rPr>
          <w:color w:val="000000"/>
          <w:sz w:val="26"/>
          <w:szCs w:val="26"/>
        </w:rPr>
        <w:t>Сдел</w:t>
      </w:r>
      <w:r>
        <w:rPr>
          <w:color w:val="000000"/>
          <w:sz w:val="26"/>
          <w:szCs w:val="26"/>
        </w:rPr>
        <w:t xml:space="preserve">ка совершена в письменной форме, </w:t>
      </w:r>
      <w:r>
        <w:rPr>
          <w:rFonts w:ascii="Arial" w:hAnsi="Arial" w:cs="Arial"/>
          <w:color w:val="333333"/>
          <w:sz w:val="26"/>
          <w:szCs w:val="26"/>
        </w:rPr>
        <w:t>Сделка в простой письменной форме должна быть совершена путем составления текстового документа, включая документ в электронном виде (в том числе электронный документ), выражающего ее содержание, который подписан лицом или лицами, совершающими сделку</w:t>
      </w:r>
    </w:p>
    <w:p w:rsidR="003A2A05" w:rsidRDefault="003A2E1D">
      <w:p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Так как нотариус удостоверил сделку, значит он проверил дееспособность лиц и </w:t>
      </w:r>
      <w:r w:rsidR="003A2A05">
        <w:rPr>
          <w:rFonts w:ascii="Arial" w:hAnsi="Arial" w:cs="Arial"/>
          <w:color w:val="333333"/>
          <w:sz w:val="26"/>
          <w:szCs w:val="26"/>
        </w:rPr>
        <w:t xml:space="preserve">лица подписали </w:t>
      </w:r>
      <w:proofErr w:type="gramStart"/>
      <w:r w:rsidR="003A2A05">
        <w:rPr>
          <w:rFonts w:ascii="Arial" w:hAnsi="Arial" w:cs="Arial"/>
          <w:color w:val="333333"/>
          <w:sz w:val="26"/>
          <w:szCs w:val="26"/>
        </w:rPr>
        <w:t>договор  в</w:t>
      </w:r>
      <w:proofErr w:type="gramEnd"/>
      <w:r w:rsidR="003A2A05">
        <w:rPr>
          <w:rFonts w:ascii="Arial" w:hAnsi="Arial" w:cs="Arial"/>
          <w:color w:val="333333"/>
          <w:sz w:val="26"/>
          <w:szCs w:val="26"/>
        </w:rPr>
        <w:t xml:space="preserve"> его присутствии.</w:t>
      </w:r>
    </w:p>
    <w:p w:rsidR="00ED01AB" w:rsidRDefault="00ED01AB">
      <w:pPr>
        <w:rPr>
          <w:rFonts w:ascii="Arial" w:hAnsi="Arial" w:cs="Arial"/>
          <w:color w:val="333333"/>
          <w:sz w:val="26"/>
          <w:szCs w:val="26"/>
        </w:rPr>
      </w:pPr>
    </w:p>
    <w:p w:rsidR="00ED01AB" w:rsidRDefault="00ED01AB" w:rsidP="00ED01AB">
      <w:pPr>
        <w:rPr>
          <w:sz w:val="32"/>
          <w:szCs w:val="32"/>
        </w:rPr>
      </w:pPr>
      <w:r w:rsidRPr="00ED01AB">
        <w:rPr>
          <w:sz w:val="32"/>
          <w:szCs w:val="32"/>
        </w:rPr>
        <w:t>2)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Форма сделка соблюдена,</w:t>
      </w:r>
      <w:r w:rsidRPr="00ED01AB">
        <w:rPr>
          <w:sz w:val="32"/>
          <w:szCs w:val="32"/>
        </w:rPr>
        <w:t xml:space="preserve"> Статья 320. Договор о залоге, его форма и регистрация</w:t>
      </w:r>
      <w:r>
        <w:rPr>
          <w:sz w:val="32"/>
          <w:szCs w:val="32"/>
        </w:rPr>
        <w:t xml:space="preserve"> </w:t>
      </w:r>
    </w:p>
    <w:p w:rsidR="00ED01AB" w:rsidRDefault="00ED01AB" w:rsidP="00ED01AB">
      <w:proofErr w:type="gramStart"/>
      <w:r>
        <w:rPr>
          <w:rFonts w:ascii="Arial" w:hAnsi="Arial" w:cs="Arial"/>
          <w:color w:val="333333"/>
          <w:sz w:val="26"/>
          <w:szCs w:val="26"/>
          <w:lang w:val="en-US"/>
        </w:rPr>
        <w:t>a</w:t>
      </w:r>
      <w:proofErr w:type="gramEnd"/>
      <w:r>
        <w:rPr>
          <w:rFonts w:ascii="Arial" w:hAnsi="Arial" w:cs="Arial"/>
          <w:color w:val="333333"/>
          <w:sz w:val="26"/>
          <w:szCs w:val="26"/>
        </w:rPr>
        <w:t>. Договор о залоге должен быть заключен в письменной форме.</w:t>
      </w:r>
    </w:p>
    <w:p w:rsidR="001960A6" w:rsidRDefault="001960A6"/>
    <w:p w:rsidR="001F0C1E" w:rsidRDefault="00ED01AB">
      <w:pPr>
        <w:rPr>
          <w:color w:val="242424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3) Форма сделки не соблюдена, договор залога </w:t>
      </w:r>
      <w:r w:rsidR="001F0C1E">
        <w:rPr>
          <w:sz w:val="32"/>
          <w:szCs w:val="32"/>
        </w:rPr>
        <w:t xml:space="preserve">жилого дома и приусадебного участка не был </w:t>
      </w:r>
      <w:proofErr w:type="spellStart"/>
      <w:r w:rsidR="001F0C1E">
        <w:rPr>
          <w:sz w:val="32"/>
          <w:szCs w:val="32"/>
        </w:rPr>
        <w:t>зарегестрирован</w:t>
      </w:r>
      <w:proofErr w:type="spellEnd"/>
      <w:r w:rsidR="001F0C1E">
        <w:rPr>
          <w:sz w:val="32"/>
          <w:szCs w:val="32"/>
        </w:rPr>
        <w:t xml:space="preserve"> </w:t>
      </w:r>
      <w:proofErr w:type="spellStart"/>
      <w:r w:rsidR="001F0C1E">
        <w:rPr>
          <w:sz w:val="32"/>
          <w:szCs w:val="32"/>
        </w:rPr>
        <w:t>соответсвующим</w:t>
      </w:r>
      <w:proofErr w:type="spellEnd"/>
      <w:r w:rsidR="001F0C1E">
        <w:rPr>
          <w:sz w:val="32"/>
          <w:szCs w:val="32"/>
        </w:rPr>
        <w:t xml:space="preserve"> образом, а именно в </w:t>
      </w:r>
      <w:r w:rsidR="001F0C1E">
        <w:rPr>
          <w:rStyle w:val="a4"/>
          <w:i w:val="0"/>
          <w:iCs w:val="0"/>
          <w:color w:val="242424"/>
          <w:sz w:val="30"/>
          <w:szCs w:val="30"/>
          <w:shd w:val="clear" w:color="auto" w:fill="FFFFFF"/>
        </w:rPr>
        <w:t>территориальные</w:t>
      </w:r>
      <w:r w:rsidR="001F0C1E">
        <w:rPr>
          <w:color w:val="242424"/>
          <w:sz w:val="30"/>
          <w:szCs w:val="30"/>
          <w:shd w:val="clear" w:color="auto" w:fill="FFFFFF"/>
        </w:rPr>
        <w:t> организации по государственной регистрации</w:t>
      </w:r>
      <w:r w:rsidR="001F0C1E">
        <w:rPr>
          <w:color w:val="242424"/>
          <w:sz w:val="30"/>
          <w:szCs w:val="30"/>
          <w:shd w:val="clear" w:color="auto" w:fill="FFFFFF"/>
        </w:rPr>
        <w:t xml:space="preserve"> </w:t>
      </w:r>
      <w:r w:rsidR="001F0C1E">
        <w:rPr>
          <w:rStyle w:val="colorff0000font-weightbold"/>
          <w:b/>
          <w:bCs/>
          <w:color w:val="242424"/>
          <w:sz w:val="30"/>
          <w:szCs w:val="30"/>
          <w:shd w:val="clear" w:color="auto" w:fill="FFFFFF"/>
        </w:rPr>
        <w:t>С</w:t>
      </w:r>
      <w:r w:rsidR="001F0C1E">
        <w:rPr>
          <w:rStyle w:val="font-weightbold"/>
          <w:b/>
          <w:bCs/>
          <w:color w:val="242424"/>
          <w:sz w:val="30"/>
          <w:szCs w:val="30"/>
          <w:shd w:val="clear" w:color="auto" w:fill="FFFFFF"/>
        </w:rPr>
        <w:t>татья 11. Система государственных организаций в области государственной регистрации</w:t>
      </w:r>
      <w:r w:rsidR="001F0C1E">
        <w:rPr>
          <w:rStyle w:val="font-weightbold"/>
          <w:b/>
          <w:bCs/>
          <w:color w:val="242424"/>
          <w:sz w:val="30"/>
          <w:szCs w:val="30"/>
          <w:shd w:val="clear" w:color="auto" w:fill="FFFFFF"/>
        </w:rPr>
        <w:t xml:space="preserve"> </w:t>
      </w:r>
      <w:r w:rsidR="001F0C1E">
        <w:rPr>
          <w:color w:val="242424"/>
          <w:sz w:val="30"/>
          <w:szCs w:val="30"/>
          <w:shd w:val="clear" w:color="auto" w:fill="FFFFFF"/>
        </w:rPr>
        <w:t>Закон Республики Беларусь от 22.07.2002 N 133-З (ред. от 06.01.2021) "О государственной регистрации недвижимого имущества, прав на него и сделок с ним"</w:t>
      </w:r>
      <w:r w:rsidR="001F0C1E">
        <w:rPr>
          <w:color w:val="242424"/>
          <w:sz w:val="30"/>
          <w:szCs w:val="30"/>
          <w:shd w:val="clear" w:color="auto" w:fill="FFFFFF"/>
        </w:rPr>
        <w:t xml:space="preserve"> - БТИ</w:t>
      </w:r>
    </w:p>
    <w:p w:rsidR="001F0C1E" w:rsidRDefault="001F0C1E">
      <w:pPr>
        <w:rPr>
          <w:color w:val="242424"/>
          <w:sz w:val="30"/>
          <w:szCs w:val="30"/>
          <w:shd w:val="clear" w:color="auto" w:fill="FFFFFF"/>
        </w:rPr>
      </w:pPr>
      <w:r>
        <w:rPr>
          <w:color w:val="242424"/>
          <w:sz w:val="30"/>
          <w:szCs w:val="30"/>
          <w:shd w:val="clear" w:color="auto" w:fill="FFFFFF"/>
        </w:rPr>
        <w:t xml:space="preserve">Статья 322 возникновение права залога с момента регистрации договора, а договор на </w:t>
      </w:r>
      <w:proofErr w:type="spellStart"/>
      <w:r>
        <w:rPr>
          <w:color w:val="242424"/>
          <w:sz w:val="30"/>
          <w:szCs w:val="30"/>
          <w:shd w:val="clear" w:color="auto" w:fill="FFFFFF"/>
        </w:rPr>
        <w:t>недвижемое</w:t>
      </w:r>
      <w:proofErr w:type="spellEnd"/>
      <w:r>
        <w:rPr>
          <w:color w:val="242424"/>
          <w:sz w:val="30"/>
          <w:szCs w:val="30"/>
          <w:shd w:val="clear" w:color="auto" w:fill="FFFFFF"/>
        </w:rPr>
        <w:t xml:space="preserve"> имущество должен быть </w:t>
      </w:r>
      <w:proofErr w:type="spellStart"/>
      <w:r>
        <w:rPr>
          <w:color w:val="242424"/>
          <w:sz w:val="30"/>
          <w:szCs w:val="30"/>
          <w:shd w:val="clear" w:color="auto" w:fill="FFFFFF"/>
        </w:rPr>
        <w:t>зарег</w:t>
      </w:r>
      <w:proofErr w:type="spellEnd"/>
      <w:r>
        <w:rPr>
          <w:color w:val="242424"/>
          <w:sz w:val="30"/>
          <w:szCs w:val="30"/>
          <w:shd w:val="clear" w:color="auto" w:fill="FFFFFF"/>
        </w:rPr>
        <w:t>……ст.11</w:t>
      </w:r>
    </w:p>
    <w:p w:rsidR="001F0C1E" w:rsidRDefault="001F0C1E">
      <w:pPr>
        <w:rPr>
          <w:color w:val="242424"/>
          <w:sz w:val="30"/>
          <w:szCs w:val="30"/>
          <w:shd w:val="clear" w:color="auto" w:fill="FFFFFF"/>
        </w:rPr>
      </w:pPr>
    </w:p>
    <w:p w:rsidR="001F0C1E" w:rsidRDefault="001F0C1E">
      <w:pPr>
        <w:rPr>
          <w:color w:val="242424"/>
          <w:sz w:val="30"/>
          <w:szCs w:val="30"/>
          <w:shd w:val="clear" w:color="auto" w:fill="FFFFFF"/>
        </w:rPr>
      </w:pPr>
      <w:r>
        <w:rPr>
          <w:color w:val="242424"/>
          <w:sz w:val="30"/>
          <w:szCs w:val="30"/>
          <w:shd w:val="clear" w:color="auto" w:fill="FFFFFF"/>
        </w:rPr>
        <w:t xml:space="preserve">4) по станкам </w:t>
      </w:r>
      <w:r w:rsidR="00FB536B">
        <w:rPr>
          <w:color w:val="242424"/>
          <w:sz w:val="30"/>
          <w:szCs w:val="30"/>
          <w:shd w:val="clear" w:color="auto" w:fill="FFFFFF"/>
        </w:rPr>
        <w:t xml:space="preserve">– </w:t>
      </w:r>
      <w:proofErr w:type="spellStart"/>
      <w:r w:rsidR="00FB536B">
        <w:rPr>
          <w:color w:val="242424"/>
          <w:sz w:val="30"/>
          <w:szCs w:val="30"/>
          <w:shd w:val="clear" w:color="auto" w:fill="FFFFFF"/>
        </w:rPr>
        <w:t>всенорм</w:t>
      </w:r>
      <w:proofErr w:type="spellEnd"/>
      <w:r w:rsidR="00FB536B">
        <w:rPr>
          <w:color w:val="242424"/>
          <w:sz w:val="30"/>
          <w:szCs w:val="30"/>
          <w:shd w:val="clear" w:color="auto" w:fill="FFFFFF"/>
        </w:rPr>
        <w:t xml:space="preserve"> ст580 п1, по зданию – нет, ст580п2 договор подлежит </w:t>
      </w:r>
      <w:proofErr w:type="spellStart"/>
      <w:r w:rsidR="00FB536B">
        <w:rPr>
          <w:color w:val="242424"/>
          <w:sz w:val="30"/>
          <w:szCs w:val="30"/>
          <w:shd w:val="clear" w:color="auto" w:fill="FFFFFF"/>
        </w:rPr>
        <w:t>гос</w:t>
      </w:r>
      <w:proofErr w:type="spellEnd"/>
      <w:r w:rsidR="00FB536B">
        <w:rPr>
          <w:color w:val="242424"/>
          <w:sz w:val="30"/>
          <w:szCs w:val="30"/>
          <w:shd w:val="clear" w:color="auto" w:fill="FFFFFF"/>
        </w:rPr>
        <w:t xml:space="preserve"> регистрации в БТИ</w:t>
      </w:r>
    </w:p>
    <w:p w:rsidR="00380C8D" w:rsidRDefault="00FB536B">
      <w:pPr>
        <w:rPr>
          <w:color w:val="242424"/>
          <w:sz w:val="30"/>
          <w:szCs w:val="30"/>
          <w:shd w:val="clear" w:color="auto" w:fill="FFFFFF"/>
        </w:rPr>
      </w:pPr>
      <w:r>
        <w:rPr>
          <w:color w:val="242424"/>
          <w:sz w:val="30"/>
          <w:szCs w:val="30"/>
          <w:shd w:val="clear" w:color="auto" w:fill="FFFFFF"/>
        </w:rPr>
        <w:t>5)</w:t>
      </w:r>
      <w:r w:rsidR="00380C8D">
        <w:rPr>
          <w:color w:val="242424"/>
          <w:sz w:val="30"/>
          <w:szCs w:val="30"/>
          <w:shd w:val="clear" w:color="auto" w:fill="FFFFFF"/>
        </w:rPr>
        <w:t xml:space="preserve">дарение может быть </w:t>
      </w:r>
      <w:proofErr w:type="spellStart"/>
      <w:r w:rsidR="00380C8D">
        <w:rPr>
          <w:color w:val="242424"/>
          <w:sz w:val="30"/>
          <w:szCs w:val="30"/>
          <w:shd w:val="clear" w:color="auto" w:fill="FFFFFF"/>
        </w:rPr>
        <w:t>соверщено</w:t>
      </w:r>
      <w:proofErr w:type="spellEnd"/>
      <w:r w:rsidR="00380C8D">
        <w:rPr>
          <w:color w:val="242424"/>
          <w:sz w:val="30"/>
          <w:szCs w:val="30"/>
          <w:shd w:val="clear" w:color="auto" w:fill="FFFFFF"/>
        </w:rPr>
        <w:t xml:space="preserve"> устно согласно п1 ст545 с учетом </w:t>
      </w:r>
      <w:proofErr w:type="gramStart"/>
      <w:r w:rsidR="00380C8D">
        <w:rPr>
          <w:color w:val="242424"/>
          <w:sz w:val="30"/>
          <w:szCs w:val="30"/>
          <w:shd w:val="clear" w:color="auto" w:fill="FFFFFF"/>
        </w:rPr>
        <w:t>ограничений</w:t>
      </w:r>
      <w:proofErr w:type="gramEnd"/>
      <w:r w:rsidR="00380C8D">
        <w:rPr>
          <w:color w:val="242424"/>
          <w:sz w:val="30"/>
          <w:szCs w:val="30"/>
          <w:shd w:val="clear" w:color="auto" w:fill="FFFFFF"/>
        </w:rPr>
        <w:t xml:space="preserve"> установленных статьей 547 п1, то есть перед дарением должно быть получено согласие собственников предприятия, </w:t>
      </w:r>
      <w:proofErr w:type="spellStart"/>
      <w:r w:rsidR="00380C8D">
        <w:rPr>
          <w:color w:val="242424"/>
          <w:sz w:val="30"/>
          <w:szCs w:val="30"/>
          <w:shd w:val="clear" w:color="auto" w:fill="FFFFFF"/>
        </w:rPr>
        <w:t>т.к</w:t>
      </w:r>
      <w:proofErr w:type="spellEnd"/>
      <w:r w:rsidR="00380C8D">
        <w:rPr>
          <w:color w:val="242424"/>
          <w:sz w:val="30"/>
          <w:szCs w:val="30"/>
          <w:shd w:val="clear" w:color="auto" w:fill="FFFFFF"/>
        </w:rPr>
        <w:t xml:space="preserve"> цена подарка превышает более 5б.в.</w:t>
      </w:r>
    </w:p>
    <w:p w:rsidR="00380C8D" w:rsidRDefault="00380C8D" w:rsidP="00380C8D">
      <w:pPr>
        <w:pStyle w:val="1"/>
        <w:spacing w:before="300" w:beforeAutospacing="0" w:after="300" w:afterAutospacing="0"/>
        <w:ind w:left="300" w:right="300"/>
        <w:jc w:val="center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color w:val="242424"/>
          <w:sz w:val="30"/>
          <w:szCs w:val="30"/>
          <w:shd w:val="clear" w:color="auto" w:fill="FFFFFF"/>
        </w:rPr>
        <w:t>6)</w:t>
      </w:r>
      <w:r w:rsidRPr="00380C8D">
        <w:rPr>
          <w:rFonts w:ascii="Arial" w:hAnsi="Arial" w:cs="Arial"/>
          <w:color w:val="333333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8"/>
          <w:szCs w:val="28"/>
        </w:rPr>
        <w:t>Гражданский Кодекс Республики Беларусь</w:t>
      </w:r>
      <w:r>
        <w:rPr>
          <w:rFonts w:ascii="Arial" w:hAnsi="Arial" w:cs="Arial"/>
          <w:color w:val="333333"/>
          <w:sz w:val="28"/>
          <w:szCs w:val="28"/>
        </w:rPr>
        <w:br/>
        <w:t>Статья 491. Неустойка за недопоставку и просрочку поставки товаров</w:t>
      </w:r>
    </w:p>
    <w:p w:rsidR="00380C8D" w:rsidRDefault="00380C8D" w:rsidP="00380C8D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 Установленная законодательством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обязанности восполнить недопоставленное количество товаров в последующих периодах поставки, если иной порядок уплаты неустойки не установлен законодательством или договором.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</w:rPr>
        <w:br/>
        <w:t>Подробнее: </w:t>
      </w:r>
      <w:hyperlink r:id="rId4" w:history="1">
        <w:r>
          <w:rPr>
            <w:rStyle w:val="a3"/>
            <w:rFonts w:ascii="Arial" w:hAnsi="Arial" w:cs="Arial"/>
            <w:color w:val="0066AA"/>
            <w:sz w:val="26"/>
            <w:szCs w:val="26"/>
            <w:bdr w:val="none" w:sz="0" w:space="0" w:color="auto" w:frame="1"/>
          </w:rPr>
          <w:t>https://kodeksy-by.com/grazhdanskij_kodeks_rb/491.htm</w:t>
        </w:r>
      </w:hyperlink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  <w:r>
        <w:rPr>
          <w:color w:val="242424"/>
          <w:sz w:val="30"/>
          <w:szCs w:val="30"/>
          <w:shd w:val="clear" w:color="auto" w:fill="FFFFFF"/>
        </w:rPr>
        <w:t xml:space="preserve">Неустойка за просрочку поставки должна быть установлена договором поставки </w:t>
      </w:r>
      <w:proofErr w:type="spellStart"/>
      <w:r>
        <w:rPr>
          <w:color w:val="242424"/>
          <w:sz w:val="30"/>
          <w:szCs w:val="30"/>
          <w:shd w:val="clear" w:color="auto" w:fill="FFFFFF"/>
        </w:rPr>
        <w:t>ст</w:t>
      </w:r>
      <w:proofErr w:type="spellEnd"/>
      <w:r>
        <w:rPr>
          <w:color w:val="242424"/>
          <w:sz w:val="30"/>
          <w:szCs w:val="30"/>
          <w:shd w:val="clear" w:color="auto" w:fill="FFFFFF"/>
        </w:rPr>
        <w:t xml:space="preserve"> 491 Устная форма не предусмотрена</w:t>
      </w:r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  <w:r>
        <w:rPr>
          <w:color w:val="242424"/>
          <w:sz w:val="30"/>
          <w:szCs w:val="30"/>
          <w:shd w:val="clear" w:color="auto" w:fill="FFFFFF"/>
        </w:rPr>
        <w:t xml:space="preserve">Регистрация сделки идет только в отношении недвижимого имущества </w:t>
      </w:r>
    </w:p>
    <w:p w:rsidR="00380C8D" w:rsidRDefault="00380C8D">
      <w:pPr>
        <w:rPr>
          <w:color w:val="242424"/>
          <w:sz w:val="30"/>
          <w:szCs w:val="30"/>
          <w:shd w:val="clear" w:color="auto" w:fill="FFFFFF"/>
        </w:rPr>
      </w:pPr>
      <w:r>
        <w:rPr>
          <w:color w:val="242424"/>
          <w:sz w:val="30"/>
          <w:szCs w:val="30"/>
          <w:shd w:val="clear" w:color="auto" w:fill="FFFFFF"/>
        </w:rPr>
        <w:t xml:space="preserve">Суд откажет в иске, так как </w:t>
      </w:r>
      <w:r w:rsidR="00983FD1">
        <w:rPr>
          <w:color w:val="242424"/>
          <w:sz w:val="30"/>
          <w:szCs w:val="30"/>
          <w:shd w:val="clear" w:color="auto" w:fill="FFFFFF"/>
        </w:rPr>
        <w:t>договора займов не подлежат регистрации в исполкоме</w:t>
      </w:r>
    </w:p>
    <w:p w:rsidR="00983FD1" w:rsidRDefault="00983FD1">
      <w:pPr>
        <w:rPr>
          <w:color w:val="242424"/>
          <w:sz w:val="30"/>
          <w:szCs w:val="30"/>
          <w:shd w:val="clear" w:color="auto" w:fill="FFFFFF"/>
        </w:rPr>
      </w:pPr>
    </w:p>
    <w:p w:rsidR="00983FD1" w:rsidRDefault="00983FD1">
      <w:pPr>
        <w:rPr>
          <w:color w:val="242424"/>
          <w:sz w:val="30"/>
          <w:szCs w:val="30"/>
          <w:shd w:val="clear" w:color="auto" w:fill="FFFFFF"/>
        </w:rPr>
      </w:pPr>
    </w:p>
    <w:p w:rsidR="00983FD1" w:rsidRDefault="00983FD1" w:rsidP="00983FD1">
      <w:pPr>
        <w:pStyle w:val="1"/>
        <w:spacing w:before="300" w:beforeAutospacing="0" w:after="300" w:afterAutospacing="0"/>
        <w:ind w:left="300" w:right="300"/>
        <w:jc w:val="center"/>
        <w:textAlignment w:val="baseline"/>
        <w:rPr>
          <w:rFonts w:ascii="Arial" w:hAnsi="Arial" w:cs="Arial"/>
          <w:color w:val="333333"/>
          <w:sz w:val="28"/>
          <w:szCs w:val="28"/>
        </w:rPr>
      </w:pPr>
      <w:bookmarkStart w:id="0" w:name="_GoBack"/>
      <w:r>
        <w:rPr>
          <w:color w:val="242424"/>
          <w:sz w:val="30"/>
          <w:szCs w:val="30"/>
          <w:shd w:val="clear" w:color="auto" w:fill="FFFFFF"/>
        </w:rPr>
        <w:t xml:space="preserve">. Договор дарения в исполкоме не регистрируются, с договором дарения одариваемый обращается в </w:t>
      </w:r>
      <w:r>
        <w:rPr>
          <w:rStyle w:val="a4"/>
          <w:i w:val="0"/>
          <w:iCs w:val="0"/>
          <w:color w:val="242424"/>
          <w:sz w:val="30"/>
          <w:szCs w:val="30"/>
          <w:shd w:val="clear" w:color="auto" w:fill="FFFFFF"/>
        </w:rPr>
        <w:t>территориальные</w:t>
      </w:r>
      <w:r>
        <w:rPr>
          <w:color w:val="242424"/>
          <w:sz w:val="30"/>
          <w:szCs w:val="30"/>
          <w:shd w:val="clear" w:color="auto" w:fill="FFFFFF"/>
        </w:rPr>
        <w:t> организации по государственной регистрации</w:t>
      </w:r>
      <w:r>
        <w:rPr>
          <w:color w:val="242424"/>
          <w:sz w:val="30"/>
          <w:szCs w:val="30"/>
          <w:shd w:val="clear" w:color="auto" w:fill="FFFFFF"/>
        </w:rPr>
        <w:t xml:space="preserve">. </w:t>
      </w:r>
      <w:r>
        <w:rPr>
          <w:color w:val="242424"/>
          <w:sz w:val="30"/>
          <w:szCs w:val="30"/>
          <w:shd w:val="clear" w:color="auto" w:fill="FFFFFF"/>
        </w:rPr>
        <w:t>Нотариус проверяет дееспособность дарителя</w:t>
      </w:r>
      <w:r>
        <w:rPr>
          <w:color w:val="242424"/>
          <w:sz w:val="30"/>
          <w:szCs w:val="30"/>
          <w:shd w:val="clear" w:color="auto" w:fill="FFFFFF"/>
        </w:rPr>
        <w:t xml:space="preserve">. Наличие завещания не является запретом для дарения квартиры. </w:t>
      </w:r>
      <w:r>
        <w:rPr>
          <w:rFonts w:ascii="Arial" w:hAnsi="Arial" w:cs="Arial"/>
          <w:color w:val="333333"/>
          <w:sz w:val="28"/>
          <w:szCs w:val="28"/>
        </w:rPr>
        <w:t>Гражданский Кодекс Республики Беларусь</w:t>
      </w:r>
      <w:r>
        <w:rPr>
          <w:rFonts w:ascii="Arial" w:hAnsi="Arial" w:cs="Arial"/>
          <w:color w:val="333333"/>
          <w:sz w:val="28"/>
          <w:szCs w:val="28"/>
        </w:rPr>
        <w:br/>
        <w:t>Статья 546. Запрещение дарения</w:t>
      </w:r>
    </w:p>
    <w:p w:rsidR="00983FD1" w:rsidRDefault="00983FD1" w:rsidP="00983FD1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Не допускается дарение, за исключением обычных подарков, стоимость которых не превышает установленного законодательством пятикратного размера базовой величины:</w:t>
      </w:r>
    </w:p>
    <w:p w:rsidR="00983FD1" w:rsidRDefault="00983FD1" w:rsidP="00983FD1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1) от имени малолетних и граждан, признанных недееспособными, – их законными представителями;</w:t>
      </w:r>
      <w:r w:rsidR="001455B4"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</w:rPr>
        <w:br/>
        <w:t>Подробнее: </w:t>
      </w:r>
      <w:hyperlink r:id="rId5" w:history="1">
        <w:r>
          <w:rPr>
            <w:rStyle w:val="a3"/>
            <w:rFonts w:ascii="Arial" w:hAnsi="Arial" w:cs="Arial"/>
            <w:color w:val="0066AA"/>
            <w:sz w:val="26"/>
            <w:szCs w:val="26"/>
            <w:bdr w:val="none" w:sz="0" w:space="0" w:color="auto" w:frame="1"/>
          </w:rPr>
          <w:t>https://kodeksy-by.com/grazhdanskij_kodeks_rb/546.htm</w:t>
        </w:r>
      </w:hyperlink>
    </w:p>
    <w:bookmarkEnd w:id="0"/>
    <w:p w:rsidR="00983FD1" w:rsidRDefault="00983FD1">
      <w:pPr>
        <w:rPr>
          <w:color w:val="242424"/>
          <w:sz w:val="30"/>
          <w:szCs w:val="30"/>
          <w:shd w:val="clear" w:color="auto" w:fill="FFFFFF"/>
        </w:rPr>
      </w:pPr>
    </w:p>
    <w:p w:rsidR="001455B4" w:rsidRDefault="001455B4">
      <w:pPr>
        <w:rPr>
          <w:color w:val="242424"/>
          <w:sz w:val="30"/>
          <w:szCs w:val="30"/>
          <w:shd w:val="clear" w:color="auto" w:fill="FFFFFF"/>
        </w:rPr>
      </w:pPr>
    </w:p>
    <w:p w:rsidR="001455B4" w:rsidRPr="001F0C1E" w:rsidRDefault="001455B4">
      <w:pPr>
        <w:rPr>
          <w:color w:val="242424"/>
          <w:sz w:val="30"/>
          <w:szCs w:val="30"/>
          <w:shd w:val="clear" w:color="auto" w:fill="FFFFFF"/>
        </w:rPr>
      </w:pPr>
      <w:proofErr w:type="spellStart"/>
      <w:r>
        <w:rPr>
          <w:color w:val="242424"/>
          <w:sz w:val="30"/>
          <w:szCs w:val="30"/>
          <w:shd w:val="clear" w:color="auto" w:fill="FFFFFF"/>
        </w:rPr>
        <w:t>Ст</w:t>
      </w:r>
      <w:proofErr w:type="spellEnd"/>
      <w:r>
        <w:rPr>
          <w:color w:val="242424"/>
          <w:sz w:val="30"/>
          <w:szCs w:val="30"/>
          <w:shd w:val="clear" w:color="auto" w:fill="FFFFFF"/>
        </w:rPr>
        <w:t xml:space="preserve"> 172</w:t>
      </w:r>
    </w:p>
    <w:sectPr w:rsidR="001455B4" w:rsidRPr="001F0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1D"/>
    <w:rsid w:val="000859F7"/>
    <w:rsid w:val="001455B4"/>
    <w:rsid w:val="001960A6"/>
    <w:rsid w:val="001F0C1E"/>
    <w:rsid w:val="00380C8D"/>
    <w:rsid w:val="003A2A05"/>
    <w:rsid w:val="003A2E1D"/>
    <w:rsid w:val="00983FD1"/>
    <w:rsid w:val="00ED01AB"/>
    <w:rsid w:val="00F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0C6B"/>
  <w15:chartTrackingRefBased/>
  <w15:docId w15:val="{C194C34D-8125-4E8B-8157-BA0C5F16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0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E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D01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1F0C1E"/>
    <w:rPr>
      <w:i/>
      <w:iCs/>
    </w:rPr>
  </w:style>
  <w:style w:type="character" w:customStyle="1" w:styleId="colorff0000font-weightbold">
    <w:name w:val="color__ff0000font-weight_bold"/>
    <w:basedOn w:val="a0"/>
    <w:rsid w:val="001F0C1E"/>
  </w:style>
  <w:style w:type="character" w:customStyle="1" w:styleId="font-weightbold">
    <w:name w:val="font-weight_bold"/>
    <w:basedOn w:val="a0"/>
    <w:rsid w:val="001F0C1E"/>
  </w:style>
  <w:style w:type="paragraph" w:styleId="a5">
    <w:name w:val="Normal (Web)"/>
    <w:basedOn w:val="a"/>
    <w:uiPriority w:val="99"/>
    <w:semiHidden/>
    <w:unhideWhenUsed/>
    <w:rsid w:val="0038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deksy-by.com/grazhdanskij_kodeks_rb/546.htm" TargetMode="External"/><Relationship Id="rId4" Type="http://schemas.openxmlformats.org/officeDocument/2006/relationships/hyperlink" Target="https://kodeksy-by.com/grazhdanskij_kodeks_rb/49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2021-10-12T19:29:00Z</dcterms:created>
  <dcterms:modified xsi:type="dcterms:W3CDTF">2021-10-12T21:46:00Z</dcterms:modified>
</cp:coreProperties>
</file>