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626"/>
          <w:spacing w:val="40"/>
          <w:sz w:val="40"/>
          <w:szCs w:val="40"/>
        </w:rPr>
        <w:t xml:space="preserve">EZER</w:t>
      </w:r>
    </w:p>
    <w:p>
      <w:pPr>
        <w:spacing w:after="60"/>
      </w:pPr>
      <w:r>
        <w:rPr>
          <w:rFonts w:ascii="Calibri" w:cs="Calibri" w:eastAsia="Calibri" w:hAnsi="Calibri"/>
          <w:i/>
          <w:iCs/>
          <w:color w:val="4C1D95"/>
          <w:sz w:val="21"/>
          <w:szCs w:val="21"/>
        </w:rPr>
        <w:t xml:space="preserve">Pay in four. Leak in zero.</w:t>
      </w:r>
    </w:p>
    <w:p>
      <w:pPr>
        <w:pBdr>
          <w:bottom w:val="single" w:color="4C1D95" w:sz="12"/>
        </w:pBdr>
        <w:spacing w:after="160"/>
      </w:pPr>
      <w:r>
        <w:rPr>
          <w:rFonts w:ascii="Calibri" w:cs="Calibri" w:eastAsia="Calibri" w:hAnsi="Calibri"/>
          <w:color w:val="5A5470"/>
          <w:sz w:val="17"/>
          <w:szCs w:val="17"/>
        </w:rPr>
        <w:t xml:space="preserve">Business Plan  ·  [Your Full Name]  ·  [School / Program]  ·  [Date]</w:t>
      </w:r>
    </w:p>
    <w:p>
      <w:pPr>
        <w:pBdr>
          <w:bottom w:val="single" w:color="4C1D95" w:sz="6"/>
        </w:pBdr>
        <w:spacing w:after="90" w:before="200"/>
      </w:pPr>
      <w:r>
        <w:rPr>
          <w:rFonts w:ascii="Calibri" w:cs="Calibri" w:eastAsia="Calibri" w:hAnsi="Calibri"/>
          <w:b/>
          <w:bCs/>
          <w:caps/>
          <w:color w:val="4C1D95"/>
          <w:spacing w:val="12"/>
          <w:sz w:val="22"/>
          <w:szCs w:val="22"/>
        </w:rPr>
        <w:t xml:space="preserve">1. The venture</w:t>
      </w:r>
    </w:p>
    <w:p>
      <w:pPr>
        <w:spacing w:after="100" w:line="250"/>
      </w:pPr>
      <w:r>
        <w:rPr>
          <w:rFonts w:ascii="Calibri" w:cs="Calibri" w:eastAsia="Calibri" w:hAnsi="Calibri"/>
          <w:b w:val="false"/>
          <w:bCs w:val="false"/>
          <w:color w:val="1A1626"/>
          <w:sz w:val="19"/>
          <w:szCs w:val="19"/>
        </w:rPr>
        <w:t xml:space="preserve">I am a solo software developer building a portfolio of consumer software products under one independent studio. </w:t>
      </w:r>
      <w:r>
        <w:rPr>
          <w:rFonts w:ascii="Calibri" w:cs="Calibri" w:eastAsia="Calibri" w:hAnsi="Calibri"/>
          <w:b/>
          <w:bCs/>
          <w:color w:val="1A1626"/>
          <w:sz w:val="19"/>
          <w:szCs w:val="19"/>
        </w:rPr>
        <w:t xml:space="preserve">EZER is the studio’s first commercial product</w:t>
      </w:r>
      <w:r>
        <w:rPr>
          <w:rFonts w:ascii="Calibri" w:cs="Calibri" w:eastAsia="Calibri" w:hAnsi="Calibri"/>
          <w:b w:val="false"/>
          <w:bCs w:val="false"/>
          <w:color w:val="1A1626"/>
          <w:sz w:val="19"/>
          <w:szCs w:val="19"/>
        </w:rPr>
        <w:t xml:space="preserve"> — a finished, production-grade mobile application that is built, deployed, and ready to publish to the Apple App Store and Google Play. It is not a concept or a prototype.</w:t>
      </w:r>
    </w:p>
    <w:p>
      <w:pPr>
        <w:spacing w:after="100" w:line="250"/>
      </w:pPr>
      <w:r>
        <w:rPr>
          <w:rFonts w:ascii="Calibri" w:cs="Calibri" w:eastAsia="Calibri" w:hAnsi="Calibri"/>
          <w:b w:val="false"/>
          <w:bCs w:val="false"/>
          <w:color w:val="1A1626"/>
          <w:sz w:val="19"/>
          <w:szCs w:val="19"/>
        </w:rPr>
        <w:t xml:space="preserve">This $30,000 does three things. It stands the studio up as a legal entity with the payment infrastructure EZER needs to move member money, it puts EZER in front of customers through paid acquisition, and it builds the intellectual-property foundation — trademarks, copyright registrations, and patent filings — that protects EZER </w:t>
      </w:r>
      <w:r>
        <w:rPr>
          <w:rFonts w:ascii="Calibri" w:cs="Calibri" w:eastAsia="Calibri" w:hAnsi="Calibri"/>
          <w:b/>
          <w:bCs/>
          <w:color w:val="1A1626"/>
          <w:sz w:val="19"/>
          <w:szCs w:val="19"/>
        </w:rPr>
        <w:t xml:space="preserve">and every product that follows it</w:t>
      </w:r>
      <w:r>
        <w:rPr>
          <w:rFonts w:ascii="Calibri" w:cs="Calibri" w:eastAsia="Calibri" w:hAnsi="Calibri"/>
          <w:b w:val="false"/>
          <w:bCs w:val="false"/>
          <w:color w:val="1A1626"/>
          <w:sz w:val="19"/>
          <w:szCs w:val="19"/>
        </w:rPr>
        <w:t xml:space="preserve">, including two further titles already in development, </w:t>
      </w:r>
      <w:r>
        <w:rPr>
          <w:rFonts w:ascii="Calibri" w:cs="Calibri" w:eastAsia="Calibri" w:hAnsi="Calibri"/>
          <w:b/>
          <w:bCs/>
          <w:color w:val="1A1626"/>
          <w:sz w:val="19"/>
          <w:szCs w:val="19"/>
        </w:rPr>
        <w:t xml:space="preserve">The Void</w:t>
      </w:r>
      <w:r>
        <w:rPr>
          <w:rFonts w:ascii="Calibri" w:cs="Calibri" w:eastAsia="Calibri" w:hAnsi="Calibri"/>
          <w:b w:val="false"/>
          <w:bCs w:val="false"/>
          <w:color w:val="1A1626"/>
          <w:sz w:val="19"/>
          <w:szCs w:val="19"/>
        </w:rPr>
        <w:t xml:space="preserve"> and </w:t>
      </w:r>
      <w:r>
        <w:rPr>
          <w:rFonts w:ascii="Calibri" w:cs="Calibri" w:eastAsia="Calibri" w:hAnsi="Calibri"/>
          <w:b/>
          <w:bCs/>
          <w:color w:val="1A1626"/>
          <w:sz w:val="19"/>
          <w:szCs w:val="19"/>
        </w:rPr>
        <w:t xml:space="preserve">The Realms</w:t>
      </w:r>
      <w:r>
        <w:rPr>
          <w:rFonts w:ascii="Calibri" w:cs="Calibri" w:eastAsia="Calibri" w:hAnsi="Calibri"/>
          <w:b w:val="false"/>
          <w:bCs w:val="false"/>
          <w:color w:val="1A1626"/>
          <w:sz w:val="19"/>
          <w:szCs w:val="19"/>
        </w:rPr>
        <w:t xml:space="preserve">. Filing that protection now, before a public launch creates prior art and before a competitor registers a confusingly similar mark, is materially cheaper and materially safer than filing later.</w:t>
      </w:r>
    </w:p>
    <w:p>
      <w:pPr>
        <w:pBdr>
          <w:bottom w:val="single" w:color="4C1D95" w:sz="6"/>
        </w:pBdr>
        <w:spacing w:after="90" w:before="200"/>
      </w:pPr>
      <w:r>
        <w:rPr>
          <w:rFonts w:ascii="Calibri" w:cs="Calibri" w:eastAsia="Calibri" w:hAnsi="Calibri"/>
          <w:b/>
          <w:bCs/>
          <w:caps/>
          <w:color w:val="4C1D95"/>
          <w:spacing w:val="12"/>
          <w:sz w:val="22"/>
          <w:szCs w:val="22"/>
        </w:rPr>
        <w:t xml:space="preserve">2. The need being addressed</w:t>
      </w:r>
    </w:p>
    <w:p>
      <w:pPr>
        <w:spacing w:after="60" w:line="250"/>
      </w:pPr>
      <w:r>
        <w:rPr>
          <w:rFonts w:ascii="Calibri" w:cs="Calibri" w:eastAsia="Calibri" w:hAnsi="Calibri"/>
          <w:b w:val="false"/>
          <w:bCs w:val="false"/>
          <w:color w:val="1A1626"/>
          <w:sz w:val="19"/>
          <w:szCs w:val="19"/>
        </w:rPr>
        <w:t xml:space="preserve">Recurring payments have quietly become the default way consumers buy software, media, and services — and the default way they lose money. The failure is structural, not personal:</w:t>
      </w:r>
    </w:p>
    <w:p>
      <w:pPr>
        <w:pStyle w:val="ListParagraph"/>
        <w:numPr>
          <w:ilvl w:val="0"/>
          <w:numId w:val="2"/>
        </w:numPr>
        <w:spacing w:after="50" w:line="250"/>
      </w:pPr>
      <w:r>
        <w:rPr>
          <w:rFonts w:ascii="Calibri" w:cs="Calibri" w:eastAsia="Calibri" w:hAnsi="Calibri"/>
          <w:b/>
          <w:bCs/>
          <w:color w:val="1A1626"/>
          <w:sz w:val="19"/>
          <w:szCs w:val="19"/>
        </w:rPr>
        <w:t xml:space="preserve">Free trials are designed to convert silently. </w:t>
      </w:r>
      <w:r>
        <w:rPr>
          <w:rFonts w:ascii="Calibri" w:cs="Calibri" w:eastAsia="Calibri" w:hAnsi="Calibri"/>
          <w:b w:val="false"/>
          <w:bCs w:val="false"/>
          <w:color w:val="1A1626"/>
          <w:sz w:val="19"/>
          <w:szCs w:val="19"/>
        </w:rPr>
        <w:t xml:space="preserve">The charge arrives after attention has moved on; the reminder, if any, arrives from the merchant who benefits from it being ignored.</w:t>
      </w:r>
    </w:p>
    <w:p>
      <w:pPr>
        <w:pStyle w:val="ListParagraph"/>
        <w:numPr>
          <w:ilvl w:val="0"/>
          <w:numId w:val="2"/>
        </w:numPr>
        <w:spacing w:after="50" w:line="250"/>
      </w:pPr>
      <w:r>
        <w:rPr>
          <w:rFonts w:ascii="Calibri" w:cs="Calibri" w:eastAsia="Calibri" w:hAnsi="Calibri"/>
          <w:b/>
          <w:bCs/>
          <w:color w:val="1A1626"/>
          <w:sz w:val="19"/>
          <w:szCs w:val="19"/>
        </w:rPr>
        <w:t xml:space="preserve">Banking apps are retrospective. </w:t>
      </w:r>
      <w:r>
        <w:rPr>
          <w:rFonts w:ascii="Calibri" w:cs="Calibri" w:eastAsia="Calibri" w:hAnsi="Calibri"/>
          <w:b w:val="false"/>
          <w:bCs w:val="false"/>
          <w:color w:val="1A1626"/>
          <w:sz w:val="19"/>
          <w:szCs w:val="19"/>
        </w:rPr>
        <w:t xml:space="preserve">They tell you what already left your account. Nothing intervenes in the window where a decision is still free.</w:t>
      </w:r>
    </w:p>
    <w:p>
      <w:pPr>
        <w:pStyle w:val="ListParagraph"/>
        <w:numPr>
          <w:ilvl w:val="0"/>
          <w:numId w:val="2"/>
        </w:numPr>
        <w:spacing w:after="50" w:line="250"/>
      </w:pPr>
      <w:r>
        <w:rPr>
          <w:rFonts w:ascii="Calibri" w:cs="Calibri" w:eastAsia="Calibri" w:hAnsi="Calibri"/>
          <w:b/>
          <w:bCs/>
          <w:color w:val="1A1626"/>
          <w:sz w:val="19"/>
          <w:szCs w:val="19"/>
        </w:rPr>
        <w:t xml:space="preserve">Spending is fragmented across cards. </w:t>
      </w:r>
      <w:r>
        <w:rPr>
          <w:rFonts w:ascii="Calibri" w:cs="Calibri" w:eastAsia="Calibri" w:hAnsi="Calibri"/>
          <w:b w:val="false"/>
          <w:bCs w:val="false"/>
          <w:color w:val="1A1626"/>
          <w:sz w:val="19"/>
          <w:szCs w:val="19"/>
        </w:rPr>
        <w:t xml:space="preserve">No single surface shows which instrument is bleeding, or how much.</w:t>
      </w:r>
    </w:p>
    <w:p>
      <w:pPr>
        <w:pStyle w:val="ListParagraph"/>
        <w:numPr>
          <w:ilvl w:val="0"/>
          <w:numId w:val="2"/>
        </w:numPr>
        <w:spacing w:after="50" w:line="250"/>
      </w:pPr>
      <w:r>
        <w:rPr>
          <w:rFonts w:ascii="Calibri" w:cs="Calibri" w:eastAsia="Calibri" w:hAnsi="Calibri"/>
          <w:b/>
          <w:bCs/>
          <w:color w:val="1A1626"/>
          <w:sz w:val="19"/>
          <w:szCs w:val="19"/>
        </w:rPr>
        <w:t xml:space="preserve">Cancelling is deliberately hard. </w:t>
      </w:r>
      <w:r>
        <w:rPr>
          <w:rFonts w:ascii="Calibri" w:cs="Calibri" w:eastAsia="Calibri" w:hAnsi="Calibri"/>
          <w:b w:val="false"/>
          <w:bCs w:val="false"/>
          <w:color w:val="1A1626"/>
          <w:sz w:val="19"/>
          <w:szCs w:val="19"/>
        </w:rPr>
        <w:t xml:space="preserve">Dark patterns, buried settings, and retention flows make exiting cost more effort than staying.</w:t>
      </w:r>
    </w:p>
    <w:p>
      <w:pPr>
        <w:spacing w:after="100" w:line="250"/>
      </w:pPr>
      <w:r>
        <w:rPr>
          <w:rFonts w:ascii="Calibri" w:cs="Calibri" w:eastAsia="Calibri" w:hAnsi="Calibri"/>
          <w:b w:val="false"/>
          <w:bCs w:val="false"/>
          <w:color w:val="1A1626"/>
          <w:sz w:val="19"/>
          <w:szCs w:val="19"/>
        </w:rPr>
        <w:t xml:space="preserve">At the same time, demand for splitting a purchase into instalments has moved from the fringe to the mainstream, especially among younger consumers with thin or no credit history. Those two needs — </w:t>
      </w:r>
      <w:r>
        <w:rPr>
          <w:rFonts w:ascii="Calibri" w:cs="Calibri" w:eastAsia="Calibri" w:hAnsi="Calibri"/>
          <w:b/>
          <w:bCs/>
          <w:color w:val="1A1626"/>
          <w:sz w:val="19"/>
          <w:szCs w:val="19"/>
        </w:rPr>
        <w:t xml:space="preserve">stop paying for what you don’t use</w:t>
      </w:r>
      <w:r>
        <w:rPr>
          <w:rFonts w:ascii="Calibri" w:cs="Calibri" w:eastAsia="Calibri" w:hAnsi="Calibri"/>
          <w:b w:val="false"/>
          <w:bCs w:val="false"/>
          <w:color w:val="1A1626"/>
          <w:sz w:val="19"/>
          <w:szCs w:val="19"/>
        </w:rPr>
        <w:t xml:space="preserve">, and </w:t>
      </w:r>
      <w:r>
        <w:rPr>
          <w:rFonts w:ascii="Calibri" w:cs="Calibri" w:eastAsia="Calibri" w:hAnsi="Calibri"/>
          <w:b/>
          <w:bCs/>
          <w:color w:val="1A1626"/>
          <w:sz w:val="19"/>
          <w:szCs w:val="19"/>
        </w:rPr>
        <w:t xml:space="preserve">spread what you do</w:t>
      </w:r>
      <w:r>
        <w:rPr>
          <w:rFonts w:ascii="Calibri" w:cs="Calibri" w:eastAsia="Calibri" w:hAnsi="Calibri"/>
          <w:b w:val="false"/>
          <w:bCs w:val="false"/>
          <w:color w:val="1A1626"/>
          <w:sz w:val="19"/>
          <w:szCs w:val="19"/>
        </w:rPr>
        <w:t xml:space="preserve"> — are currently served by entirely separate apps. EZER serves both in one.</w:t>
      </w:r>
    </w:p>
    <w:p>
      <w:pPr>
        <w:pBdr>
          <w:bottom w:val="single" w:color="4C1D95" w:sz="6"/>
        </w:pBdr>
        <w:spacing w:after="90" w:before="200"/>
      </w:pPr>
      <w:r>
        <w:rPr>
          <w:rFonts w:ascii="Calibri" w:cs="Calibri" w:eastAsia="Calibri" w:hAnsi="Calibri"/>
          <w:b/>
          <w:bCs/>
          <w:caps/>
          <w:color w:val="4C1D95"/>
          <w:spacing w:val="12"/>
          <w:sz w:val="22"/>
          <w:szCs w:val="22"/>
        </w:rPr>
        <w:t xml:space="preserve">3. The product</w:t>
      </w:r>
    </w:p>
    <w:p>
      <w:pPr>
        <w:spacing w:after="60" w:line="250"/>
      </w:pPr>
      <w:r>
        <w:rPr>
          <w:rFonts w:ascii="Calibri" w:cs="Calibri" w:eastAsia="Calibri" w:hAnsi="Calibri"/>
          <w:b w:val="false"/>
          <w:bCs w:val="false"/>
          <w:color w:val="1A1626"/>
          <w:sz w:val="19"/>
          <w:szCs w:val="19"/>
        </w:rPr>
        <w:t xml:space="preserve">EZER has two halves that share one account and one card:</w:t>
      </w:r>
    </w:p>
    <w:p>
      <w:pPr>
        <w:pStyle w:val="ListParagraph"/>
        <w:numPr>
          <w:ilvl w:val="0"/>
          <w:numId w:val="2"/>
        </w:numPr>
        <w:spacing w:after="50" w:line="250"/>
      </w:pPr>
      <w:r>
        <w:rPr>
          <w:rFonts w:ascii="Calibri" w:cs="Calibri" w:eastAsia="Calibri" w:hAnsi="Calibri"/>
          <w:b/>
          <w:bCs/>
          <w:color w:val="1A1626"/>
          <w:sz w:val="19"/>
          <w:szCs w:val="19"/>
        </w:rPr>
        <w:t xml:space="preserve">Subscription Radar. </w:t>
      </w:r>
      <w:r>
        <w:rPr>
          <w:rFonts w:ascii="Calibri" w:cs="Calibri" w:eastAsia="Calibri" w:hAnsi="Calibri"/>
          <w:b w:val="false"/>
          <w:bCs w:val="false"/>
          <w:color w:val="1A1626"/>
          <w:sz w:val="19"/>
          <w:szCs w:val="19"/>
        </w:rPr>
        <w:t xml:space="preserve">EZER connects to the user’s bank accounts (via Plaid) and, optionally, their email inbox (Gmail, Outlook, or IMAP). It detects recurring charges and free trials automatically, warns the user before a trial converts rather than after, walks them through a guided cancellation with proof capture, and then lets them redirect the reclaimed money to savings, debt, or investing — showing the ten-year opportunity cost of not doing so.</w:t>
      </w:r>
    </w:p>
    <w:p>
      <w:pPr>
        <w:pStyle w:val="ListParagraph"/>
        <w:numPr>
          <w:ilvl w:val="0"/>
          <w:numId w:val="2"/>
        </w:numPr>
        <w:spacing w:after="50" w:line="250"/>
      </w:pPr>
      <w:r>
        <w:rPr>
          <w:rFonts w:ascii="Calibri" w:cs="Calibri" w:eastAsia="Calibri" w:hAnsi="Calibri"/>
          <w:b/>
          <w:bCs/>
          <w:color w:val="1A1626"/>
          <w:sz w:val="19"/>
          <w:szCs w:val="19"/>
        </w:rPr>
        <w:t xml:space="preserve">Pay in Four. </w:t>
      </w:r>
      <w:r>
        <w:rPr>
          <w:rFonts w:ascii="Calibri" w:cs="Calibri" w:eastAsia="Calibri" w:hAnsi="Calibri"/>
          <w:b w:val="false"/>
          <w:bCs w:val="false"/>
          <w:color w:val="1A1626"/>
          <w:sz w:val="19"/>
          <w:szCs w:val="19"/>
        </w:rPr>
        <w:t xml:space="preserve">A payment card that splits a purchase into four instalments, paired with Card Studio — a designer that lets the user lay out the face of their own physical card. The card is the hook; the radar is the reason they stay.</w:t>
      </w:r>
    </w:p>
    <w:p>
      <w:pPr>
        <w:spacing w:after="60" w:line="250"/>
      </w:pPr>
      <w:r>
        <w:rPr>
          <w:rFonts w:ascii="Calibri" w:cs="Calibri" w:eastAsia="Calibri" w:hAnsi="Calibri"/>
          <w:b w:val="false"/>
          <w:bCs w:val="false"/>
          <w:color w:val="1A1626"/>
          <w:sz w:val="19"/>
          <w:szCs w:val="19"/>
        </w:rPr>
        <w:t xml:space="preserve">Delivered to date, self-funded:</w:t>
      </w:r>
    </w:p>
    <w:p>
      <w:pPr>
        <w:pStyle w:val="ListParagraph"/>
        <w:numPr>
          <w:ilvl w:val="0"/>
          <w:numId w:val="2"/>
        </w:numPr>
        <w:spacing w:after="50" w:line="250"/>
      </w:pPr>
      <w:r>
        <w:rPr>
          <w:rFonts w:ascii="Calibri" w:cs="Calibri" w:eastAsia="Calibri" w:hAnsi="Calibri"/>
          <w:b w:val="false"/>
          <w:bCs w:val="false"/>
          <w:color w:val="1A1626"/>
          <w:sz w:val="19"/>
          <w:szCs w:val="19"/>
        </w:rPr>
        <w:t xml:space="preserve">Native iOS and Android app (React Native / Expo) with a full onboarding, wallet, trial-intercept, cancellation, and reallocation flow.</w:t>
      </w:r>
    </w:p>
    <w:p>
      <w:pPr>
        <w:pStyle w:val="ListParagraph"/>
        <w:numPr>
          <w:ilvl w:val="0"/>
          <w:numId w:val="2"/>
        </w:numPr>
        <w:spacing w:after="50" w:line="250"/>
      </w:pPr>
      <w:r>
        <w:rPr>
          <w:rFonts w:ascii="Calibri" w:cs="Calibri" w:eastAsia="Calibri" w:hAnsi="Calibri"/>
          <w:b w:val="false"/>
          <w:bCs w:val="false"/>
          <w:color w:val="1A1626"/>
          <w:sz w:val="19"/>
          <w:szCs w:val="19"/>
        </w:rPr>
        <w:t xml:space="preserve">Deployed backend API (Node.js / Fastify, PostgreSQL, Redis job queue) with live bank connectivity.</w:t>
      </w:r>
    </w:p>
    <w:p>
      <w:pPr>
        <w:pStyle w:val="ListParagraph"/>
        <w:numPr>
          <w:ilvl w:val="0"/>
          <w:numId w:val="2"/>
        </w:numPr>
        <w:spacing w:after="50" w:line="250"/>
      </w:pPr>
      <w:r>
        <w:rPr>
          <w:rFonts w:ascii="Calibri" w:cs="Calibri" w:eastAsia="Calibri" w:hAnsi="Calibri"/>
          <w:b w:val="false"/>
          <w:bCs w:val="false"/>
          <w:color w:val="1A1626"/>
          <w:sz w:val="19"/>
          <w:szCs w:val="19"/>
        </w:rPr>
        <w:t xml:space="preserve">Sign-in with Apple, Google, and Microsoft; AES-256-GCM encryption of all stored access tokens.</w:t>
      </w:r>
    </w:p>
    <w:p>
      <w:pPr>
        <w:pStyle w:val="ListParagraph"/>
        <w:numPr>
          <w:ilvl w:val="0"/>
          <w:numId w:val="2"/>
        </w:numPr>
        <w:spacing w:after="50" w:line="250"/>
      </w:pPr>
      <w:r>
        <w:rPr>
          <w:rFonts w:ascii="Calibri" w:cs="Calibri" w:eastAsia="Calibri" w:hAnsi="Calibri"/>
          <w:b w:val="false"/>
          <w:bCs w:val="false"/>
          <w:color w:val="1A1626"/>
          <w:sz w:val="19"/>
          <w:szCs w:val="19"/>
        </w:rPr>
        <w:t xml:space="preserve">GDPR / CCPA compliance implemented in code, not just promised: one-tap account deletion that revokes bank connections upstream first, full data export, versioned consent records, and published privacy and data-retention policies.</w:t>
      </w:r>
    </w:p>
    <w:p>
      <w:pPr>
        <w:pStyle w:val="ListParagraph"/>
        <w:numPr>
          <w:ilvl w:val="0"/>
          <w:numId w:val="2"/>
        </w:numPr>
        <w:spacing w:after="50" w:line="250"/>
      </w:pPr>
      <w:r>
        <w:rPr>
          <w:rFonts w:ascii="Calibri" w:cs="Calibri" w:eastAsia="Calibri" w:hAnsi="Calibri"/>
          <w:b w:val="false"/>
          <w:bCs w:val="false"/>
          <w:color w:val="1A1626"/>
          <w:sz w:val="19"/>
          <w:szCs w:val="19"/>
        </w:rPr>
        <w:t xml:space="preserve">Android release build pipeline and store listing assets complete.</w:t>
      </w:r>
    </w:p>
    <w:p>
      <w:pPr>
        <w:pBdr>
          <w:bottom w:val="single" w:color="4C1D95" w:sz="6"/>
        </w:pBdr>
        <w:spacing w:after="90" w:before="200"/>
      </w:pPr>
      <w:r>
        <w:rPr>
          <w:rFonts w:ascii="Calibri" w:cs="Calibri" w:eastAsia="Calibri" w:hAnsi="Calibri"/>
          <w:b/>
          <w:bCs/>
          <w:caps/>
          <w:color w:val="4C1D95"/>
          <w:spacing w:val="12"/>
          <w:sz w:val="22"/>
          <w:szCs w:val="22"/>
        </w:rPr>
        <w:t xml:space="preserve">4. Market and customer</w:t>
      </w:r>
    </w:p>
    <w:p>
      <w:pPr>
        <w:spacing w:after="100" w:line="250"/>
      </w:pPr>
      <w:r>
        <w:rPr>
          <w:rFonts w:ascii="Calibri" w:cs="Calibri" w:eastAsia="Calibri" w:hAnsi="Calibri"/>
          <w:b w:val="false"/>
          <w:bCs w:val="false"/>
          <w:color w:val="1A1626"/>
          <w:sz w:val="19"/>
          <w:szCs w:val="19"/>
        </w:rPr>
        <w:t xml:space="preserve">The subscription-management software market is valued at approximately </w:t>
      </w:r>
      <w:r>
        <w:rPr>
          <w:rFonts w:ascii="Calibri" w:cs="Calibri" w:eastAsia="Calibri" w:hAnsi="Calibri"/>
          <w:b/>
          <w:bCs/>
          <w:color w:val="1A1626"/>
          <w:sz w:val="19"/>
          <w:szCs w:val="19"/>
        </w:rPr>
        <w:t xml:space="preserve">$2 billion today and is projected to reach roughly $12 billion within ten years</w:t>
      </w:r>
      <w:r>
        <w:rPr>
          <w:rFonts w:ascii="Calibri" w:cs="Calibri" w:eastAsia="Calibri" w:hAnsi="Calibri"/>
          <w:b w:val="false"/>
          <w:bCs w:val="false"/>
          <w:color w:val="1A1626"/>
          <w:sz w:val="19"/>
          <w:szCs w:val="19"/>
        </w:rPr>
        <w:t xml:space="preserve"> [insert citation]. Growth is driven by the same force that creates the problem: every category of business is converting to recurring revenue. Competition in the consumer tier is unusually thin — a handful of US-centric apps that detect subscriptions but do not issue a card, and typically charge a percentage of whatever they save you. Entering now, while the category is expanding and incumbents are few, is the whole point of the timing.</w:t>
      </w:r>
    </w:p>
    <w:p>
      <w:pPr>
        <w:spacing w:after="100" w:line="250"/>
      </w:pPr>
      <w:r>
        <w:rPr>
          <w:rFonts w:ascii="Calibri" w:cs="Calibri" w:eastAsia="Calibri" w:hAnsi="Calibri"/>
          <w:b/>
          <w:bCs/>
          <w:color w:val="1A1626"/>
          <w:sz w:val="19"/>
          <w:szCs w:val="19"/>
        </w:rPr>
        <w:t xml:space="preserve">Primary customer: </w:t>
      </w:r>
      <w:r>
        <w:rPr>
          <w:rFonts w:ascii="Calibri" w:cs="Calibri" w:eastAsia="Calibri" w:hAnsi="Calibri"/>
          <w:b w:val="false"/>
          <w:bCs w:val="false"/>
          <w:color w:val="1A1626"/>
          <w:sz w:val="19"/>
          <w:szCs w:val="19"/>
        </w:rPr>
        <w:t xml:space="preserve">digitally native consumers aged 18–34 who hold five to fifteen active subscriptions across two or more cards, are comfortable with instalment payments, and have limited access to traditional credit. Secondary: households consolidating shared subscriptions, and freelancers separating business from personal spend.</w:t>
      </w:r>
    </w:p>
    <w:p>
      <w:pPr>
        <w:spacing w:after="100" w:line="250"/>
      </w:pPr>
      <w:r>
        <w:rPr>
          <w:rFonts w:ascii="Calibri" w:cs="Calibri" w:eastAsia="Calibri" w:hAnsi="Calibri"/>
          <w:b/>
          <w:bCs/>
          <w:color w:val="1A1626"/>
          <w:sz w:val="19"/>
          <w:szCs w:val="19"/>
        </w:rPr>
        <w:t xml:space="preserve">Differentiation: </w:t>
      </w:r>
      <w:r>
        <w:rPr>
          <w:rFonts w:ascii="Calibri" w:cs="Calibri" w:eastAsia="Calibri" w:hAnsi="Calibri"/>
          <w:b w:val="false"/>
          <w:bCs w:val="false"/>
          <w:color w:val="1A1626"/>
          <w:sz w:val="19"/>
          <w:szCs w:val="19"/>
        </w:rPr>
        <w:t xml:space="preserve">EZER is the only product combining trial interception, guided cancellation, reallocation, and a pay-in-four card in a single account — for one flat subscription fee rather than a cut of the user’s savings, and with a designable physical card no competitor offers.</w:t>
      </w:r>
    </w:p>
    <w:p>
      <w:pPr>
        <w:pBdr>
          <w:bottom w:val="single" w:color="4C1D95" w:sz="6"/>
        </w:pBdr>
        <w:spacing w:after="90" w:before="200"/>
      </w:pPr>
      <w:r>
        <w:rPr>
          <w:rFonts w:ascii="Calibri" w:cs="Calibri" w:eastAsia="Calibri" w:hAnsi="Calibri"/>
          <w:b/>
          <w:bCs/>
          <w:caps/>
          <w:color w:val="4C1D95"/>
          <w:spacing w:val="12"/>
          <w:sz w:val="22"/>
          <w:szCs w:val="22"/>
        </w:rPr>
        <w:t xml:space="preserve">5. Revenue model and path to viability</w:t>
      </w:r>
    </w:p>
    <w:p>
      <w:pPr>
        <w:spacing w:after="100" w:line="250"/>
      </w:pPr>
      <w:r>
        <w:rPr>
          <w:rFonts w:ascii="Calibri" w:cs="Calibri" w:eastAsia="Calibri" w:hAnsi="Calibri"/>
          <w:b w:val="false"/>
          <w:bCs w:val="false"/>
          <w:color w:val="1A1626"/>
          <w:sz w:val="19"/>
          <w:szCs w:val="19"/>
        </w:rPr>
        <w:t xml:space="preserve">EZER earns from a consumer subscription billed through the App Store and Google Play: a founding rate of </w:t>
      </w:r>
      <w:r>
        <w:rPr>
          <w:rFonts w:ascii="Calibri" w:cs="Calibri" w:eastAsia="Calibri" w:hAnsi="Calibri"/>
          <w:b/>
          <w:bCs/>
          <w:color w:val="1A1626"/>
          <w:sz w:val="19"/>
          <w:szCs w:val="19"/>
        </w:rPr>
        <w:t xml:space="preserve">$7.99 per month against a $14.00 list price</w:t>
      </w:r>
      <w:r>
        <w:rPr>
          <w:rFonts w:ascii="Calibri" w:cs="Calibri" w:eastAsia="Calibri" w:hAnsi="Calibri"/>
          <w:b w:val="false"/>
          <w:bCs w:val="false"/>
          <w:color w:val="1A1626"/>
          <w:sz w:val="19"/>
          <w:szCs w:val="19"/>
        </w:rPr>
        <w:t xml:space="preserve">, with the founding rate locked for as long as the member stays. Running costs are low and largely fixed — hosting, database, bank-data API calls, and developer accounts — so the business reaches contribution-positive at a low hundreds of paying members, and the studio’s overhead is one developer who is already doing the work unpaid. A second revenue line (interchange on the Pay in Four card) opens once card volume justifies an issuing partner.</w:t>
      </w:r>
    </w:p>
    <w:p>
      <w:pPr>
        <w:spacing w:after="100" w:line="250"/>
      </w:pPr>
      <w:r>
        <w:rPr>
          <w:rFonts w:ascii="Calibri" w:cs="Calibri" w:eastAsia="Calibri" w:hAnsi="Calibri"/>
          <w:b/>
          <w:bCs/>
          <w:color w:val="1A1626"/>
          <w:sz w:val="19"/>
          <w:szCs w:val="19"/>
        </w:rPr>
        <w:t xml:space="preserve">The single binding constraint is distribution. </w:t>
      </w:r>
      <w:r>
        <w:rPr>
          <w:rFonts w:ascii="Calibri" w:cs="Calibri" w:eastAsia="Calibri" w:hAnsi="Calibri"/>
          <w:b w:val="false"/>
          <w:bCs w:val="false"/>
          <w:color w:val="1A1626"/>
          <w:sz w:val="19"/>
          <w:szCs w:val="19"/>
        </w:rPr>
        <w:t xml:space="preserve">The product is finished; nobody knows it exists. That is what the ad spend in this plan buys, and it is why the request is weighted toward acquisition.</w:t>
      </w:r>
    </w:p>
    <w:p>
      <w:pPr>
        <w:pBdr>
          <w:bottom w:val="single" w:color="4C1D95" w:sz="6"/>
        </w:pBdr>
        <w:spacing w:after="90" w:before="200"/>
      </w:pPr>
      <w:r>
        <w:rPr>
          <w:rFonts w:ascii="Calibri" w:cs="Calibri" w:eastAsia="Calibri" w:hAnsi="Calibri"/>
          <w:b/>
          <w:bCs/>
          <w:caps/>
          <w:color w:val="4C1D95"/>
          <w:spacing w:val="12"/>
          <w:sz w:val="22"/>
          <w:szCs w:val="22"/>
        </w:rPr>
        <w:t xml:space="preserve">6. Use of the $30,000</w:t>
      </w:r>
    </w:p>
    <w:tbl>
      <w:tblPr>
        <w:tblW w:type="dxa" w:w="9360"/>
        <w:tblBorders>
          <w:top w:val="single" w:color="D8D3E4" w:sz="6"/>
          <w:left w:val="none" w:color="FFFFFF" w:sz="0"/>
          <w:bottom w:val="single" w:color="D8D3E4" w:sz="6"/>
          <w:right w:val="none" w:color="FFFFFF" w:sz="0"/>
          <w:insideH w:val="single" w:color="D8D3E4" w:sz="6"/>
          <w:insideV w:val="none" w:color="FFFFFF" w:sz="0"/>
        </w:tblBorders>
      </w:tblPr>
      <w:tblGrid>
        <w:gridCol w:w="3400"/>
        <w:gridCol w:w="1500"/>
        <w:gridCol w:w="4460"/>
      </w:tblGrid>
      <w:tr>
        <w:tc>
          <w:tcPr>
            <w:tcW w:type="dxa" w:w="3400"/>
            <w:tcBorders>
              <w:top w:val="single" w:color="D8D3E4" w:sz="6"/>
              <w:left w:val="none" w:color="FFFFFF" w:sz="0"/>
              <w:bottom w:val="single" w:color="D8D3E4" w:sz="6"/>
              <w:right w:val="none" w:color="FFFFFF" w:sz="0"/>
            </w:tcBorders>
            <w:shd w:fill="F1ECFA" w:color="auto" w:val="clear"/>
            <w:tcMar>
              <w:top w:type="dxa" w:w="70"/>
              <w:left w:type="dxa" w:w="110"/>
              <w:bottom w:type="dxa" w:w="70"/>
              <w:right w:type="dxa" w:w="110"/>
            </w:tcMar>
          </w:tcPr>
          <w:p>
            <w:pPr>
              <w:spacing w:after="0" w:line="230"/>
              <w:jc w:val="left"/>
            </w:pPr>
            <w:r>
              <w:rPr>
                <w:rFonts w:ascii="Calibri" w:cs="Calibri" w:eastAsia="Calibri" w:hAnsi="Calibri"/>
                <w:b/>
                <w:bCs/>
                <w:color w:val="4C1D95"/>
                <w:sz w:val="18"/>
                <w:szCs w:val="18"/>
              </w:rPr>
              <w:t xml:space="preserve">Allocation</w:t>
            </w:r>
          </w:p>
        </w:tc>
        <w:tc>
          <w:tcPr>
            <w:tcW w:type="dxa" w:w="1500"/>
            <w:tcBorders>
              <w:top w:val="single" w:color="D8D3E4" w:sz="6"/>
              <w:left w:val="none" w:color="FFFFFF" w:sz="0"/>
              <w:bottom w:val="single" w:color="D8D3E4" w:sz="6"/>
              <w:right w:val="none" w:color="FFFFFF" w:sz="0"/>
            </w:tcBorders>
            <w:shd w:fill="F1ECFA" w:color="auto" w:val="clear"/>
            <w:tcMar>
              <w:top w:type="dxa" w:w="70"/>
              <w:left w:type="dxa" w:w="110"/>
              <w:bottom w:type="dxa" w:w="70"/>
              <w:right w:type="dxa" w:w="110"/>
            </w:tcMar>
          </w:tcPr>
          <w:p>
            <w:pPr>
              <w:spacing w:after="0" w:line="230"/>
              <w:jc w:val="right"/>
            </w:pPr>
            <w:r>
              <w:rPr>
                <w:rFonts w:ascii="Calibri" w:cs="Calibri" w:eastAsia="Calibri" w:hAnsi="Calibri"/>
                <w:b/>
                <w:bCs/>
                <w:color w:val="4C1D95"/>
                <w:sz w:val="18"/>
                <w:szCs w:val="18"/>
              </w:rPr>
              <w:t xml:space="preserve">Amount</w:t>
            </w:r>
          </w:p>
        </w:tc>
        <w:tc>
          <w:tcPr>
            <w:tcW w:type="dxa" w:w="4460"/>
            <w:tcBorders>
              <w:top w:val="single" w:color="D8D3E4" w:sz="6"/>
              <w:left w:val="none" w:color="FFFFFF" w:sz="0"/>
              <w:bottom w:val="single" w:color="D8D3E4" w:sz="6"/>
              <w:right w:val="none" w:color="FFFFFF" w:sz="0"/>
            </w:tcBorders>
            <w:shd w:fill="F1ECFA" w:color="auto" w:val="clear"/>
            <w:tcMar>
              <w:top w:type="dxa" w:w="70"/>
              <w:left w:type="dxa" w:w="110"/>
              <w:bottom w:type="dxa" w:w="70"/>
              <w:right w:type="dxa" w:w="110"/>
            </w:tcMar>
          </w:tcPr>
          <w:p>
            <w:pPr>
              <w:spacing w:after="0" w:line="230"/>
              <w:jc w:val="left"/>
            </w:pPr>
            <w:r>
              <w:rPr>
                <w:rFonts w:ascii="Calibri" w:cs="Calibri" w:eastAsia="Calibri" w:hAnsi="Calibri"/>
                <w:b/>
                <w:bCs/>
                <w:color w:val="4C1D95"/>
                <w:sz w:val="18"/>
                <w:szCs w:val="18"/>
              </w:rPr>
              <w:t xml:space="preserve">Purpose and expected outcome</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Company formation</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$1,200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LLC registration, registered agent, EIN, and operating agreement — the entity that must exist before any processor will move a member’s money.</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Payment processing</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$4,300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Processor and money-movement onboarding for in-app instalments and reallocation transfers: application and underwriting fees, KYC/AML compliance review, and the reserve the processor requires up front.</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Paid acquisition</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$11,500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App-install and social campaigns across a 12-month test-and-scale cycle; target first 3,000–5,000 installs and a measured cost per paying member.</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Trademark registration</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$4,500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Word mark and logo for EZER and the studio name, filed in the relevant goods and services classes, with attorney review and one office-action response reserved.</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Patent filings</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$5,000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Provisional utility filing covering the pre-charge trial-interception method, and a design filing covering the Card Studio interface — both filed before public launch.</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Copyright registration</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$1,500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Registration of source code, interface designs, and brand assets for EZER and for the studio’s forthcoming titles.</w:t>
            </w:r>
          </w:p>
        </w:tc>
      </w:tr>
      <w:tr>
        <w:tc>
          <w:tcPr>
            <w:tcW w:type="dxa" w:w="34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Launch infrastructure</w:t>
            </w:r>
          </w:p>
        </w:tc>
        <w:tc>
          <w:tcPr>
            <w:tcW w:type="dxa" w:w="150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right"/>
            </w:pPr>
            <w:r>
              <w:rPr>
                <w:rFonts w:ascii="Calibri" w:cs="Calibri" w:eastAsia="Calibri" w:hAnsi="Calibri"/>
                <w:color w:val="1A1626"/>
                <w:sz w:val="18"/>
                <w:szCs w:val="18"/>
              </w:rPr>
              <w:t xml:space="preserve">$2,000</w:t>
            </w:r>
          </w:p>
        </w:tc>
        <w:tc>
          <w:tcPr>
            <w:tcW w:type="dxa" w:w="4460"/>
            <w:tcBorders>
              <w:top w:val="single" w:color="D8D3E4" w:sz="6"/>
              <w:left w:val="none" w:color="FFFFFF" w:sz="0"/>
              <w:bottom w:val="single" w:color="D8D3E4" w:sz="6"/>
              <w:right w:val="none" w:color="FFFFFF" w:sz="0"/>
            </w:tcBorders>
            <w:tcMar>
              <w:top w:type="dxa" w:w="70"/>
              <w:left w:type="dxa" w:w="110"/>
              <w:bottom w:type="dxa" w:w="70"/>
              <w:right w:type="dxa" w:w="110"/>
            </w:tcMar>
          </w:tcPr>
          <w:p>
            <w:pPr>
              <w:spacing w:after="0" w:line="230"/>
              <w:jc w:val="left"/>
            </w:pPr>
            <w:r>
              <w:rPr>
                <w:rFonts w:ascii="Calibri" w:cs="Calibri" w:eastAsia="Calibri" w:hAnsi="Calibri"/>
                <w:color w:val="1A1626"/>
                <w:sz w:val="18"/>
                <w:szCs w:val="18"/>
              </w:rPr>
              <w:t xml:space="preserve">Twelve months of hosting, database, bank-data API usage, Apple and Google developer accounts, and legal review of published policies.</w:t>
            </w:r>
          </w:p>
        </w:tc>
      </w:tr>
      <w:tr>
        <w:tc>
          <w:tcPr>
            <w:tcW w:type="dxa" w:w="3400"/>
            <w:tcBorders>
              <w:top w:val="single" w:color="D8D3E4" w:sz="6"/>
              <w:left w:val="none" w:color="FFFFFF" w:sz="0"/>
              <w:bottom w:val="single" w:color="D8D3E4" w:sz="6"/>
              <w:right w:val="none" w:color="FFFFFF" w:sz="0"/>
            </w:tcBorders>
            <w:shd w:fill="F7F5FB" w:color="auto" w:val="clear"/>
            <w:tcMar>
              <w:top w:type="dxa" w:w="70"/>
              <w:left w:type="dxa" w:w="110"/>
              <w:bottom w:type="dxa" w:w="70"/>
              <w:right w:type="dxa" w:w="110"/>
            </w:tcMar>
          </w:tcPr>
          <w:p>
            <w:pPr>
              <w:spacing w:after="0" w:line="230"/>
              <w:jc w:val="left"/>
            </w:pPr>
            <w:r>
              <w:rPr>
                <w:rFonts w:ascii="Calibri" w:cs="Calibri" w:eastAsia="Calibri" w:hAnsi="Calibri"/>
                <w:b/>
                <w:bCs/>
                <w:color w:val="1A1626"/>
                <w:sz w:val="18"/>
                <w:szCs w:val="18"/>
              </w:rPr>
              <w:t xml:space="preserve">Total</w:t>
            </w:r>
          </w:p>
        </w:tc>
        <w:tc>
          <w:tcPr>
            <w:tcW w:type="dxa" w:w="1500"/>
            <w:tcBorders>
              <w:top w:val="single" w:color="D8D3E4" w:sz="6"/>
              <w:left w:val="none" w:color="FFFFFF" w:sz="0"/>
              <w:bottom w:val="single" w:color="D8D3E4" w:sz="6"/>
              <w:right w:val="none" w:color="FFFFFF" w:sz="0"/>
            </w:tcBorders>
            <w:shd w:fill="F7F5FB" w:color="auto" w:val="clear"/>
            <w:tcMar>
              <w:top w:type="dxa" w:w="70"/>
              <w:left w:type="dxa" w:w="110"/>
              <w:bottom w:type="dxa" w:w="70"/>
              <w:right w:type="dxa" w:w="110"/>
            </w:tcMar>
          </w:tcPr>
          <w:p>
            <w:pPr>
              <w:spacing w:after="0" w:line="230"/>
              <w:jc w:val="right"/>
            </w:pPr>
            <w:r>
              <w:rPr>
                <w:rFonts w:ascii="Calibri" w:cs="Calibri" w:eastAsia="Calibri" w:hAnsi="Calibri"/>
                <w:b/>
                <w:bCs/>
                <w:color w:val="1A1626"/>
                <w:sz w:val="18"/>
                <w:szCs w:val="18"/>
              </w:rPr>
              <w:t xml:space="preserve">$30,000</w:t>
            </w:r>
          </w:p>
        </w:tc>
        <w:tc>
          <w:tcPr>
            <w:tcW w:type="dxa" w:w="4460"/>
            <w:tcBorders>
              <w:top w:val="single" w:color="D8D3E4" w:sz="6"/>
              <w:left w:val="none" w:color="FFFFFF" w:sz="0"/>
              <w:bottom w:val="single" w:color="D8D3E4" w:sz="6"/>
              <w:right w:val="none" w:color="FFFFFF" w:sz="0"/>
            </w:tcBorders>
            <w:shd w:fill="F7F5FB" w:color="auto" w:val="clear"/>
            <w:tcMar>
              <w:top w:type="dxa" w:w="70"/>
              <w:left w:type="dxa" w:w="110"/>
              <w:bottom w:type="dxa" w:w="70"/>
              <w:right w:type="dxa" w:w="110"/>
            </w:tcMar>
          </w:tcPr>
          <w:p>
            <w:pPr>
              <w:spacing w:after="0" w:line="230"/>
              <w:jc w:val="left"/>
            </w:pPr>
            <w:r>
              <w:rPr>
                <w:rFonts w:ascii="Calibri" w:cs="Calibri" w:eastAsia="Calibri" w:hAnsi="Calibri"/>
                <w:b/>
                <w:bCs/>
                <w:color w:val="1A1626"/>
                <w:sz w:val="18"/>
                <w:szCs w:val="18"/>
              </w:rPr>
              <w:t xml:space="preserve"/>
            </w:r>
          </w:p>
        </w:tc>
      </w:tr>
    </w:tbl>
    <w:p>
      <w:pPr>
        <w:spacing w:after="80" w:line="250"/>
      </w:pPr>
      <w:r>
        <w:rPr>
          <w:rFonts w:ascii="Calibri" w:cs="Calibri" w:eastAsia="Calibri" w:hAnsi="Calibri"/>
          <w:color w:val="1A1626"/>
          <w:sz w:val="19"/>
          <w:szCs w:val="19"/>
        </w:rPr>
        <w:t xml:space="preserve"/>
      </w:r>
    </w:p>
    <w:p>
      <w:pPr>
        <w:pBdr>
          <w:bottom w:val="single" w:color="4C1D95" w:sz="6"/>
        </w:pBdr>
        <w:spacing w:after="90" w:before="200"/>
      </w:pPr>
      <w:r>
        <w:rPr>
          <w:rFonts w:ascii="Calibri" w:cs="Calibri" w:eastAsia="Calibri" w:hAnsi="Calibri"/>
          <w:b/>
          <w:bCs/>
          <w:caps/>
          <w:color w:val="4C1D95"/>
          <w:spacing w:val="12"/>
          <w:sz w:val="22"/>
          <w:szCs w:val="22"/>
        </w:rPr>
        <w:t xml:space="preserve">7. Implementation plan — first 12 months</w:t>
      </w:r>
    </w:p>
    <w:p>
      <w:pPr>
        <w:pStyle w:val="ListParagraph"/>
        <w:numPr>
          <w:ilvl w:val="0"/>
          <w:numId w:val="2"/>
        </w:numPr>
        <w:spacing w:after="50" w:line="250"/>
      </w:pPr>
      <w:r>
        <w:rPr>
          <w:rFonts w:ascii="Calibri" w:cs="Calibri" w:eastAsia="Calibri" w:hAnsi="Calibri"/>
          <w:b/>
          <w:bCs/>
          <w:color w:val="1A1626"/>
          <w:sz w:val="19"/>
          <w:szCs w:val="19"/>
        </w:rPr>
        <w:t xml:space="preserve">Months 1–2. </w:t>
      </w:r>
      <w:r>
        <w:rPr>
          <w:rFonts w:ascii="Calibri" w:cs="Calibri" w:eastAsia="Calibri" w:hAnsi="Calibri"/>
          <w:b w:val="false"/>
          <w:bCs w:val="false"/>
          <w:color w:val="1A1626"/>
          <w:sz w:val="19"/>
          <w:szCs w:val="19"/>
        </w:rPr>
        <w:t xml:space="preserve">Form the studio LLC and complete processor onboarding so member funds can move in-app; submit and clear App Store and Google Play review; file trademark applications and the provisional patent before any public launch; complete copyright registrations.</w:t>
      </w:r>
    </w:p>
    <w:p>
      <w:pPr>
        <w:pStyle w:val="ListParagraph"/>
        <w:numPr>
          <w:ilvl w:val="0"/>
          <w:numId w:val="2"/>
        </w:numPr>
        <w:spacing w:after="50" w:line="250"/>
      </w:pPr>
      <w:r>
        <w:rPr>
          <w:rFonts w:ascii="Calibri" w:cs="Calibri" w:eastAsia="Calibri" w:hAnsi="Calibri"/>
          <w:b/>
          <w:bCs/>
          <w:color w:val="1A1626"/>
          <w:sz w:val="19"/>
          <w:szCs w:val="19"/>
        </w:rPr>
        <w:t xml:space="preserve">Months 3–5. </w:t>
      </w:r>
      <w:r>
        <w:rPr>
          <w:rFonts w:ascii="Calibri" w:cs="Calibri" w:eastAsia="Calibri" w:hAnsi="Calibri"/>
          <w:b w:val="false"/>
          <w:bCs w:val="false"/>
          <w:color w:val="1A1626"/>
          <w:sz w:val="19"/>
          <w:szCs w:val="19"/>
        </w:rPr>
        <w:t xml:space="preserve">Public launch. Run small, instrumented ad campaigns across at least three creative concepts and two channels; measure install → activation → paid conversion; kill what does not convert.</w:t>
      </w:r>
    </w:p>
    <w:p>
      <w:pPr>
        <w:pStyle w:val="ListParagraph"/>
        <w:numPr>
          <w:ilvl w:val="0"/>
          <w:numId w:val="2"/>
        </w:numPr>
        <w:spacing w:after="50" w:line="250"/>
      </w:pPr>
      <w:r>
        <w:rPr>
          <w:rFonts w:ascii="Calibri" w:cs="Calibri" w:eastAsia="Calibri" w:hAnsi="Calibri"/>
          <w:b/>
          <w:bCs/>
          <w:color w:val="1A1626"/>
          <w:sz w:val="19"/>
          <w:szCs w:val="19"/>
        </w:rPr>
        <w:t xml:space="preserve">Months 6–9. </w:t>
      </w:r>
      <w:r>
        <w:rPr>
          <w:rFonts w:ascii="Calibri" w:cs="Calibri" w:eastAsia="Calibri" w:hAnsi="Calibri"/>
          <w:b w:val="false"/>
          <w:bCs w:val="false"/>
          <w:color w:val="1A1626"/>
          <w:sz w:val="19"/>
          <w:szCs w:val="19"/>
        </w:rPr>
        <w:t xml:space="preserve">Scale the winning channel with the remaining budget. Ship what retention data demands. Publish the first verified figures on money reclaimed for members.</w:t>
      </w:r>
    </w:p>
    <w:p>
      <w:pPr>
        <w:pStyle w:val="ListParagraph"/>
        <w:numPr>
          <w:ilvl w:val="0"/>
          <w:numId w:val="2"/>
        </w:numPr>
        <w:spacing w:after="50" w:line="250"/>
      </w:pPr>
      <w:r>
        <w:rPr>
          <w:rFonts w:ascii="Calibri" w:cs="Calibri" w:eastAsia="Calibri" w:hAnsi="Calibri"/>
          <w:b/>
          <w:bCs/>
          <w:color w:val="1A1626"/>
          <w:sz w:val="19"/>
          <w:szCs w:val="19"/>
        </w:rPr>
        <w:t xml:space="preserve">Months 10–12. </w:t>
      </w:r>
      <w:r>
        <w:rPr>
          <w:rFonts w:ascii="Calibri" w:cs="Calibri" w:eastAsia="Calibri" w:hAnsi="Calibri"/>
          <w:b w:val="false"/>
          <w:bCs w:val="false"/>
          <w:color w:val="1A1626"/>
          <w:sz w:val="19"/>
          <w:szCs w:val="19"/>
        </w:rPr>
        <w:t xml:space="preserve">Reach contribution-positive operation; open card-issuing conversations; begin development of the next title on IP protection already secured.</w:t>
      </w:r>
    </w:p>
    <w:p>
      <w:pPr>
        <w:pBdr>
          <w:bottom w:val="single" w:color="4C1D95" w:sz="6"/>
        </w:pBdr>
        <w:spacing w:after="90" w:before="200"/>
      </w:pPr>
      <w:r>
        <w:rPr>
          <w:rFonts w:ascii="Calibri" w:cs="Calibri" w:eastAsia="Calibri" w:hAnsi="Calibri"/>
          <w:b/>
          <w:bCs/>
          <w:caps/>
          <w:color w:val="4C1D95"/>
          <w:spacing w:val="12"/>
          <w:sz w:val="22"/>
          <w:szCs w:val="22"/>
        </w:rPr>
        <w:t xml:space="preserve">8. Principal risks and how they are managed</w:t>
      </w:r>
    </w:p>
    <w:p>
      <w:pPr>
        <w:pStyle w:val="ListParagraph"/>
        <w:numPr>
          <w:ilvl w:val="0"/>
          <w:numId w:val="2"/>
        </w:numPr>
        <w:spacing w:after="50" w:line="250"/>
      </w:pPr>
      <w:r>
        <w:rPr>
          <w:rFonts w:ascii="Calibri" w:cs="Calibri" w:eastAsia="Calibri" w:hAnsi="Calibri"/>
          <w:b/>
          <w:bCs/>
          <w:color w:val="1A1626"/>
          <w:sz w:val="19"/>
          <w:szCs w:val="19"/>
        </w:rPr>
        <w:t xml:space="preserve">Acquisition cost exceeds lifetime value. </w:t>
      </w:r>
      <w:r>
        <w:rPr>
          <w:rFonts w:ascii="Calibri" w:cs="Calibri" w:eastAsia="Calibri" w:hAnsi="Calibri"/>
          <w:b w:val="false"/>
          <w:bCs w:val="false"/>
          <w:color w:val="1A1626"/>
          <w:sz w:val="19"/>
          <w:szCs w:val="19"/>
        </w:rPr>
        <w:t xml:space="preserve">The budget is deliberately spent in small instrumented tranches rather than one campaign, so an unprofitable channel is identified and stopped within weeks, not months. No tranche scales until its cost per paying member is measured.</w:t>
      </w:r>
    </w:p>
    <w:p>
      <w:pPr>
        <w:pStyle w:val="ListParagraph"/>
        <w:numPr>
          <w:ilvl w:val="0"/>
          <w:numId w:val="2"/>
        </w:numPr>
        <w:spacing w:after="50" w:line="250"/>
      </w:pPr>
      <w:r>
        <w:rPr>
          <w:rFonts w:ascii="Calibri" w:cs="Calibri" w:eastAsia="Calibri" w:hAnsi="Calibri"/>
          <w:b/>
          <w:bCs/>
          <w:color w:val="1A1626"/>
          <w:sz w:val="19"/>
          <w:szCs w:val="19"/>
        </w:rPr>
        <w:t xml:space="preserve">Platform and regulatory dependency. </w:t>
      </w:r>
      <w:r>
        <w:rPr>
          <w:rFonts w:ascii="Calibri" w:cs="Calibri" w:eastAsia="Calibri" w:hAnsi="Calibri"/>
          <w:b w:val="false"/>
          <w:bCs w:val="false"/>
          <w:color w:val="1A1626"/>
          <w:sz w:val="19"/>
          <w:szCs w:val="19"/>
        </w:rPr>
        <w:t xml:space="preserve">EZER depends on Apple, Google, and a bank-data provider. The compliance work most applicants leave until last — deletion, export, consent records, published policies — is already implemented and live, which is precisely what these reviews test.</w:t>
      </w:r>
    </w:p>
    <w:p>
      <w:pPr>
        <w:pStyle w:val="ListParagraph"/>
        <w:numPr>
          <w:ilvl w:val="0"/>
          <w:numId w:val="2"/>
        </w:numPr>
        <w:spacing w:after="50" w:line="250"/>
      </w:pPr>
      <w:r>
        <w:rPr>
          <w:rFonts w:ascii="Calibri" w:cs="Calibri" w:eastAsia="Calibri" w:hAnsi="Calibri"/>
          <w:b/>
          <w:bCs/>
          <w:color w:val="1A1626"/>
          <w:sz w:val="19"/>
          <w:szCs w:val="19"/>
        </w:rPr>
        <w:t xml:space="preserve">A larger competitor copies the concept. </w:t>
      </w:r>
      <w:r>
        <w:rPr>
          <w:rFonts w:ascii="Calibri" w:cs="Calibri" w:eastAsia="Calibri" w:hAnsi="Calibri"/>
          <w:b w:val="false"/>
          <w:bCs w:val="false"/>
          <w:color w:val="1A1626"/>
          <w:sz w:val="19"/>
          <w:szCs w:val="19"/>
        </w:rPr>
        <w:t xml:space="preserve">This is the argument for filing before launch rather than after. The trademark and patent spend in this plan exists to make the position defensible while the category is still thin.</w:t>
      </w:r>
    </w:p>
    <w:p>
      <w:pPr>
        <w:pStyle w:val="ListParagraph"/>
        <w:numPr>
          <w:ilvl w:val="0"/>
          <w:numId w:val="2"/>
        </w:numPr>
        <w:spacing w:after="50" w:line="250"/>
      </w:pPr>
      <w:r>
        <w:rPr>
          <w:rFonts w:ascii="Calibri" w:cs="Calibri" w:eastAsia="Calibri" w:hAnsi="Calibri"/>
          <w:b/>
          <w:bCs/>
          <w:color w:val="1A1626"/>
          <w:sz w:val="19"/>
          <w:szCs w:val="19"/>
        </w:rPr>
        <w:t xml:space="preserve">Solo-founder capacity. </w:t>
      </w:r>
      <w:r>
        <w:rPr>
          <w:rFonts w:ascii="Calibri" w:cs="Calibri" w:eastAsia="Calibri" w:hAnsi="Calibri"/>
          <w:b w:val="false"/>
          <w:bCs w:val="false"/>
          <w:color w:val="1A1626"/>
          <w:sz w:val="19"/>
          <w:szCs w:val="19"/>
        </w:rPr>
        <w:t xml:space="preserve">The engineering is done; the next twelve months are distribution and iteration, which one developer can carry. The first contract help is funded from revenue, not from this award.</w:t>
      </w:r>
    </w:p>
    <w:p>
      <w:pPr>
        <w:pBdr>
          <w:bottom w:val="single" w:color="4C1D95" w:sz="6"/>
        </w:pBdr>
        <w:spacing w:after="90" w:before="200"/>
      </w:pPr>
      <w:r>
        <w:rPr>
          <w:rFonts w:ascii="Calibri" w:cs="Calibri" w:eastAsia="Calibri" w:hAnsi="Calibri"/>
          <w:b/>
          <w:bCs/>
          <w:caps/>
          <w:color w:val="4C1D95"/>
          <w:spacing w:val="12"/>
          <w:sz w:val="22"/>
          <w:szCs w:val="22"/>
        </w:rPr>
        <w:t xml:space="preserve">9. Real-world impact</w:t>
      </w:r>
    </w:p>
    <w:p>
      <w:pPr>
        <w:spacing w:after="100" w:line="250"/>
      </w:pPr>
      <w:r>
        <w:rPr>
          <w:rFonts w:ascii="Calibri" w:cs="Calibri" w:eastAsia="Calibri" w:hAnsi="Calibri"/>
          <w:b w:val="false"/>
          <w:bCs w:val="false"/>
          <w:color w:val="1A1626"/>
          <w:sz w:val="19"/>
          <w:szCs w:val="19"/>
        </w:rPr>
        <w:t xml:space="preserve">For members, the impact is measured in a number the product itself reports: money reclaimed. Every intercepted trial and completed cancellation is cash returned to someone’s account, and EZER deliberately shows what that money becomes over ten years if redirected rather than leaked. The users hurt most by silent recurring charges are the ones with the least margin for them — students, early-career workers, and people without credit access — which is exactly who this product is built for.</w:t>
      </w:r>
    </w:p>
    <w:p>
      <w:pPr>
        <w:spacing w:after="100" w:line="250"/>
      </w:pPr>
      <w:r>
        <w:rPr>
          <w:rFonts w:ascii="Calibri" w:cs="Calibri" w:eastAsia="Calibri" w:hAnsi="Calibri"/>
          <w:b w:val="false"/>
          <w:bCs w:val="false"/>
          <w:color w:val="1A1626"/>
          <w:sz w:val="19"/>
          <w:szCs w:val="19"/>
        </w:rPr>
        <w:t xml:space="preserve">A working product used by real members also becomes the studio’s proof of competence — evidence that an independent developer can ship regulated, bank-connected consumer software to the same standard as a funded company.</w:t>
      </w:r>
    </w:p>
    <w:p>
      <w:pPr>
        <w:spacing w:after="60" w:line="250"/>
      </w:pPr>
      <w:r>
        <w:rPr>
          <w:rFonts w:ascii="Calibri" w:cs="Calibri" w:eastAsia="Calibri" w:hAnsi="Calibri"/>
          <w:b w:val="false"/>
          <w:bCs w:val="false"/>
          <w:color w:val="1A1626"/>
          <w:sz w:val="19"/>
          <w:szCs w:val="19"/>
        </w:rPr>
        <w:t xml:space="preserve">For the venture, this award is the difference between a finished application that nobody uses and a functioning business. It also establishes something durable: a protected intellectual-property base under which </w:t>
      </w:r>
      <w:r>
        <w:rPr>
          <w:rFonts w:ascii="Calibri" w:cs="Calibri" w:eastAsia="Calibri" w:hAnsi="Calibri"/>
          <w:b/>
          <w:bCs/>
          <w:color w:val="1A1626"/>
          <w:sz w:val="19"/>
          <w:szCs w:val="19"/>
        </w:rPr>
        <w:t xml:space="preserve">The Void</w:t>
      </w:r>
      <w:r>
        <w:rPr>
          <w:rFonts w:ascii="Calibri" w:cs="Calibri" w:eastAsia="Calibri" w:hAnsi="Calibri"/>
          <w:b w:val="false"/>
          <w:bCs w:val="false"/>
          <w:color w:val="1A1626"/>
          <w:sz w:val="19"/>
          <w:szCs w:val="19"/>
        </w:rPr>
        <w:t xml:space="preserve"> and </w:t>
      </w:r>
      <w:r>
        <w:rPr>
          <w:rFonts w:ascii="Calibri" w:cs="Calibri" w:eastAsia="Calibri" w:hAnsi="Calibri"/>
          <w:b/>
          <w:bCs/>
          <w:color w:val="1A1626"/>
          <w:sz w:val="19"/>
          <w:szCs w:val="19"/>
        </w:rPr>
        <w:t xml:space="preserve">The Realms</w:t>
      </w:r>
      <w:r>
        <w:rPr>
          <w:rFonts w:ascii="Calibri" w:cs="Calibri" w:eastAsia="Calibri" w:hAnsi="Calibri"/>
          <w:b w:val="false"/>
          <w:bCs w:val="false"/>
          <w:color w:val="1A1626"/>
          <w:sz w:val="19"/>
          <w:szCs w:val="19"/>
        </w:rPr>
        <w:t xml:space="preserve"> — a globe-based social app where every post is anchored to the place it is about rather than to its author’s location, and a series of narrative 3D worlds, the first set in the Niger Delta, about the human cost of oil extraction — can be built and released without re-litigating ownership of the studio’s name, code, and designs each time. Independent developers usually skip that step because they cannot afford it, and lose the work later. This plan funds it up front.</w:t>
      </w:r>
    </w:p>
    <w:p>
      <w:pPr>
        <w:pBdr>
          <w:top w:val="single" w:color="D8D3E4" w:sz="6"/>
        </w:pBdr>
        <w:spacing w:before="100"/>
      </w:pPr>
      <w:r>
        <w:rPr>
          <w:rFonts w:ascii="Calibri" w:cs="Calibri" w:eastAsia="Calibri" w:hAnsi="Calibri"/>
          <w:color w:val="5A5470"/>
          <w:sz w:val="17"/>
          <w:szCs w:val="17"/>
        </w:rPr>
        <w:t xml:space="preserve">Contact: [Your Full Name]  ·  [email]  ·  [phone]  ·  ezer.app</w:t>
      </w:r>
    </w:p>
    <w:sectPr>
      <w:pgSz w:w="12240" w:h="15840" w:orient="portrait"/>
      <w:pgMar w:top="863" w:right="1080" w:bottom="79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EZER — Business Plan</dc:title>
  <dc:creator>EZER</dc:creator>
  <cp:lastModifiedBy>Un-named</cp:lastModifiedBy>
  <cp:revision>1</cp:revision>
  <dcterms:created xsi:type="dcterms:W3CDTF">2026-09-23T17:14:49.929Z</dcterms:created>
  <dcterms:modified xsi:type="dcterms:W3CDTF">2026-09-23T17:14:49.949Z</dcterms:modified>
</cp:coreProperties>
</file>

<file path=docProps/custom.xml><?xml version="1.0" encoding="utf-8"?>
<Properties xmlns="http://schemas.openxmlformats.org/officeDocument/2006/custom-properties" xmlns:vt="http://schemas.openxmlformats.org/officeDocument/2006/docPropsVTypes"/>
</file>