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3462" w14:textId="1D29F943" w:rsidR="001819AE" w:rsidRDefault="00152534" w:rsidP="00152534">
      <w:pPr>
        <w:jc w:val="center"/>
        <w:rPr>
          <w:b/>
          <w:bCs/>
        </w:rPr>
      </w:pPr>
      <w:r w:rsidRPr="00152534">
        <w:rPr>
          <w:b/>
          <w:bCs/>
        </w:rPr>
        <w:t>Estimated Local Hospital Bed Utilization</w:t>
      </w:r>
    </w:p>
    <w:p w14:paraId="6E4C343D" w14:textId="4A4D40A4" w:rsidR="00152534" w:rsidRDefault="00152534" w:rsidP="00152534">
      <w:r>
        <w:t>This small brief will explain, and show the calculations and rational behind the discussed metric in the AFIT CHAD dashboard.</w:t>
      </w:r>
    </w:p>
    <w:p w14:paraId="10B5BD15" w14:textId="28C7F918" w:rsidR="00152534" w:rsidRDefault="00152534" w:rsidP="00152534">
      <w:pPr>
        <w:rPr>
          <w:b/>
          <w:bCs/>
        </w:rPr>
      </w:pPr>
      <w:r w:rsidRPr="00152534">
        <w:rPr>
          <w:b/>
          <w:bCs/>
        </w:rPr>
        <w:t>Data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50"/>
        <w:gridCol w:w="3200"/>
        <w:gridCol w:w="5235"/>
      </w:tblGrid>
      <w:tr w:rsidR="00152534" w14:paraId="04CCF020" w14:textId="77777777" w:rsidTr="00152534">
        <w:tc>
          <w:tcPr>
            <w:tcW w:w="1435" w:type="dxa"/>
          </w:tcPr>
          <w:p w14:paraId="110CF6D9" w14:textId="1B6BD9A0" w:rsidR="00152534" w:rsidRDefault="00152534" w:rsidP="00152534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239" w:type="dxa"/>
          </w:tcPr>
          <w:p w14:paraId="39669B1B" w14:textId="3A064285" w:rsidR="00152534" w:rsidRDefault="00152534" w:rsidP="00152534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5311" w:type="dxa"/>
          </w:tcPr>
          <w:p w14:paraId="65E45CE7" w14:textId="71F01086" w:rsidR="00152534" w:rsidRDefault="00152534" w:rsidP="00152534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152534" w14:paraId="0012672C" w14:textId="77777777" w:rsidTr="00152534">
        <w:tc>
          <w:tcPr>
            <w:tcW w:w="1435" w:type="dxa"/>
          </w:tcPr>
          <w:p w14:paraId="4524A5CF" w14:textId="7E9FDEED" w:rsidR="00152534" w:rsidRPr="00152534" w:rsidRDefault="00152534" w:rsidP="00152534">
            <w:r>
              <w:t>Hospital List</w:t>
            </w:r>
          </w:p>
        </w:tc>
        <w:tc>
          <w:tcPr>
            <w:tcW w:w="3239" w:type="dxa"/>
          </w:tcPr>
          <w:p w14:paraId="29F9DA28" w14:textId="00D907BA" w:rsidR="00152534" w:rsidRPr="00152534" w:rsidRDefault="00152534" w:rsidP="00152534">
            <w:r>
              <w:t xml:space="preserve">American Hospital Directory (AHD), </w:t>
            </w:r>
            <w:proofErr w:type="spellStart"/>
            <w:r>
              <w:t>Advana</w:t>
            </w:r>
            <w:proofErr w:type="spellEnd"/>
          </w:p>
        </w:tc>
        <w:tc>
          <w:tcPr>
            <w:tcW w:w="5311" w:type="dxa"/>
          </w:tcPr>
          <w:p w14:paraId="4A281DF7" w14:textId="2DF0EC19" w:rsidR="00152534" w:rsidRPr="00152534" w:rsidRDefault="00152534" w:rsidP="00152534">
            <w:r>
              <w:t xml:space="preserve">These sources contain the list for all hospitals in the US along with their locations, number of staffed beds, average historic utilization, </w:t>
            </w:r>
            <w:r w:rsidR="00FB3202">
              <w:t>total yearly patient discharges, total yearly patient days</w:t>
            </w:r>
          </w:p>
        </w:tc>
      </w:tr>
      <w:tr w:rsidR="00152534" w14:paraId="64358185" w14:textId="77777777" w:rsidTr="00152534">
        <w:tc>
          <w:tcPr>
            <w:tcW w:w="1435" w:type="dxa"/>
          </w:tcPr>
          <w:p w14:paraId="5D0CBFAD" w14:textId="57E678FC" w:rsidR="00152534" w:rsidRPr="00FB3202" w:rsidRDefault="00FB3202" w:rsidP="00152534">
            <w:r>
              <w:t>COVID Case Count</w:t>
            </w:r>
          </w:p>
        </w:tc>
        <w:tc>
          <w:tcPr>
            <w:tcW w:w="3239" w:type="dxa"/>
          </w:tcPr>
          <w:p w14:paraId="4D222EA2" w14:textId="690D8A02" w:rsidR="00152534" w:rsidRPr="00FB3202" w:rsidRDefault="00FB3202" w:rsidP="00152534">
            <w:proofErr w:type="spellStart"/>
            <w:r>
              <w:t>USAFacts</w:t>
            </w:r>
            <w:proofErr w:type="spellEnd"/>
          </w:p>
        </w:tc>
        <w:tc>
          <w:tcPr>
            <w:tcW w:w="5311" w:type="dxa"/>
          </w:tcPr>
          <w:p w14:paraId="18F0AD4F" w14:textId="7F301219" w:rsidR="00152534" w:rsidRPr="00FB3202" w:rsidRDefault="00FB3202" w:rsidP="00152534">
            <w:r>
              <w:t>Very widely used site that scrapes all the state health department’s websites to compile COVID cases and deaths each by county</w:t>
            </w:r>
          </w:p>
        </w:tc>
      </w:tr>
      <w:tr w:rsidR="00FF4CDD" w14:paraId="719A6448" w14:textId="77777777" w:rsidTr="00152534">
        <w:tc>
          <w:tcPr>
            <w:tcW w:w="1435" w:type="dxa"/>
          </w:tcPr>
          <w:p w14:paraId="685603D3" w14:textId="565971C6" w:rsidR="00FF4CDD" w:rsidRDefault="00FF4CDD" w:rsidP="00152534">
            <w:r>
              <w:t>County Age Demographics</w:t>
            </w:r>
          </w:p>
        </w:tc>
        <w:tc>
          <w:tcPr>
            <w:tcW w:w="3239" w:type="dxa"/>
          </w:tcPr>
          <w:p w14:paraId="46DDA884" w14:textId="6A5F01BF" w:rsidR="00FF4CDD" w:rsidRDefault="00FF4CDD" w:rsidP="00152534">
            <w:r>
              <w:t xml:space="preserve">Census Bureau </w:t>
            </w:r>
          </w:p>
        </w:tc>
        <w:tc>
          <w:tcPr>
            <w:tcW w:w="5311" w:type="dxa"/>
          </w:tcPr>
          <w:p w14:paraId="4096BB40" w14:textId="179AE68E" w:rsidR="00FF4CDD" w:rsidRDefault="00FF4CDD" w:rsidP="00152534">
            <w:r>
              <w:t>Age demographics for every county for up to 2018 estimat</w:t>
            </w:r>
            <w:r w:rsidR="00791458">
              <w:t>ion</w:t>
            </w:r>
          </w:p>
        </w:tc>
      </w:tr>
      <w:tr w:rsidR="00791458" w14:paraId="33643C84" w14:textId="77777777" w:rsidTr="00152534">
        <w:tc>
          <w:tcPr>
            <w:tcW w:w="1435" w:type="dxa"/>
          </w:tcPr>
          <w:p w14:paraId="6CDF18B5" w14:textId="2CB78E03" w:rsidR="00791458" w:rsidRDefault="00791458" w:rsidP="00152534">
            <w:r>
              <w:t>Hospitalization Rates</w:t>
            </w:r>
          </w:p>
        </w:tc>
        <w:tc>
          <w:tcPr>
            <w:tcW w:w="3239" w:type="dxa"/>
          </w:tcPr>
          <w:p w14:paraId="45C3DB1A" w14:textId="562A1A1F" w:rsidR="00791458" w:rsidRDefault="00791458" w:rsidP="00152534">
            <w:r>
              <w:t xml:space="preserve">NYC </w:t>
            </w:r>
            <w:r>
              <w:t>Department of Health and Mental Hygiene</w:t>
            </w:r>
          </w:p>
        </w:tc>
        <w:tc>
          <w:tcPr>
            <w:tcW w:w="5311" w:type="dxa"/>
          </w:tcPr>
          <w:p w14:paraId="05B95E53" w14:textId="113F35B6" w:rsidR="00791458" w:rsidRDefault="00791458" w:rsidP="00152534">
            <w:r>
              <w:t>Hospitalization rates for age groups in NYC</w:t>
            </w:r>
          </w:p>
        </w:tc>
      </w:tr>
    </w:tbl>
    <w:p w14:paraId="42FFC7FA" w14:textId="607E7546" w:rsidR="00152534" w:rsidRPr="00FB3202" w:rsidRDefault="00152534" w:rsidP="00152534">
      <w:pPr>
        <w:rPr>
          <w:b/>
          <w:bCs/>
        </w:rPr>
      </w:pPr>
    </w:p>
    <w:p w14:paraId="615157C6" w14:textId="347F1D74" w:rsidR="00FB3202" w:rsidRDefault="00FB3202" w:rsidP="0035387D">
      <w:pPr>
        <w:pStyle w:val="ListParagraph"/>
        <w:numPr>
          <w:ilvl w:val="0"/>
          <w:numId w:val="1"/>
        </w:numPr>
        <w:ind w:left="360"/>
      </w:pPr>
      <w:r>
        <w:t>Data taken from state health departments are the best available representation of case counts</w:t>
      </w:r>
    </w:p>
    <w:p w14:paraId="0B99AC1B" w14:textId="77777777" w:rsidR="0035387D" w:rsidRDefault="0035387D" w:rsidP="0035387D">
      <w:pPr>
        <w:pStyle w:val="ListParagraph"/>
        <w:ind w:left="360"/>
      </w:pPr>
    </w:p>
    <w:p w14:paraId="104E4087" w14:textId="2FA7114D" w:rsidR="0035387D" w:rsidRDefault="00FB3202" w:rsidP="0035387D">
      <w:pPr>
        <w:pStyle w:val="ListParagraph"/>
        <w:numPr>
          <w:ilvl w:val="0"/>
          <w:numId w:val="1"/>
        </w:numPr>
        <w:ind w:left="360"/>
      </w:pPr>
      <w:r>
        <w:t xml:space="preserve">Hospital’s average utilization </w:t>
      </w:r>
      <w:r w:rsidR="0035387D">
        <w:t>could go down during this pandemic as nonessential medical care is not being treated (hospital networks establish what is non-essential to a degree). This possible decrease is not being represented in the calculation since an overestimation of hospital utilization is safer than an underestimation</w:t>
      </w:r>
      <w:r w:rsidR="00FF4CDD">
        <w:t>.</w:t>
      </w:r>
      <w:r w:rsidR="0035387D">
        <w:t xml:space="preserve"> </w:t>
      </w:r>
    </w:p>
    <w:p w14:paraId="00C420A3" w14:textId="77777777" w:rsidR="006A6290" w:rsidRDefault="006A6290" w:rsidP="006A6290">
      <w:pPr>
        <w:pStyle w:val="ListParagraph"/>
      </w:pPr>
    </w:p>
    <w:p w14:paraId="374F8593" w14:textId="7733A1F9" w:rsidR="006A6290" w:rsidRDefault="006A6290" w:rsidP="0035387D">
      <w:pPr>
        <w:pStyle w:val="ListParagraph"/>
        <w:numPr>
          <w:ilvl w:val="0"/>
          <w:numId w:val="1"/>
        </w:numPr>
        <w:ind w:left="360"/>
      </w:pPr>
      <w:r>
        <w:t>Hospitals do not record their daily bed use and report it every day. It is reported as an average every quarter to Medicare based on discharged patients and patient days.</w:t>
      </w:r>
    </w:p>
    <w:p w14:paraId="6CF98FBB" w14:textId="256E76DF" w:rsidR="00FB3202" w:rsidRDefault="00FB3202" w:rsidP="0035387D">
      <w:pPr>
        <w:pStyle w:val="ListParagraph"/>
        <w:ind w:left="360"/>
      </w:pPr>
    </w:p>
    <w:p w14:paraId="71097226" w14:textId="0BC2EFA1" w:rsidR="0035387D" w:rsidRDefault="00FF4CDD" w:rsidP="0035387D">
      <w:pPr>
        <w:pStyle w:val="ListParagraph"/>
        <w:numPr>
          <w:ilvl w:val="0"/>
          <w:numId w:val="1"/>
        </w:numPr>
        <w:ind w:left="360"/>
      </w:pPr>
      <w:r>
        <w:t>Hospital</w:t>
      </w:r>
      <w:r w:rsidR="00791458">
        <w:t xml:space="preserve"> bed counts are </w:t>
      </w:r>
      <w:r>
        <w:t>limited to General Acute Care and Critical Access</w:t>
      </w:r>
      <w:r w:rsidR="00791458">
        <w:t xml:space="preserve"> type hospitals</w:t>
      </w:r>
      <w:r>
        <w:t>. These are the hospitals that will treat COVID patients</w:t>
      </w:r>
      <w:r w:rsidR="00791458">
        <w:t xml:space="preserve"> and have the equipment</w:t>
      </w:r>
      <w:r>
        <w:t>. General Acute Care is your “standard” type of hospital and makes up &gt;65% of all hospitals in the US.</w:t>
      </w:r>
    </w:p>
    <w:p w14:paraId="66D694DB" w14:textId="77777777" w:rsidR="00FF4CDD" w:rsidRDefault="00FF4CDD" w:rsidP="00FF4CDD">
      <w:pPr>
        <w:pStyle w:val="ListParagraph"/>
      </w:pPr>
    </w:p>
    <w:p w14:paraId="7666F51F" w14:textId="22180564" w:rsidR="00FF4CDD" w:rsidRDefault="00FF4CDD" w:rsidP="0035387D">
      <w:pPr>
        <w:pStyle w:val="ListParagraph"/>
        <w:numPr>
          <w:ilvl w:val="0"/>
          <w:numId w:val="1"/>
        </w:numPr>
        <w:ind w:left="360"/>
      </w:pPr>
      <w:r>
        <w:t xml:space="preserve">Average hospital </w:t>
      </w:r>
      <w:proofErr w:type="gramStart"/>
      <w:r>
        <w:t>stay</w:t>
      </w:r>
      <w:proofErr w:type="gramEnd"/>
      <w:r>
        <w:t xml:space="preserve"> for COVID estimated to be 5 days (similar to simple pneumonia), and 7 days in the ICU (extensive pneumonia). Sourced from CDC and Medicare.</w:t>
      </w:r>
    </w:p>
    <w:p w14:paraId="4C2B8BB9" w14:textId="77777777" w:rsidR="00FF4CDD" w:rsidRDefault="00FF4CDD" w:rsidP="00FF4CDD">
      <w:pPr>
        <w:pStyle w:val="ListParagraph"/>
      </w:pPr>
    </w:p>
    <w:p w14:paraId="0E938394" w14:textId="40FC51BF" w:rsidR="00FF4CDD" w:rsidRDefault="00FF4CDD" w:rsidP="0035387D">
      <w:pPr>
        <w:pStyle w:val="ListParagraph"/>
        <w:numPr>
          <w:ilvl w:val="0"/>
          <w:numId w:val="1"/>
        </w:numPr>
        <w:ind w:left="360"/>
      </w:pPr>
      <w:r>
        <w:t xml:space="preserve">Hospitalization rates taken from NYC </w:t>
      </w:r>
      <w:r w:rsidR="00791458">
        <w:t>D</w:t>
      </w:r>
      <w:r>
        <w:t xml:space="preserve">epartment of </w:t>
      </w:r>
      <w:r w:rsidR="00791458">
        <w:t>H</w:t>
      </w:r>
      <w:r>
        <w:t xml:space="preserve">ealth and </w:t>
      </w:r>
      <w:r w:rsidR="00791458">
        <w:t>M</w:t>
      </w:r>
      <w:r>
        <w:t xml:space="preserve">ental </w:t>
      </w:r>
      <w:r w:rsidR="00791458">
        <w:t>H</w:t>
      </w:r>
      <w:r>
        <w:t>ygiene. NYC has the most cases in America and most countries. The large sample size allows a better picture of hospitalization rates among age groups. NYC is also the most diverse city in this country, therefore representing the best picture of hospitalization rates against “confirmed cases”.</w:t>
      </w:r>
    </w:p>
    <w:p w14:paraId="5D86966E" w14:textId="77777777" w:rsidR="00791458" w:rsidRDefault="00791458" w:rsidP="00791458">
      <w:pPr>
        <w:pStyle w:val="ListParagraph"/>
      </w:pPr>
    </w:p>
    <w:p w14:paraId="4C4FF5D3" w14:textId="77777777" w:rsidR="003C3D5D" w:rsidRDefault="003C3D5D" w:rsidP="00791458">
      <w:pPr>
        <w:rPr>
          <w:b/>
          <w:bCs/>
        </w:rPr>
      </w:pPr>
    </w:p>
    <w:p w14:paraId="543DCBBC" w14:textId="77777777" w:rsidR="003C3D5D" w:rsidRDefault="003C3D5D" w:rsidP="00791458">
      <w:pPr>
        <w:rPr>
          <w:b/>
          <w:bCs/>
        </w:rPr>
      </w:pPr>
    </w:p>
    <w:p w14:paraId="2AD8E2EE" w14:textId="32968A20" w:rsidR="00791458" w:rsidRDefault="00791458" w:rsidP="00791458">
      <w:pPr>
        <w:rPr>
          <w:b/>
          <w:bCs/>
        </w:rPr>
      </w:pPr>
      <w:r>
        <w:rPr>
          <w:b/>
          <w:bCs/>
        </w:rPr>
        <w:lastRenderedPageBreak/>
        <w:t>Methodology</w:t>
      </w:r>
    </w:p>
    <w:p w14:paraId="458CCEA4" w14:textId="3F39744B" w:rsidR="00791458" w:rsidRDefault="00791458" w:rsidP="00791458">
      <w:r>
        <w:t>The first thing to establish is estimated hospitalization rates by county. Below is a table of the NYC age group brackets for hospitalization rates and the Census Bureau’s age groups for population. These were grouped as follows</w:t>
      </w:r>
      <w:r w:rsidR="00964DC9">
        <w:t>, with the colors corresponding to matching age group buckets</w:t>
      </w:r>
      <w:r>
        <w:t>:</w:t>
      </w:r>
    </w:p>
    <w:p w14:paraId="5593614E" w14:textId="1A6947A4" w:rsidR="00791458" w:rsidRDefault="00464223" w:rsidP="00464223">
      <w:r>
        <w:rPr>
          <w:noProof/>
        </w:rPr>
        <w:drawing>
          <wp:anchor distT="0" distB="0" distL="114300" distR="114300" simplePos="0" relativeHeight="251658240" behindDoc="1" locked="0" layoutInCell="1" allowOverlap="1" wp14:anchorId="5BFFA160" wp14:editId="5A5ACFB0">
            <wp:simplePos x="0" y="0"/>
            <wp:positionH relativeFrom="column">
              <wp:posOffset>3790950</wp:posOffset>
            </wp:positionH>
            <wp:positionV relativeFrom="paragraph">
              <wp:posOffset>689610</wp:posOffset>
            </wp:positionV>
            <wp:extent cx="1619986" cy="1906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86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DC9">
        <w:rPr>
          <w:noProof/>
        </w:rPr>
        <w:drawing>
          <wp:inline distT="0" distB="0" distL="0" distR="0" wp14:anchorId="2810BF19" wp14:editId="73A673C1">
            <wp:extent cx="2400300" cy="31157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544" cy="3145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6271B" w14:textId="4CC6F872" w:rsidR="00964DC9" w:rsidRDefault="00964DC9" w:rsidP="00964DC9"/>
    <w:p w14:paraId="08360BC1" w14:textId="7DF0C3CB" w:rsidR="00964DC9" w:rsidRPr="00791458" w:rsidRDefault="00964DC9" w:rsidP="00964DC9">
      <w:r>
        <w:t xml:space="preserve">With the census information grouped into 5 age buckets, each county’s </w:t>
      </w:r>
      <w:r w:rsidR="00C47723">
        <w:t>age group percent</w:t>
      </w:r>
      <w:r w:rsidR="005A7080">
        <w:t xml:space="preserve"> (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A7080">
        <w:rPr>
          <w:rFonts w:eastAsiaTheme="minorEastAsia"/>
        </w:rPr>
        <w:t>)</w:t>
      </w:r>
      <w:r w:rsidR="00C47723">
        <w:t xml:space="preserve"> was multiplied against the</w:t>
      </w:r>
      <w:r w:rsidR="00890CF5">
        <w:t>ir respective</w:t>
      </w:r>
      <w:r w:rsidR="00C47723">
        <w:t xml:space="preserve"> hospitalization rates </w:t>
      </w:r>
      <w:r w:rsidR="005A7080">
        <w:t>(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7080">
        <w:t xml:space="preserve">) </w:t>
      </w:r>
      <w:r w:rsidR="00C47723">
        <w:t>and summed up to develop a</w:t>
      </w:r>
      <w:r w:rsidR="005A7080">
        <w:t>n overall</w:t>
      </w:r>
      <w:r w:rsidR="00C47723">
        <w:t xml:space="preserve"> weighted average hospitalization rate in each county</w:t>
      </w:r>
      <w:r w:rsidR="005A708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A7080">
        <w:t>)</w:t>
      </w:r>
      <w:r w:rsidR="006A6290">
        <w:t xml:space="preserve"> where </w:t>
      </w:r>
      <m:oMath>
        <m:r>
          <w:rPr>
            <w:rFonts w:ascii="Cambria Math" w:hAnsi="Cambria Math"/>
          </w:rPr>
          <m:t>i</m:t>
        </m:r>
      </m:oMath>
      <w:r w:rsidR="006A6290">
        <w:rPr>
          <w:rFonts w:eastAsiaTheme="minorEastAsia"/>
        </w:rPr>
        <w:t xml:space="preserve"> is each age group and </w:t>
      </w:r>
      <m:oMath>
        <m:r>
          <w:rPr>
            <w:rFonts w:ascii="Cambria Math" w:eastAsiaTheme="minorEastAsia" w:hAnsi="Cambria Math"/>
          </w:rPr>
          <m:t>j</m:t>
        </m:r>
      </m:oMath>
      <w:r w:rsidR="006A6290">
        <w:rPr>
          <w:rFonts w:eastAsiaTheme="minorEastAsia"/>
        </w:rPr>
        <w:t xml:space="preserve"> is each county.</w:t>
      </w:r>
    </w:p>
    <w:p w14:paraId="3E63B654" w14:textId="1A63314C" w:rsidR="00791458" w:rsidRPr="00791458" w:rsidRDefault="005A7080" w:rsidP="007914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)(H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4F136B9" w14:textId="409FEDDE" w:rsidR="00152534" w:rsidRDefault="00890CF5">
      <w:r>
        <w:t>The next thing needed is the confirmed cases for each county (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 xml:space="preserve">), where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the county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day</w:t>
      </w:r>
      <w:r>
        <w:t xml:space="preserve">. This is taken from </w:t>
      </w:r>
      <w:proofErr w:type="spellStart"/>
      <w:r>
        <w:t>USAFacts</w:t>
      </w:r>
      <w:proofErr w:type="spellEnd"/>
      <w:r>
        <w:t xml:space="preserve"> and filtered for each county in the selected radius. </w:t>
      </w:r>
    </w:p>
    <w:p w14:paraId="0E0E0F0D" w14:textId="740F7E5B" w:rsidR="00890CF5" w:rsidRDefault="00890CF5">
      <w:r>
        <w:t xml:space="preserve">To estimate daily hospital utilization (different from new daily hospitalizations), we use the </w:t>
      </w:r>
      <w:r w:rsidR="00B61D10">
        <w:t>cumulative current cases for each county, and subtract the cumulative cases from 7 days ago.</w:t>
      </w:r>
      <w:r>
        <w:t xml:space="preserve"> This is to account for patients that have entered the hospital in the last 7 days and may be still</w:t>
      </w:r>
      <w:r w:rsidR="00B61D10">
        <w:t xml:space="preserve"> there, since they will still be occupying a bed. </w:t>
      </w:r>
      <w:r>
        <w:t xml:space="preserve"> </w:t>
      </w:r>
      <w:r w:rsidR="00B61D10">
        <w:t>7 days was used over 5 for the safety of overestimating and accounting for lack of data. Therefore, the current hospital utilization</w:t>
      </w:r>
      <w:r w:rsidR="003C3D5D">
        <w:t xml:space="preserve"> (</w:t>
      </w:r>
      <m:oMath>
        <m:r>
          <w:rPr>
            <w:rFonts w:ascii="Cambria Math" w:hAnsi="Cambria Math"/>
          </w:rPr>
          <m:t>U</m:t>
        </m:r>
      </m:oMath>
      <w:r w:rsidR="003C3D5D">
        <w:t>)</w:t>
      </w:r>
      <w:r w:rsidR="00B61D10">
        <w:t xml:space="preserve"> is calculated as follows:</w:t>
      </w:r>
    </w:p>
    <w:p w14:paraId="643CFC0D" w14:textId="15A1F4F2" w:rsidR="00B61D10" w:rsidRPr="003C3D5D" w:rsidRDefault="003C3D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jt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j(t-7)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HB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90F9813" w14:textId="361522A3" w:rsidR="003C3D5D" w:rsidRDefault="003C3D5D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average utilization of the hospital beds in that area, and </w:t>
      </w:r>
      <m:oMath>
        <m:r>
          <w:rPr>
            <w:rFonts w:ascii="Cambria Math" w:eastAsiaTheme="minorEastAsia" w:hAnsi="Cambria Math"/>
          </w:rPr>
          <m:t>HB</m:t>
        </m:r>
      </m:oMath>
      <w:r>
        <w:rPr>
          <w:rFonts w:eastAsiaTheme="minorEastAsia"/>
        </w:rPr>
        <w:t xml:space="preserve"> is the total staffed hospital beds in the area.</w:t>
      </w:r>
    </w:p>
    <w:p w14:paraId="3AE8B8AF" w14:textId="77777777" w:rsidR="00152534" w:rsidRDefault="00152534"/>
    <w:sectPr w:rsidR="0015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238C"/>
    <w:multiLevelType w:val="hybridMultilevel"/>
    <w:tmpl w:val="3E0A8FA2"/>
    <w:lvl w:ilvl="0" w:tplc="D8BE8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4"/>
    <w:rsid w:val="00152534"/>
    <w:rsid w:val="0035387D"/>
    <w:rsid w:val="003C3D5D"/>
    <w:rsid w:val="00454697"/>
    <w:rsid w:val="00464223"/>
    <w:rsid w:val="005A7080"/>
    <w:rsid w:val="006A6290"/>
    <w:rsid w:val="00791458"/>
    <w:rsid w:val="00890CF5"/>
    <w:rsid w:val="00964DC9"/>
    <w:rsid w:val="009D7E13"/>
    <w:rsid w:val="009F2A9E"/>
    <w:rsid w:val="00B61D10"/>
    <w:rsid w:val="00C42F44"/>
    <w:rsid w:val="00C47723"/>
    <w:rsid w:val="00E22003"/>
    <w:rsid w:val="00FB320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E9B5"/>
  <w15:chartTrackingRefBased/>
  <w15:docId w15:val="{F0794349-9BD3-4494-BCF4-F0997867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2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Alarcon</dc:creator>
  <cp:keywords/>
  <dc:description/>
  <cp:lastModifiedBy>Garrett Alarcon</cp:lastModifiedBy>
  <cp:revision>2</cp:revision>
  <dcterms:created xsi:type="dcterms:W3CDTF">2020-04-10T22:27:00Z</dcterms:created>
  <dcterms:modified xsi:type="dcterms:W3CDTF">2020-04-11T01:21:00Z</dcterms:modified>
</cp:coreProperties>
</file>