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5.14 两个模型说的不是同一个名字</w:t>
      </w:r>
    </w:p>
    <w:p>
      <w:r>
        <w:t xml:space="preserve">认物品的模型和查单价的模型必须说同一个名字。视觉说香蕉、文本说苹果时，电脑不计价，也不回 display_result，文本里的单价也不会被拿来用。两边都说香蕉时，仍然是 326.4 克对应 3.92 元。这一步不联网。单片机不用改协议；只是有时重量已经稳定，电脑也不会回价格。</w:t>
      </w:r>
    </w:p>
    <w:p>
      <w:r>
        <w:t xml:space="preserve">命令是 scripts/run_label_guard.ps1。应看到 priced: no、reason: label mismatch、vision_label: banana 和 text_label: apple。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