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6-1 Incremental Explanatory Power of LTO and IVR within the 55-Country Core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6"/>
        <w:gridCol w:w="1151"/>
        <w:gridCol w:w="1151"/>
        <w:gridCol w:w="1551"/>
        <w:gridCol w:w="1551"/>
        <w:gridCol w:w="995"/>
        <w:gridCol w:w="951"/>
        <w:gridCol w:w="751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Aesthetic 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(4-dim)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(6-dim)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 R² (4-dim)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 R² (6-dim)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F(2, 48)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 (Energetic and Upbeat)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 (Rhythmic-Live vs. Vocal-Studio)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 (Instrumental Purity)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Four-dimension models include PDI, IDV, MAS and UAI; six-dimension models additionally include LTO and IVR. Nested F-tests compare the six-dimension against the four-dimension specification (df = 2, 48) within the 55-country sample, without GDP control. * p&lt;0.05, ** p&lt;0.01, *** p&lt;0.001.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2026-09-11T21:30:51Z</dcterms:modified>
  <cp:category/>
</cp:coreProperties>
</file>