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5-2 Factor Loading Matrix of Principal Components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32"/>
        <w:gridCol w:w="1440"/>
        <w:gridCol w:w="1440"/>
        <w:gridCol w:w="144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Audio 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Energy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-0.385***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Loudness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-0.311**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Danceability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-0.493***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-0.244*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Speechiness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0.554***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0.442***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Acousticness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-0.338**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Instrumentalness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-0.448***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0.765***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* p&lt;0.05, ** p&lt;0.01, *** p&lt;0.001; ns = not significant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2026-09-11T17:48:44Z</dcterms:modified>
  <cp:category/>
</cp:coreProperties>
</file>