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5-3 ANOVA Results for Cultural Dimension Differences Across Clusters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0"/>
        <w:gridCol w:w="1251"/>
        <w:gridCol w:w="1029"/>
        <w:gridCol w:w="1106"/>
        <w:gridCol w:w="907"/>
        <w:gridCol w:w="1329"/>
      </w:tblGrid>
      <w:tr>
        <w:trPr>
          <w:trHeight w:val="4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Cultural Dimension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 Between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 Within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F-statistic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Significance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Power Distance (PDI)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Individualism (IDV)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Masculinity (MAS)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Uncertainty Avoidance (UAI)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Long-Term Orientation (LTO)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Indulgence (IVR)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* p&lt;0.05, ** p&lt;0.01, *** p&lt;0.001; ns = not significant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2026-09-11T17:48:45Z</dcterms:modified>
  <cp:category/>
</cp:coreProperties>
</file>