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5-4 Nested Regression Results for PC1 (Energetic and Upbeat Aesthetic Factor)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656"/>
        <w:gridCol w:w="1325"/>
        <w:gridCol w:w="1325"/>
        <w:gridCol w:w="1325"/>
        <w:gridCol w:w="1325"/>
      </w:tblGrid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 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Model 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(60, no GDP)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Model 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(60, GDP)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Model 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(55, no GDP)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Model 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(55, GDP)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-4.690**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-7.483*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-6.096*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-8.571*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(1.729)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(3.572)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(2.321)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(3.428)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PDI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-0.005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-0.001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-0.008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-0.004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(0.015)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(0.016)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(0.017)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(0.017)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IDV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0.016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(0.014)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(0.015)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(0.016)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(0.016)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MAS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0.002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(0.009)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(0.009)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(0.010)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(0.010)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UAI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0.059***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0.059***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0.061***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0.062***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(0.011)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(0.011)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(0.011)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(0.011)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log GDPpc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0.279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0.292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(0.298)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(0.284)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LTO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-0.004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(0.014)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(0.015)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IVR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0.023†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0.020†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(0.012)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(0.012)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Observations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55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R²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0.385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0.396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0.503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0.513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Adjusted R²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0.340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0.341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0.440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0.441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AIC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240.1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241.0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214.2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215.0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BIC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252.7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255.7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230.2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233.0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RMSE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1.62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1.60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1.47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1.45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Note: Robust standard errors in parentheses; † p&lt;0.1, * p&lt;0.05, ** p&lt;0.01, *** p&lt;0.001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2026-09-11T17:48:47Z</dcterms:modified>
  <cp:category/>
</cp:coreProperties>
</file>