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5-5 Nested Regression Results for PC2 (Rhythmic-Live vs. Vocal-Studio Differentiation Factor)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6"/>
        <w:gridCol w:w="1325"/>
        <w:gridCol w:w="1325"/>
        <w:gridCol w:w="1325"/>
        <w:gridCol w:w="1325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(60, no GDP)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(60, GDP)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(55, no GDP)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Model 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(55, GDP)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1.468†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-4.228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-0.673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-4.639†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(0.874)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(2.552)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(1.750)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(2.666)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PDI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IDV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-0.025**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-0.023*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UAI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-0.011†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-0.010†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-0.010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log GDPpc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0.569*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0.468†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(0.224)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(0.238)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LTO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0.021*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IVR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0.012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(0.009)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0.248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Adjusted 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0.136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206.4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199.4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191.6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188.7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207.6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206.8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RMSE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1.14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Note: Robust standard errors in parentheses; † p&lt;0.1, * p&lt;0.05, ** p&lt;0.01, *** p&lt;0.001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2026-09-11T17:48:48Z</dcterms:modified>
  <cp:category/>
</cp:coreProperties>
</file>