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5-6 Nested Regression Results for PC3 (Instrumental Purity Aesthetic Factor)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325"/>
        <w:gridCol w:w="1325"/>
        <w:gridCol w:w="1325"/>
        <w:gridCol w:w="1325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(60, no GDP)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(60, GDP)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(55, no GDP)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(55, GDP)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-1.527*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-3.277*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-1.455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-2.184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(0.630)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(1.501)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(1.100)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(2.202)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IDV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0.018*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UAI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log GDPpc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(0.196)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IVR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Adjusted 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172.2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172.8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152.8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154.5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184.7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187.4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172.6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Note: Robust standard errors in parentheses; † p&lt;0.1, * p&lt;0.05, ** p&lt;0.01, *** p&lt;0.001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2026-09-11T17:48:49Z</dcterms:modified>
  <cp:category/>
</cp:coreProperties>
</file>