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5-7 Variance Inflation Factor Summary for Regression Predictors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006"/>
        <w:gridCol w:w="1006"/>
        <w:gridCol w:w="1006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 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 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 VIF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Power Distance (PDI)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2.19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Individualism (IDV)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Masculinity (MAS)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Uncertainty Avoidance (UAI)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Orientation (LTO)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Indulgence (IVR)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 GDPpc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VIF values are reported for the six-dimension models with GDP control. All values are below the conventional threshold of 10, indicating no severe multicollinearity.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2026-09-11T17:48:49Z</dcterms:modified>
  <cp:category/>
</cp:coreProperties>
</file>