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Descriptive Statistics and Fraud Class Distribution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dataset contains 101,322 cross-border transactions with 12 features including transaction amount, sender and receiver bank locations, and payment type. Descriptive statistical analysis was performed to summarize the numerical variables such as transaction amount. The fraud class distribution was analyzed using the Is_laundering variable, which represents whether a transaction is fraudulent or legitimate. The dataset is highly imbalanced, with approximately 99.77% legitimate transactions and 0.23% fraudulent transactions.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