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FF084">
      <w:pPr>
        <w:jc w:val="center"/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Bold" w:hAnsi="Kaiti SC Bold" w:eastAsia="Kaiti SC Bold" w:cs="Kaiti SC Bold"/>
          <w:b/>
          <w:bCs/>
          <w:sz w:val="40"/>
          <w:szCs w:val="40"/>
        </w:rPr>
        <w:t>巴拿马市场研究及物流、贸易政策详解</w:t>
      </w:r>
    </w:p>
    <w:p w14:paraId="34B83158">
      <w:pPr>
        <w:rPr>
          <w:rFonts w:hint="eastAsia" w:ascii="Kaiti SC Bold" w:hAnsi="Kaiti SC Bold" w:eastAsia="Kaiti SC Bold" w:cs="Kaiti SC Bold"/>
          <w:b/>
          <w:bCs/>
          <w:sz w:val="28"/>
          <w:szCs w:val="36"/>
        </w:rPr>
      </w:pPr>
      <w:r>
        <w:rPr>
          <w:rFonts w:hint="eastAsia" w:ascii="Kaiti SC Bold" w:hAnsi="Kaiti SC Bold" w:eastAsia="Kaiti SC Bold" w:cs="Kaiti SC Bold"/>
          <w:b/>
          <w:bCs/>
          <w:sz w:val="28"/>
          <w:szCs w:val="36"/>
        </w:rPr>
        <w:t>一、国家基础概况</w:t>
      </w:r>
    </w:p>
    <w:p w14:paraId="29B8E122">
      <w:pPr>
        <w:rPr>
          <w:rFonts w:hint="eastAsia" w:ascii="Kaiti SC Bold" w:hAnsi="Kaiti SC Bold" w:eastAsia="Kaiti SC Bold" w:cs="Kaiti SC Bold"/>
          <w:b/>
          <w:bCs/>
          <w:sz w:val="22"/>
          <w:szCs w:val="28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</w:rPr>
        <w:t>（一）地理与气候</w:t>
      </w:r>
    </w:p>
    <w:p w14:paraId="70914A00">
      <w:pPr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巴拿马位于中美洲东南部，经纬度范围大致为北纬7°-10°、西经77°-83°，北临加勒比海，南濒太平洋，东连哥伦比亚，西接哥斯达黎加，国土面积约7.55万平方公里，是连接南美洲和北美洲的关键枢纽。境内地形以山地、高原为主，占国土面积的70%以上，中部的巴拿马运河贯穿国土，将国家分为南北两部分，运河区地势相对低洼平坦。</w:t>
      </w:r>
    </w:p>
    <w:p w14:paraId="6BD5833C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气候属热带海洋性气候，全年高温多雨，年均气温23℃-27℃，年降水量1500-3000毫米，分干湿两季，5-12月为雨季，降水集中且可能遭遇热带风暴；1-4月为干季，天气晴朗少雨，是物流运输的黄金时段，港口作业受天气影响较小。</w:t>
      </w:r>
    </w:p>
    <w:p w14:paraId="2A800272">
      <w:pPr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07570E7C">
      <w:pPr>
        <w:rPr>
          <w:rFonts w:hint="eastAsia" w:ascii="Kaiti SC Bold" w:hAnsi="Kaiti SC Bold" w:eastAsia="Kaiti SC Bold" w:cs="Kaiti SC Bold"/>
          <w:b/>
          <w:bCs/>
          <w:sz w:val="22"/>
          <w:szCs w:val="28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</w:rPr>
        <w:t>（二）人口与风土人情</w:t>
      </w:r>
    </w:p>
    <w:p w14:paraId="0AD88105">
      <w:pPr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截至2024年，巴拿马总人口约440万人，其中印欧混血种人占65%，黑人占13%，白人占11%，印第安人占10%。官方语言为西班牙语，英语在商业和运河区广泛使用。居民主要信奉天主教（占85%），少数信奉基督教新教等宗教。</w:t>
      </w:r>
    </w:p>
    <w:p w14:paraId="4FCCD084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当地文化融合了西班牙殖民文化与印第安传统文化，节日庆典丰富，如每年2月的狂欢节，是拉美最热闹的狂欢活动之一，期间部分港口和物流环节可能出现短期延误。巴拿马人注重礼仪，商务场合需着装正式，与当地企业合作时，建立信任关系对推进业务至关重要。</w:t>
      </w:r>
    </w:p>
    <w:p w14:paraId="3DE17036">
      <w:pPr>
        <w:rPr>
          <w:rFonts w:hint="eastAsia" w:ascii="Kaiti SC Bold" w:hAnsi="Kaiti SC Bold" w:eastAsia="Kaiti SC Bold" w:cs="Kaiti SC Bold"/>
          <w:b/>
          <w:bCs/>
          <w:sz w:val="22"/>
          <w:szCs w:val="28"/>
        </w:rPr>
      </w:pPr>
    </w:p>
    <w:p w14:paraId="41BE3F20">
      <w:pPr>
        <w:rPr>
          <w:rFonts w:hint="eastAsia" w:ascii="Kaiti SC Bold" w:hAnsi="Kaiti SC Bold" w:eastAsia="Kaiti SC Bold" w:cs="Kaiti SC Bold"/>
          <w:b/>
          <w:bCs/>
          <w:sz w:val="22"/>
          <w:szCs w:val="28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</w:rPr>
        <w:t>（三）经济发展状况</w:t>
      </w:r>
    </w:p>
    <w:p w14:paraId="609F3DC3">
      <w:pPr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巴拿马经济以服务业为核心，占GDP的80%以上，其中</w:t>
      </w:r>
      <w:r>
        <w:rPr>
          <w:rFonts w:hint="eastAsia" w:ascii="Kaiti SC Bold" w:hAnsi="Kaiti SC Bold" w:eastAsia="Kaiti SC Bold" w:cs="Kaiti SC Bold"/>
          <w:b/>
          <w:bCs/>
          <w:lang w:val="en-US" w:eastAsia="zh-CN"/>
        </w:rPr>
        <w:t>物流</w:t>
      </w:r>
      <w:r>
        <w:rPr>
          <w:rFonts w:hint="eastAsia" w:ascii="Kaiti SC Regular" w:hAnsi="Kaiti SC Regular" w:eastAsia="Kaiti SC Regular" w:cs="Kaiti SC Regular"/>
          <w:lang w:val="en-US" w:eastAsia="zh-CN"/>
        </w:rPr>
        <w:t>、金融、旅游是支柱产业。得益于</w:t>
      </w:r>
      <w:r>
        <w:rPr>
          <w:rFonts w:hint="eastAsia" w:ascii="Kaiti SC Bold" w:hAnsi="Kaiti SC Bold" w:eastAsia="Kaiti SC Bold" w:cs="Kaiti SC Bold"/>
          <w:b/>
          <w:bCs/>
          <w:lang w:val="en-US" w:eastAsia="zh-CN"/>
        </w:rPr>
        <w:t>巴拿马运河</w:t>
      </w:r>
      <w:r>
        <w:rPr>
          <w:rFonts w:hint="eastAsia" w:ascii="Kaiti SC Regular" w:hAnsi="Kaiti SC Regular" w:eastAsia="Kaiti SC Regular" w:cs="Kaiti SC Regular"/>
          <w:lang w:val="en-US" w:eastAsia="zh-CN"/>
        </w:rPr>
        <w:t>的独特区位优势，物流枢纽地位显著，</w:t>
      </w:r>
      <w:r>
        <w:rPr>
          <w:rFonts w:hint="eastAsia" w:ascii="Kaiti SC Bold" w:hAnsi="Kaiti SC Bold" w:eastAsia="Kaiti SC Bold" w:cs="Kaiti SC Bold"/>
          <w:b/>
          <w:bCs/>
          <w:lang w:val="en-US" w:eastAsia="zh-CN"/>
        </w:rPr>
        <w:t>科隆自由贸易区</w:t>
      </w:r>
      <w:r>
        <w:rPr>
          <w:rFonts w:hint="eastAsia" w:ascii="Kaiti SC Regular" w:hAnsi="Kaiti SC Regular" w:eastAsia="Kaiti SC Regular" w:cs="Kaiti SC Regular"/>
          <w:lang w:val="en-US" w:eastAsia="zh-CN"/>
        </w:rPr>
        <w:t>是西半球最大的自由贸易区，2023年中巴贸易额达129.4亿美元，中方主要出口机电产品、成品油等，进口铜矿砂、动物饲料等。</w:t>
      </w:r>
    </w:p>
    <w:p w14:paraId="46E8CC43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近年经济趋势总体平稳，2022年GDP增长率为10.8%，2023年受全球贸易放缓影响，增速回落至3.5%左右，预计2024-2025年将维持3%-4%的温和增长。通货膨胀率控制在3%-5%的合理区间，货币为巴拿马巴波亚（BWP），与美元等值流通，汇率稳定性极强，对国际贸易结算十分便利。</w:t>
      </w:r>
    </w:p>
    <w:p w14:paraId="11BE567C">
      <w:pPr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7EF47F8E">
      <w:pPr>
        <w:rPr>
          <w:rFonts w:hint="eastAsia" w:ascii="Kaiti SC Bold" w:hAnsi="Kaiti SC Bold" w:eastAsia="Kaiti SC Bold" w:cs="Kaiti SC Bold"/>
          <w:b/>
          <w:bCs/>
          <w:sz w:val="22"/>
          <w:szCs w:val="28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</w:rPr>
        <w:t>（四）用车与路面状况</w:t>
      </w:r>
    </w:p>
    <w:p w14:paraId="466EBF4F">
      <w:pPr>
        <w:rPr>
          <w:rFonts w:hint="eastAsia" w:ascii="Kaiti SC Regular" w:hAnsi="Kaiti SC Regular" w:eastAsia="Kaiti SC Regular" w:cs="Kaiti SC Regular"/>
          <w:color w:val="C00000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巴拿马机动车保有量约180万辆，平均每2.4人拥有1辆汽车，其中乘用车占比65%，商用车（货车、客车）占比25%，其余为摩托车及特种车辆。</w:t>
      </w:r>
      <w:r>
        <w:rPr>
          <w:rFonts w:hint="eastAsia" w:ascii="Kaiti SC Regular" w:hAnsi="Kaiti SC Regular" w:eastAsia="Kaiti SC Regular" w:cs="Kaiti SC Regular"/>
          <w:color w:val="C00000"/>
          <w:lang w:val="en-US" w:eastAsia="zh-CN"/>
        </w:rPr>
        <w:t>乘用车以经济型轿车为主，排量集中在1.5-2.0L，</w:t>
      </w:r>
      <w:r>
        <w:rPr>
          <w:rFonts w:hint="eastAsia" w:ascii="Kaiti SC Bold" w:hAnsi="Kaiti SC Bold" w:eastAsia="Kaiti SC Bold" w:cs="Kaiti SC Bold"/>
          <w:b/>
          <w:bCs/>
          <w:color w:val="C00000"/>
          <w:lang w:val="en-US" w:eastAsia="zh-CN"/>
        </w:rPr>
        <w:t>适配185/65R15、205/55R16等规格PCR轮胎</w:t>
      </w:r>
      <w:r>
        <w:rPr>
          <w:rFonts w:hint="eastAsia" w:ascii="Kaiti SC Regular" w:hAnsi="Kaiti SC Regular" w:eastAsia="Kaiti SC Regular" w:cs="Kaiti SC Regular"/>
          <w:color w:val="C00000"/>
          <w:lang w:val="en-US" w:eastAsia="zh-CN"/>
        </w:rPr>
        <w:t>；商用车受物流运输需求拉动，</w:t>
      </w:r>
      <w:r>
        <w:rPr>
          <w:rFonts w:hint="eastAsia" w:ascii="Kaiti SC Bold" w:hAnsi="Kaiti SC Bold" w:eastAsia="Kaiti SC Bold" w:cs="Kaiti SC Bold"/>
          <w:b/>
          <w:bCs/>
          <w:color w:val="C00000"/>
          <w:lang w:val="en-US" w:eastAsia="zh-CN"/>
        </w:rPr>
        <w:t>11R22.5等规格TBR轮胎需求旺盛</w:t>
      </w:r>
      <w:r>
        <w:rPr>
          <w:rFonts w:hint="eastAsia" w:ascii="Kaiti SC Regular" w:hAnsi="Kaiti SC Regular" w:eastAsia="Kaiti SC Regular" w:cs="Kaiti SC Regular"/>
          <w:color w:val="C00000"/>
          <w:lang w:val="en-US" w:eastAsia="zh-CN"/>
        </w:rPr>
        <w:t>。</w:t>
      </w:r>
    </w:p>
    <w:p w14:paraId="5F88B568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路面设施呈现 “核心区域完善、偏远区域薄弱” 的特点：巴拿马城、科隆等主要城市及运河沿线高速公路（如泛美公路巴拿马段）铺装率达100%，路面平整，以沥青路面为主；农村及山区道路多为未铺装的砂石路，雨季易泥泞。全国公路总里程约1.2万公里，其中国家级公路约4000公里，为轮胎产品提供了稳定的替换需求。</w:t>
      </w:r>
    </w:p>
    <w:p w14:paraId="585A7225">
      <w:pPr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39222406">
      <w:pPr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2EA25E97">
      <w:pPr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1876A4C6">
      <w:pPr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3D491987">
      <w:pPr>
        <w:rPr>
          <w:rFonts w:hint="eastAsia" w:ascii="Kaiti SC Bold" w:hAnsi="Kaiti SC Bold" w:eastAsia="Kaiti SC Bold" w:cs="Kaiti SC Bold"/>
          <w:b/>
          <w:bCs/>
          <w:sz w:val="28"/>
          <w:szCs w:val="36"/>
        </w:rPr>
      </w:pPr>
      <w:r>
        <w:rPr>
          <w:rFonts w:hint="eastAsia" w:ascii="Kaiti SC Bold" w:hAnsi="Kaiti SC Bold" w:eastAsia="Kaiti SC Bold" w:cs="Kaiti SC Bold"/>
          <w:b/>
          <w:bCs/>
          <w:sz w:val="28"/>
          <w:szCs w:val="36"/>
        </w:rPr>
        <w:t>二、物流运输体系（含</w:t>
      </w:r>
      <w:r>
        <w:rPr>
          <w:rFonts w:hint="eastAsia" w:ascii="Kaiti SC Bold" w:hAnsi="Kaiti SC Bold" w:eastAsia="Kaiti SC Bold" w:cs="Kaiti SC Bold"/>
          <w:b/>
          <w:bCs/>
          <w:sz w:val="28"/>
          <w:szCs w:val="36"/>
          <w:lang w:val="en-US" w:eastAsia="zh-CN"/>
        </w:rPr>
        <w:t>中国-巴拿马-委内</w:t>
      </w:r>
      <w:r>
        <w:rPr>
          <w:rFonts w:hint="eastAsia" w:ascii="Kaiti SC Bold" w:hAnsi="Kaiti SC Bold" w:eastAsia="Kaiti SC Bold" w:cs="Kaiti SC Bold"/>
          <w:b/>
          <w:bCs/>
          <w:sz w:val="28"/>
          <w:szCs w:val="36"/>
        </w:rPr>
        <w:t>关联分析）</w:t>
      </w:r>
    </w:p>
    <w:p w14:paraId="6FC4C562">
      <w:pPr>
        <w:rPr>
          <w:rFonts w:hint="eastAsia" w:ascii="Kaiti SC Bold" w:hAnsi="Kaiti SC Bold" w:eastAsia="Kaiti SC Bold" w:cs="Kaiti SC Bold"/>
          <w:b/>
          <w:bCs/>
          <w:sz w:val="22"/>
          <w:szCs w:val="28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</w:rPr>
        <w:t>（一）</w:t>
      </w:r>
      <w:r>
        <w:rPr>
          <w:rFonts w:hint="eastAsia" w:ascii="Kaiti SC Bold" w:hAnsi="Kaiti SC Bold" w:eastAsia="Kaiti SC Bold" w:cs="Kaiti SC Bold"/>
          <w:b/>
          <w:bCs/>
          <w:color w:val="C00000"/>
          <w:sz w:val="22"/>
          <w:szCs w:val="28"/>
        </w:rPr>
        <w:t>中国至巴拿马物流详情</w:t>
      </w:r>
    </w:p>
    <w:p w14:paraId="49D6EB79">
      <w:pPr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</w:rPr>
        <w:t>1. 运输方式与发货灵活性</w:t>
      </w:r>
    </w:p>
    <w:p w14:paraId="60A602FC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以海运为主，空运为辅，均支持整箱（FCL）运输，契合 “几个集装箱” 的货量需求。</w:t>
      </w:r>
    </w:p>
    <w:p w14:paraId="1477095D">
      <w:pPr>
        <w:numPr>
          <w:ilvl w:val="0"/>
          <w:numId w:val="1"/>
        </w:numPr>
        <w:ind w:left="425" w:leftChars="0" w:hanging="425" w:firstLineChars="0"/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</w:rPr>
        <w:t>海运：无固定发货时间限制，货代公司可根据货量随时订舱，旺季（每年8-12月，对应拉美购物季）建议提前2-3周订舱以保障仓位。主要起运港为中国上海、深圳、广州港，目的港为科隆港（科隆自贸区门户，转口首选）和巴拿马城港。</w:t>
      </w:r>
    </w:p>
    <w:p w14:paraId="101C54CF">
      <w:pPr>
        <w:numPr>
          <w:ilvl w:val="0"/>
          <w:numId w:val="1"/>
        </w:numPr>
        <w:ind w:left="425" w:leftChars="0" w:hanging="425" w:firstLineChars="0"/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</w:rPr>
        <w:t>空运：适合紧急样品运输，起运港为北京、上海、广州国际机场，目的港为巴拿马城托库门国际机场，可实现 “当日订舱、次日起飞” 的灵活发货。</w:t>
      </w:r>
    </w:p>
    <w:p w14:paraId="7A115253">
      <w:pPr>
        <w:rPr>
          <w:rFonts w:hint="eastAsia" w:ascii="Kaiti SC Regular" w:hAnsi="Kaiti SC Regular" w:eastAsia="Kaiti SC Regular" w:cs="Kaiti SC Regular"/>
        </w:rPr>
      </w:pPr>
    </w:p>
    <w:p w14:paraId="65B0937F">
      <w:pPr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</w:rPr>
        <w:t>2. 时效与费用构成</w:t>
      </w:r>
    </w:p>
    <w:p w14:paraId="3B88986C">
      <w:pPr>
        <w:numPr>
          <w:ilvl w:val="0"/>
          <w:numId w:val="2"/>
        </w:numPr>
        <w:ind w:left="425" w:leftChars="0" w:hanging="425" w:firstLineChars="0"/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时效：</w:t>
      </w:r>
    </w:p>
    <w:p w14:paraId="3371AF8F">
      <w:pPr>
        <w:numPr>
          <w:ilvl w:val="1"/>
          <w:numId w:val="1"/>
        </w:numPr>
        <w:ind w:left="840" w:leftChars="0" w:hanging="420" w:firstLineChars="0"/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</w:rPr>
        <w:t>海运直航：25-35天（如深圳至科隆港）</w:t>
      </w:r>
    </w:p>
    <w:p w14:paraId="3B6ED20C">
      <w:pPr>
        <w:numPr>
          <w:ilvl w:val="1"/>
          <w:numId w:val="1"/>
        </w:numPr>
        <w:ind w:left="840" w:leftChars="0" w:hanging="420" w:firstLineChars="0"/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</w:rPr>
        <w:t>空运：5-7天，清关顺利可缩短至3-4天。</w:t>
      </w:r>
    </w:p>
    <w:p w14:paraId="79B3CA18">
      <w:pPr>
        <w:numPr>
          <w:ilvl w:val="0"/>
          <w:numId w:val="2"/>
        </w:numPr>
        <w:ind w:left="425" w:leftChars="0" w:hanging="425" w:firstLineChars="0"/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  <w:color w:val="C00000"/>
          <w:lang w:val="en-US" w:eastAsia="zh-CN"/>
        </w:rPr>
        <w:t>费用构成</w:t>
      </w:r>
      <w:r>
        <w:rPr>
          <w:rFonts w:hint="eastAsia" w:ascii="Kaiti SC Regular" w:hAnsi="Kaiti SC Regular" w:eastAsia="Kaiti SC Regular" w:cs="Kaiti SC Regular"/>
          <w:lang w:val="en-US" w:eastAsia="zh-CN"/>
        </w:rPr>
        <w:t>（以20GP集装箱、货值10万美元轮胎为例，海运直航）：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8"/>
        <w:gridCol w:w="1731"/>
        <w:gridCol w:w="4907"/>
      </w:tblGrid>
      <w:tr w14:paraId="13DC1746">
        <w:trPr>
          <w:tblHeader/>
        </w:trPr>
        <w:tc>
          <w:tcPr>
            <w:tcW w:w="1668" w:type="dxa"/>
            <w:tcBorders>
              <w:top w:val="single" w:color="000000" w:sz="12" w:space="0"/>
              <w:left w:val="nil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0C4FA429">
            <w:pPr>
              <w:rPr>
                <w:rFonts w:hint="eastAsia" w:ascii="Kaiti SC Bold" w:hAnsi="Kaiti SC Bold" w:eastAsia="Kaiti SC Bold" w:cs="Kaiti SC Bold"/>
                <w:b/>
                <w:bCs/>
                <w:color w:val="000000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color w:val="000000"/>
                <w:lang w:val="en-US" w:eastAsia="zh-CN"/>
              </w:rPr>
              <w:t>费用项目</w:t>
            </w:r>
          </w:p>
        </w:tc>
        <w:tc>
          <w:tcPr>
            <w:tcW w:w="1731" w:type="dxa"/>
            <w:tcBorders>
              <w:top w:val="single" w:color="000000" w:sz="12" w:space="0"/>
              <w:left w:val="nil"/>
              <w:bottom w:val="single" w:color="000000" w:sz="4" w:space="0"/>
            </w:tcBorders>
            <w:shd w:val="clear" w:color="auto" w:fill="FFFFFF"/>
            <w:vAlign w:val="center"/>
          </w:tcPr>
          <w:p w14:paraId="6BB94CD3">
            <w:pPr>
              <w:rPr>
                <w:rFonts w:hint="eastAsia" w:ascii="Kaiti SC Bold" w:hAnsi="Kaiti SC Bold" w:eastAsia="Kaiti SC Bold" w:cs="Kaiti SC Bold"/>
                <w:b/>
                <w:bCs/>
                <w:color w:val="000000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color w:val="000000"/>
                <w:lang w:val="en-US" w:eastAsia="zh-CN"/>
              </w:rPr>
              <w:t>金额范围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689C869">
            <w:pPr>
              <w:rPr>
                <w:rFonts w:hint="eastAsia" w:ascii="Kaiti SC Bold" w:hAnsi="Kaiti SC Bold" w:eastAsia="Kaiti SC Bold" w:cs="Kaiti SC Bold"/>
                <w:b/>
                <w:bCs/>
                <w:color w:val="000000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color w:val="000000"/>
                <w:lang w:val="en-US" w:eastAsia="zh-CN"/>
              </w:rPr>
              <w:t>说明</w:t>
            </w:r>
          </w:p>
        </w:tc>
      </w:tr>
      <w:tr w14:paraId="08750CF3">
        <w:tc>
          <w:tcPr>
            <w:tcW w:w="1668" w:type="dxa"/>
            <w:tcBorders>
              <w:top w:val="single" w:color="000000" w:sz="4" w:space="0"/>
              <w:left w:val="nil"/>
              <w:bottom w:val="nil"/>
            </w:tcBorders>
            <w:shd w:val="clear" w:color="auto" w:fill="FFFFFF"/>
            <w:vAlign w:val="center"/>
          </w:tcPr>
          <w:p w14:paraId="325BAFC7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海运费</w:t>
            </w:r>
          </w:p>
        </w:tc>
        <w:tc>
          <w:tcPr>
            <w:tcW w:w="1731" w:type="dxa"/>
            <w:tcBorders>
              <w:top w:val="single" w:color="000000" w:sz="4" w:space="0"/>
              <w:left w:val="nil"/>
              <w:bottom w:val="nil"/>
            </w:tcBorders>
            <w:shd w:val="clear" w:color="auto" w:fill="FFFFFF"/>
            <w:vAlign w:val="center"/>
          </w:tcPr>
          <w:p w14:paraId="59B5D646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1500-3000美元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50EB4A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按集装箱计费，旺季（8-12月）可能附加300-800美元/ TEU旺季附加费</w:t>
            </w:r>
          </w:p>
        </w:tc>
      </w:tr>
      <w:tr w14:paraId="153CC041">
        <w:tc>
          <w:tcPr>
            <w:tcW w:w="1668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7E46A03F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港口操作费（THC+文件费）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5BD3DB64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100-200美元/票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E60E0E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含码头装卸、提单制作等费用</w:t>
            </w:r>
          </w:p>
        </w:tc>
      </w:tr>
      <w:tr w14:paraId="478D2ED1">
        <w:tc>
          <w:tcPr>
            <w:tcW w:w="1668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007F47C0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保险费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1A2E48B9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100-300美元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3E4909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按货值0.1%-0.3%投保，覆盖运输破损、丢失风险</w:t>
            </w:r>
          </w:p>
        </w:tc>
      </w:tr>
      <w:tr w14:paraId="5E65389E">
        <w:tc>
          <w:tcPr>
            <w:tcW w:w="1668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495A670C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清关服务费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4882DD4C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150-300美元/票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8D4788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含报关代理、文件审核、海关查验协助等</w:t>
            </w:r>
          </w:p>
        </w:tc>
      </w:tr>
      <w:tr w14:paraId="4C4F5078">
        <w:tc>
          <w:tcPr>
            <w:tcW w:w="1668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4CE48F54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关税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0BE3B988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0-25000美元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C51D24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轮胎HS编码通常为4011，巴拿马关税税率5%-15%，按CIF价值计征</w:t>
            </w:r>
          </w:p>
        </w:tc>
      </w:tr>
      <w:tr w14:paraId="293D4A6E">
        <w:tc>
          <w:tcPr>
            <w:tcW w:w="1668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615B4EF9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增值税（IVA）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55C82731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1458-3996美元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FC964E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税率12%，计算基数为CIF价值（货值+运费+保险费）</w:t>
            </w:r>
          </w:p>
        </w:tc>
      </w:tr>
      <w:tr w14:paraId="11AA28FC">
        <w:tc>
          <w:tcPr>
            <w:tcW w:w="1668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4E4F8861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拖车费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0C36C037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200-500美元/车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84BF7C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港口至科隆自贸区或巴拿马城仓库的短途运输，距离越远费用越高</w:t>
            </w:r>
          </w:p>
        </w:tc>
      </w:tr>
      <w:tr w14:paraId="54AA7BB4">
        <w:tc>
          <w:tcPr>
            <w:tcW w:w="1668" w:type="dxa"/>
            <w:tcBorders>
              <w:top w:val="nil"/>
              <w:left w:val="nil"/>
              <w:bottom w:val="single" w:color="000000" w:sz="12" w:space="0"/>
            </w:tcBorders>
            <w:shd w:val="clear" w:color="auto" w:fill="FFFFFF"/>
            <w:vAlign w:val="center"/>
          </w:tcPr>
          <w:p w14:paraId="175EAEC5">
            <w:pPr>
              <w:rPr>
                <w:rFonts w:hint="eastAsia" w:ascii="Kaiti SC Bold" w:hAnsi="Kaiti SC Bold" w:eastAsia="Kaiti SC Bold" w:cs="Kaiti SC Bold"/>
                <w:b/>
                <w:bCs/>
                <w:color w:val="000000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color w:val="000000"/>
                <w:lang w:val="en-US" w:eastAsia="zh-CN"/>
              </w:rPr>
              <w:t>合计（估算）</w:t>
            </w:r>
          </w:p>
        </w:tc>
        <w:tc>
          <w:tcPr>
            <w:tcW w:w="1731" w:type="dxa"/>
            <w:tcBorders>
              <w:top w:val="nil"/>
              <w:left w:val="nil"/>
              <w:bottom w:val="single" w:color="000000" w:sz="12" w:space="0"/>
            </w:tcBorders>
            <w:shd w:val="clear" w:color="auto" w:fill="FFFFFF"/>
            <w:vAlign w:val="center"/>
          </w:tcPr>
          <w:p w14:paraId="57290A5D">
            <w:pPr>
              <w:rPr>
                <w:rFonts w:hint="eastAsia" w:ascii="Kaiti SC Bold" w:hAnsi="Kaiti SC Bold" w:eastAsia="Kaiti SC Bold" w:cs="Kaiti SC Bold"/>
                <w:b/>
                <w:bCs/>
                <w:color w:val="000000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color w:val="000000"/>
                <w:lang w:val="en-US" w:eastAsia="zh-CN"/>
              </w:rPr>
              <w:t>3598-32396美元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AE9DF24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不含仓储费（滞留时5-10美元/立方米/天）</w:t>
            </w:r>
          </w:p>
        </w:tc>
      </w:tr>
    </w:tbl>
    <w:p w14:paraId="568BF840">
      <w:pPr>
        <w:rPr>
          <w:rFonts w:hint="eastAsia" w:ascii="Kaiti SC Regular" w:hAnsi="Kaiti SC Regular" w:eastAsia="Kaiti SC Regular" w:cs="Kaiti SC Regular"/>
        </w:rPr>
      </w:pPr>
    </w:p>
    <w:p w14:paraId="5AFBEFDF">
      <w:pPr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</w:rPr>
        <w:t>3. 清关与合规要求</w:t>
      </w:r>
    </w:p>
    <w:p w14:paraId="1DBDAD01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需提供商业发票、装箱单、提单、FORM A原产地证书（可享受自贸协定关税优惠）、轮胎产品认证文件（如DOT、ECE认证）。2025年新规要求管制产品强制提供COC认证，轮胎虽非核心管制类，但建议提前准备第三方检测报告以加快清关。清关流程通常需2-5个工作日，查验率约10%-15%，主要核查货值申报与产品认证合规性。</w:t>
      </w:r>
    </w:p>
    <w:p w14:paraId="0E6D09EA">
      <w:pPr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1F865918">
      <w:pPr>
        <w:rPr>
          <w:rFonts w:hint="eastAsia" w:ascii="Kaiti SC Bold" w:hAnsi="Kaiti SC Bold" w:eastAsia="Kaiti SC Bold" w:cs="Kaiti SC Bold"/>
          <w:b/>
          <w:bCs/>
          <w:sz w:val="22"/>
          <w:szCs w:val="28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</w:rPr>
        <w:t>（二）</w:t>
      </w:r>
      <w:r>
        <w:rPr>
          <w:rFonts w:hint="eastAsia" w:ascii="Kaiti SC Bold" w:hAnsi="Kaiti SC Bold" w:eastAsia="Kaiti SC Bold" w:cs="Kaiti SC Bold"/>
          <w:b/>
          <w:bCs/>
          <w:color w:val="C00000"/>
          <w:sz w:val="22"/>
          <w:szCs w:val="28"/>
        </w:rPr>
        <w:t>巴拿马至委内瑞拉物流详情</w:t>
      </w:r>
    </w:p>
    <w:p w14:paraId="78028B62">
      <w:pPr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</w:rPr>
        <w:t>1. 运输方式与发货灵活性</w:t>
      </w:r>
    </w:p>
    <w:p w14:paraId="49112060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以海运短途转运为主，依托科隆自贸区的转口优势，可实现“随到随发”。巴拿马本地货代（如 Panama-Venezuela Logistics）可提供整箱拼箱服务，几个集装箱的货量可灵活安排船期，每周有3-5班短途航线往返于科隆港与委内瑞拉卡巴略港、拉瓜伊拉港。</w:t>
      </w:r>
    </w:p>
    <w:p w14:paraId="7227C376">
      <w:pPr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490C9D15">
      <w:pPr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</w:rPr>
        <w:t>2. 时效与费用构成</w:t>
      </w:r>
    </w:p>
    <w:p w14:paraId="5443A089">
      <w:pPr>
        <w:numPr>
          <w:ilvl w:val="0"/>
          <w:numId w:val="3"/>
        </w:numPr>
        <w:ind w:left="425" w:leftChars="0" w:hanging="425" w:firstLineChars="0"/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</w:rPr>
        <w:t>时效：3-5天，清关顺利可实现“一周内送达”，受委内瑞拉海关效率影响，最长可能延误至10天。</w:t>
      </w:r>
    </w:p>
    <w:p w14:paraId="6D5A8AC2">
      <w:pPr>
        <w:numPr>
          <w:ilvl w:val="0"/>
          <w:numId w:val="3"/>
        </w:numPr>
        <w:ind w:left="425" w:leftChars="0" w:hanging="425" w:firstLineChars="0"/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</w:rPr>
        <w:t>费用构成（以20GP集装箱为例）：</w:t>
      </w:r>
    </w:p>
    <w:tbl>
      <w:tblPr>
        <w:tblpPr w:leftFromText="180" w:rightFromText="180" w:vertAnchor="text" w:horzAnchor="page" w:tblpX="1800" w:tblpY="313"/>
        <w:tblOverlap w:val="never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1600"/>
        <w:gridCol w:w="5146"/>
      </w:tblGrid>
      <w:tr w14:paraId="34045020">
        <w:trPr>
          <w:tblHeader/>
        </w:trPr>
        <w:tc>
          <w:tcPr>
            <w:tcW w:w="1560" w:type="dxa"/>
            <w:tcBorders>
              <w:top w:val="single" w:color="000000" w:sz="12" w:space="0"/>
              <w:left w:val="nil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051A9AF2">
            <w:pPr>
              <w:rPr>
                <w:rFonts w:hint="eastAsia" w:ascii="Kaiti SC Bold" w:hAnsi="Kaiti SC Bold" w:eastAsia="Kaiti SC Bold" w:cs="Kaiti SC Bold"/>
                <w:b/>
                <w:bCs/>
                <w:color w:val="000000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color w:val="000000"/>
                <w:lang w:val="en-US" w:eastAsia="zh-CN"/>
              </w:rPr>
              <w:t>费用项目</w:t>
            </w:r>
          </w:p>
        </w:tc>
        <w:tc>
          <w:tcPr>
            <w:tcW w:w="1600" w:type="dxa"/>
            <w:tcBorders>
              <w:top w:val="single" w:color="000000" w:sz="12" w:space="0"/>
              <w:left w:val="nil"/>
              <w:bottom w:val="single" w:color="000000" w:sz="4" w:space="0"/>
            </w:tcBorders>
            <w:shd w:val="clear" w:color="auto" w:fill="FFFFFF"/>
            <w:vAlign w:val="center"/>
          </w:tcPr>
          <w:p w14:paraId="5EFB5DE7">
            <w:pPr>
              <w:rPr>
                <w:rFonts w:hint="eastAsia" w:ascii="Kaiti SC Bold" w:hAnsi="Kaiti SC Bold" w:eastAsia="Kaiti SC Bold" w:cs="Kaiti SC Bold"/>
                <w:b/>
                <w:bCs/>
                <w:color w:val="000000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color w:val="000000"/>
                <w:lang w:val="en-US" w:eastAsia="zh-CN"/>
              </w:rPr>
              <w:t>金额范围</w:t>
            </w:r>
          </w:p>
        </w:tc>
        <w:tc>
          <w:tcPr>
            <w:tcW w:w="514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067C077">
            <w:pPr>
              <w:rPr>
                <w:rFonts w:hint="eastAsia" w:ascii="Kaiti SC Bold" w:hAnsi="Kaiti SC Bold" w:eastAsia="Kaiti SC Bold" w:cs="Kaiti SC Bold"/>
                <w:b/>
                <w:bCs/>
                <w:color w:val="000000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color w:val="000000"/>
                <w:lang w:val="en-US" w:eastAsia="zh-CN"/>
              </w:rPr>
              <w:t>说明</w:t>
            </w:r>
          </w:p>
        </w:tc>
      </w:tr>
      <w:tr w14:paraId="11A7E306">
        <w:tc>
          <w:tcPr>
            <w:tcW w:w="1560" w:type="dxa"/>
            <w:tcBorders>
              <w:top w:val="single" w:color="000000" w:sz="4" w:space="0"/>
              <w:left w:val="nil"/>
              <w:bottom w:val="nil"/>
            </w:tcBorders>
            <w:shd w:val="clear" w:color="auto" w:fill="FFFFFF"/>
            <w:vAlign w:val="center"/>
          </w:tcPr>
          <w:p w14:paraId="512AA739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短途海运费</w:t>
            </w:r>
          </w:p>
        </w:tc>
        <w:tc>
          <w:tcPr>
            <w:tcW w:w="1600" w:type="dxa"/>
            <w:tcBorders>
              <w:top w:val="single" w:color="000000" w:sz="4" w:space="0"/>
              <w:left w:val="nil"/>
              <w:bottom w:val="nil"/>
            </w:tcBorders>
            <w:shd w:val="clear" w:color="auto" w:fill="FFFFFF"/>
            <w:vAlign w:val="center"/>
          </w:tcPr>
          <w:p w14:paraId="5E1B6E2C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800-1200美元</w:t>
            </w:r>
          </w:p>
        </w:tc>
        <w:tc>
          <w:tcPr>
            <w:tcW w:w="514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335599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含船舶租赁、燃油附加费，受航线竞争影响波动</w:t>
            </w:r>
          </w:p>
        </w:tc>
      </w:tr>
      <w:tr w14:paraId="2680BB28">
        <w:tc>
          <w:tcPr>
            <w:tcW w:w="1560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6B697D02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港口操作费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2025CEFB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100-150美元/票</w:t>
            </w:r>
          </w:p>
        </w:tc>
        <w:tc>
          <w:tcPr>
            <w:tcW w:w="5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0D4E80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科隆港出口操作及委内瑞拉目的港进口预处理费用</w:t>
            </w:r>
          </w:p>
        </w:tc>
      </w:tr>
      <w:tr w14:paraId="15F8DADF">
        <w:tc>
          <w:tcPr>
            <w:tcW w:w="1560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7325A545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清关代理服务费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6161B817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200-400美元/票</w:t>
            </w:r>
          </w:p>
        </w:tc>
        <w:tc>
          <w:tcPr>
            <w:tcW w:w="5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FA8FB2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含巴拿马出口申报与委内瑞拉进口预申报，需本地有资质公司操作</w:t>
            </w:r>
          </w:p>
        </w:tc>
      </w:tr>
      <w:tr w14:paraId="74B8DBCC">
        <w:tc>
          <w:tcPr>
            <w:tcW w:w="1560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168ED8D2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保险费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0307FB03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50-100美元</w:t>
            </w:r>
          </w:p>
        </w:tc>
        <w:tc>
          <w:tcPr>
            <w:tcW w:w="5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9AD070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按货值0.1%-0.2%投保，覆盖短途运输风险</w:t>
            </w:r>
          </w:p>
        </w:tc>
      </w:tr>
      <w:tr w14:paraId="563649E9">
        <w:tc>
          <w:tcPr>
            <w:tcW w:w="1560" w:type="dxa"/>
            <w:tcBorders>
              <w:top w:val="nil"/>
              <w:left w:val="nil"/>
              <w:bottom w:val="single" w:color="000000" w:sz="12" w:space="0"/>
            </w:tcBorders>
            <w:shd w:val="clear" w:color="auto" w:fill="FFFFFF"/>
            <w:vAlign w:val="center"/>
          </w:tcPr>
          <w:p w14:paraId="3CDA76DA">
            <w:pPr>
              <w:rPr>
                <w:rFonts w:hint="eastAsia" w:ascii="Kaiti SC Bold" w:hAnsi="Kaiti SC Bold" w:eastAsia="Kaiti SC Bold" w:cs="Kaiti SC Bold"/>
                <w:b/>
                <w:bCs/>
                <w:color w:val="000000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color w:val="000000"/>
                <w:lang w:val="en-US" w:eastAsia="zh-CN"/>
              </w:rPr>
              <w:t>合计（估算）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000000" w:sz="12" w:space="0"/>
            </w:tcBorders>
            <w:shd w:val="clear" w:color="auto" w:fill="FFFFFF"/>
            <w:vAlign w:val="center"/>
          </w:tcPr>
          <w:p w14:paraId="5411C976">
            <w:pPr>
              <w:rPr>
                <w:rFonts w:hint="eastAsia" w:ascii="Kaiti SC Bold" w:hAnsi="Kaiti SC Bold" w:eastAsia="Kaiti SC Bold" w:cs="Kaiti SC Bold"/>
                <w:b/>
                <w:bCs/>
                <w:color w:val="000000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color w:val="000000"/>
                <w:lang w:val="en-US" w:eastAsia="zh-CN"/>
              </w:rPr>
              <w:t>1150-1850美元</w:t>
            </w:r>
          </w:p>
        </w:tc>
        <w:tc>
          <w:tcPr>
            <w:tcW w:w="514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4984E92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不含委内瑞拉境内关税及终端配送费</w:t>
            </w:r>
          </w:p>
        </w:tc>
      </w:tr>
    </w:tbl>
    <w:p w14:paraId="062CEB83">
      <w:pPr>
        <w:rPr>
          <w:rFonts w:hint="eastAsia" w:ascii="Kaiti SC Regular" w:hAnsi="Kaiti SC Regular" w:eastAsia="Kaiti SC Regular" w:cs="Kaiti SC Regular"/>
        </w:rPr>
      </w:pPr>
    </w:p>
    <w:p w14:paraId="184F7CBE">
      <w:pPr>
        <w:rPr>
          <w:rFonts w:hint="eastAsia" w:ascii="Kaiti SC Regular" w:hAnsi="Kaiti SC Regular" w:eastAsia="Kaiti SC Regular" w:cs="Kaiti SC Regular"/>
        </w:rPr>
      </w:pPr>
    </w:p>
    <w:p w14:paraId="3F8A0702">
      <w:pPr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</w:rPr>
        <w:t>3. 转口优势与关键注意事项</w:t>
      </w:r>
    </w:p>
    <w:p w14:paraId="61D0E8A1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科隆自贸区为转口提供核心便利：货物进入自贸区无需缴纳进口税，转口至委内瑞拉时可 “转口贸易”申报，避免巴拿马境内二次征税。需注意提前与巴拿马本地公司确认资质，确保其具备委内瑞拉VUCEM电子申报系统操作权限，避免因文件缺失导致清关延误。</w:t>
      </w:r>
    </w:p>
    <w:p w14:paraId="11DF6875">
      <w:pPr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6450B76A">
      <w:pPr>
        <w:rPr>
          <w:rFonts w:hint="eastAsia" w:ascii="Kaiti SC Bold" w:hAnsi="Kaiti SC Bold" w:eastAsia="Kaiti SC Bold" w:cs="Kaiti SC Bold"/>
          <w:b/>
          <w:bCs/>
          <w:sz w:val="22"/>
          <w:szCs w:val="28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</w:rPr>
        <w:t>（三）中国至委内瑞拉直航物流对比</w:t>
      </w:r>
    </w:p>
    <w:p w14:paraId="6F221107">
      <w:pPr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</w:rPr>
        <w:t>1. 时效与费用</w:t>
      </w:r>
    </w:p>
    <w:p w14:paraId="072BECA2">
      <w:pPr>
        <w:numPr>
          <w:ilvl w:val="0"/>
          <w:numId w:val="4"/>
        </w:numPr>
        <w:ind w:left="425" w:leftChars="0" w:hanging="425" w:firstLineChars="0"/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</w:rPr>
        <w:t>时效：直航较少，多经巴拿马或加勒比海其他港口中转，全程40-60天，比转口路线长10-15天。</w:t>
      </w:r>
    </w:p>
    <w:p w14:paraId="123F5A74">
      <w:pPr>
        <w:numPr>
          <w:ilvl w:val="0"/>
          <w:numId w:val="4"/>
        </w:numPr>
        <w:ind w:left="425" w:leftChars="0" w:hanging="425" w:firstLineChars="0"/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</w:rPr>
        <w:t>费用：20GP集装箱全程费用约4000-6000美元，且需直接承担委内瑞拉高额进口税，总成本比转口路线高20%-30%。</w:t>
      </w:r>
    </w:p>
    <w:p w14:paraId="4E63F028">
      <w:pPr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</w:rPr>
        <w:t>2. 核心劣势</w:t>
      </w:r>
    </w:p>
    <w:p w14:paraId="09CDCA7C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受委内瑞拉外汇管制及海关效率影响，直航清关周期常达15-20天，且汇率波动导致的成本风险完全由出口方承担，转口路线通过巴拿马中转可有效分散此类风险。</w:t>
      </w:r>
    </w:p>
    <w:p w14:paraId="464C6B64">
      <w:pPr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7D0F9D66">
      <w:pPr>
        <w:rPr>
          <w:rFonts w:hint="eastAsia" w:ascii="Kaiti SC Bold" w:hAnsi="Kaiti SC Bold" w:eastAsia="Kaiti SC Bold" w:cs="Kaiti SC Bold"/>
          <w:b/>
          <w:bCs/>
          <w:sz w:val="28"/>
          <w:szCs w:val="36"/>
        </w:rPr>
      </w:pPr>
      <w:r>
        <w:rPr>
          <w:rFonts w:hint="eastAsia" w:ascii="Kaiti SC Bold" w:hAnsi="Kaiti SC Bold" w:eastAsia="Kaiti SC Bold" w:cs="Kaiti SC Bold"/>
          <w:b/>
          <w:bCs/>
          <w:sz w:val="28"/>
          <w:szCs w:val="36"/>
        </w:rPr>
        <w:t>三、税收政策与退税机制</w:t>
      </w:r>
    </w:p>
    <w:p w14:paraId="7BE72BEE">
      <w:pPr>
        <w:rPr>
          <w:rFonts w:hint="eastAsia" w:ascii="Kaiti SC Bold" w:hAnsi="Kaiti SC Bold" w:eastAsia="Kaiti SC Bold" w:cs="Kaiti SC Bold"/>
          <w:b/>
          <w:bCs/>
          <w:sz w:val="22"/>
          <w:szCs w:val="28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</w:rPr>
        <w:t>（一）进口税收体系</w:t>
      </w:r>
    </w:p>
    <w:p w14:paraId="08729178">
      <w:pPr>
        <w:numPr>
          <w:ilvl w:val="0"/>
          <w:numId w:val="5"/>
        </w:numPr>
        <w:ind w:left="425" w:leftChars="0" w:hanging="425" w:firstLineChars="0"/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</w:rPr>
        <w:t>关税：采用固定税率制，无阶梯收费，按商品HS编码划分，轮胎产品税率5%-15%，基础款PCR轮胎多适用10%税率，TBR轮胎因属工业用品适用12%税率。</w:t>
      </w:r>
    </w:p>
    <w:p w14:paraId="6F4B4041">
      <w:pPr>
        <w:numPr>
          <w:ilvl w:val="0"/>
          <w:numId w:val="5"/>
        </w:numPr>
        <w:ind w:left="425" w:leftChars="0" w:hanging="425" w:firstLineChars="0"/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</w:rPr>
        <w:t>增值税（IVA）：固定税率12%，计算基数为CIF价值（货值+运费+保险费），属于价外税，需在清关时足额缴纳。</w:t>
      </w:r>
    </w:p>
    <w:p w14:paraId="446EAB47">
      <w:pPr>
        <w:numPr>
          <w:ilvl w:val="0"/>
          <w:numId w:val="5"/>
        </w:numPr>
        <w:ind w:left="425" w:leftChars="0" w:hanging="425" w:firstLineChars="0"/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</w:rPr>
        <w:t>其他税费：无特别消费税或附加税，仅对滞留港口货物征收仓储费（5-10美元/立方米/天）。</w:t>
      </w:r>
    </w:p>
    <w:p w14:paraId="15C09CFD">
      <w:pPr>
        <w:numPr>
          <w:numId w:val="0"/>
        </w:numPr>
        <w:ind w:leftChars="0"/>
        <w:rPr>
          <w:rFonts w:hint="eastAsia" w:ascii="Kaiti SC Regular" w:hAnsi="Kaiti SC Regular" w:eastAsia="Kaiti SC Regular" w:cs="Kaiti SC Regular"/>
        </w:rPr>
      </w:pPr>
    </w:p>
    <w:p w14:paraId="6212B324">
      <w:pPr>
        <w:rPr>
          <w:rFonts w:hint="eastAsia" w:ascii="Kaiti SC Bold" w:hAnsi="Kaiti SC Bold" w:eastAsia="Kaiti SC Bold" w:cs="Kaiti SC Bold"/>
          <w:b/>
          <w:bCs/>
          <w:color w:val="C00000"/>
          <w:sz w:val="22"/>
          <w:szCs w:val="28"/>
        </w:rPr>
      </w:pPr>
      <w:r>
        <w:rPr>
          <w:rFonts w:hint="eastAsia" w:ascii="Kaiti SC Bold" w:hAnsi="Kaiti SC Bold" w:eastAsia="Kaiti SC Bold" w:cs="Kaiti SC Bold"/>
          <w:b/>
          <w:bCs/>
          <w:color w:val="C00000"/>
          <w:sz w:val="22"/>
          <w:szCs w:val="28"/>
        </w:rPr>
        <w:t>（二）退税政策（针对转口贸易）</w:t>
      </w:r>
    </w:p>
    <w:p w14:paraId="06CFB567">
      <w:pPr>
        <w:rPr>
          <w:rFonts w:hint="eastAsia" w:ascii="Kaiti SC Regular" w:hAnsi="Kaiti SC Regular" w:eastAsia="Kaiti SC Regular" w:cs="Kaiti SC Regular"/>
          <w:color w:val="C00000"/>
        </w:rPr>
      </w:pPr>
      <w:r>
        <w:rPr>
          <w:rFonts w:hint="eastAsia" w:ascii="Kaiti SC Regular" w:hAnsi="Kaiti SC Regular" w:eastAsia="Kaiti SC Regular" w:cs="Kaiti SC Regular"/>
          <w:color w:val="C00000"/>
          <w:lang w:val="en-US" w:eastAsia="zh-CN"/>
        </w:rPr>
        <w:t>巴拿马退税主要依托科隆自贸区政策，核心针对在自贸区开展转口业务的企业：</w:t>
      </w:r>
    </w:p>
    <w:p w14:paraId="34511284">
      <w:pPr>
        <w:numPr>
          <w:ilvl w:val="0"/>
          <w:numId w:val="6"/>
        </w:numPr>
        <w:ind w:left="425" w:leftChars="0" w:hanging="425" w:firstLineChars="0"/>
        <w:rPr>
          <w:rFonts w:hint="eastAsia" w:ascii="Kaiti SC Regular" w:hAnsi="Kaiti SC Regular" w:eastAsia="Kaiti SC Regular" w:cs="Kaiti SC Regular"/>
          <w:color w:val="C00000"/>
        </w:rPr>
      </w:pPr>
      <w:r>
        <w:rPr>
          <w:rFonts w:hint="eastAsia" w:ascii="Kaiti SC Regular" w:hAnsi="Kaiti SC Regular" w:eastAsia="Kaiti SC Regular" w:cs="Kaiti SC Regular"/>
          <w:color w:val="C00000"/>
        </w:rPr>
        <w:t>适用范围：在科隆自贸区注册的企业，进口货物用于转口至第三国（如委内瑞拉），可申请退还已缴纳的相关税费（若货物进入巴拿马本土则不适用）。</w:t>
      </w:r>
    </w:p>
    <w:p w14:paraId="70C6BF70">
      <w:pPr>
        <w:numPr>
          <w:ilvl w:val="0"/>
          <w:numId w:val="6"/>
        </w:numPr>
        <w:ind w:left="425" w:leftChars="0" w:hanging="425" w:firstLineChars="0"/>
        <w:rPr>
          <w:rFonts w:hint="eastAsia" w:ascii="Kaiti SC Regular" w:hAnsi="Kaiti SC Regular" w:eastAsia="Kaiti SC Regular" w:cs="Kaiti SC Regular"/>
          <w:color w:val="C00000"/>
        </w:rPr>
      </w:pPr>
      <w:r>
        <w:rPr>
          <w:rFonts w:hint="eastAsia" w:ascii="Kaiti SC Regular" w:hAnsi="Kaiti SC Regular" w:eastAsia="Kaiti SC Regular" w:cs="Kaiti SC Regular"/>
          <w:color w:val="C00000"/>
        </w:rPr>
        <w:t>申请流程：</w:t>
      </w:r>
    </w:p>
    <w:p w14:paraId="09F2BBF3">
      <w:pPr>
        <w:numPr>
          <w:ilvl w:val="1"/>
          <w:numId w:val="6"/>
        </w:numPr>
        <w:ind w:left="840" w:leftChars="0" w:hanging="420" w:firstLineChars="0"/>
        <w:rPr>
          <w:rFonts w:hint="eastAsia" w:ascii="Kaiti SC Regular" w:hAnsi="Kaiti SC Regular" w:eastAsia="Kaiti SC Regular" w:cs="Kaiti SC Regular"/>
          <w:color w:val="C00000"/>
        </w:rPr>
      </w:pPr>
      <w:r>
        <w:rPr>
          <w:rFonts w:hint="eastAsia" w:ascii="Kaiti SC Regular" w:hAnsi="Kaiti SC Regular" w:eastAsia="Kaiti SC Regular" w:cs="Kaiti SC Regular"/>
          <w:color w:val="C00000"/>
        </w:rPr>
        <w:t>步骤1：货物进入自贸区时，向巴拿马税务局（TRA）提交“转口意向声明”，留存进口报关单、提单等凭证；</w:t>
      </w:r>
    </w:p>
    <w:p w14:paraId="4DC11E30">
      <w:pPr>
        <w:numPr>
          <w:ilvl w:val="1"/>
          <w:numId w:val="6"/>
        </w:numPr>
        <w:ind w:left="840" w:leftChars="0" w:hanging="420" w:firstLineChars="0"/>
        <w:rPr>
          <w:rFonts w:hint="eastAsia" w:ascii="Kaiti SC Regular" w:hAnsi="Kaiti SC Regular" w:eastAsia="Kaiti SC Regular" w:cs="Kaiti SC Regular"/>
          <w:color w:val="C00000"/>
        </w:rPr>
      </w:pPr>
      <w:r>
        <w:rPr>
          <w:rFonts w:hint="eastAsia" w:ascii="Kaiti SC Regular" w:hAnsi="Kaiti SC Regular" w:eastAsia="Kaiti SC Regular" w:cs="Kaiti SC Regular"/>
          <w:color w:val="C00000"/>
        </w:rPr>
        <w:t>步骤2：货物转口出口后，30天内向TRA提交退税申请，附出口报关单、第三国进口凭证；</w:t>
      </w:r>
    </w:p>
    <w:p w14:paraId="1FDE35AE">
      <w:pPr>
        <w:numPr>
          <w:ilvl w:val="1"/>
          <w:numId w:val="6"/>
        </w:numPr>
        <w:ind w:left="840" w:leftChars="0" w:hanging="420" w:firstLineChars="0"/>
        <w:rPr>
          <w:rFonts w:hint="eastAsia" w:ascii="Kaiti SC Regular" w:hAnsi="Kaiti SC Regular" w:eastAsia="Kaiti SC Regular" w:cs="Kaiti SC Regular"/>
          <w:color w:val="C00000"/>
        </w:rPr>
      </w:pPr>
      <w:r>
        <w:rPr>
          <w:rFonts w:hint="eastAsia" w:ascii="Kaiti SC Regular" w:hAnsi="Kaiti SC Regular" w:eastAsia="Kaiti SC Regular" w:cs="Kaiti SC Regular"/>
          <w:color w:val="C00000"/>
        </w:rPr>
        <w:t>步骤3：TRA在30-60天内审核，通过后将税款退还至企业指定账户。</w:t>
      </w:r>
    </w:p>
    <w:p w14:paraId="0EB05EAD">
      <w:pPr>
        <w:numPr>
          <w:ilvl w:val="0"/>
          <w:numId w:val="6"/>
        </w:numPr>
        <w:ind w:left="425" w:leftChars="0" w:hanging="425" w:firstLineChars="0"/>
        <w:rPr>
          <w:rFonts w:hint="eastAsia" w:ascii="Kaiti SC Regular" w:hAnsi="Kaiti SC Regular" w:eastAsia="Kaiti SC Regular" w:cs="Kaiti SC Regular"/>
          <w:color w:val="C00000"/>
        </w:rPr>
      </w:pPr>
      <w:r>
        <w:rPr>
          <w:rFonts w:hint="eastAsia" w:ascii="Kaiti SC Regular" w:hAnsi="Kaiti SC Regular" w:eastAsia="Kaiti SC Regular" w:cs="Kaiti SC Regular"/>
          <w:color w:val="C00000"/>
        </w:rPr>
        <w:t>退税比例：100%退还已缴纳的关税及增值税，无额度限制，是转口贸易的核心成本优势。</w:t>
      </w:r>
    </w:p>
    <w:p w14:paraId="06CD2252">
      <w:pPr>
        <w:numPr>
          <w:numId w:val="0"/>
        </w:numPr>
        <w:ind w:leftChars="0"/>
        <w:rPr>
          <w:rFonts w:hint="eastAsia" w:ascii="Kaiti SC Regular" w:hAnsi="Kaiti SC Regular" w:eastAsia="Kaiti SC Regular" w:cs="Kaiti SC Regular"/>
        </w:rPr>
      </w:pPr>
    </w:p>
    <w:p w14:paraId="7C3A4084">
      <w:pPr>
        <w:rPr>
          <w:rFonts w:hint="eastAsia" w:ascii="Kaiti SC Bold" w:hAnsi="Kaiti SC Bold" w:eastAsia="Kaiti SC Bold" w:cs="Kaiti SC Bold"/>
          <w:b/>
          <w:bCs/>
          <w:sz w:val="22"/>
          <w:szCs w:val="28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</w:rPr>
        <w:t>（三）税务合规要点</w:t>
      </w:r>
    </w:p>
    <w:p w14:paraId="74514842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需确保 “三流一致”：货物流（中国→巴拿马→委内瑞拉）、资金流（委内瑞拉客户付款至巴拿马公司→巴拿马公司付款至中国出口商）、单据流（报关单、提单、发票信息一致），避免因信息不符被税务部门驳回退税申请。</w:t>
      </w:r>
    </w:p>
    <w:p w14:paraId="58D8BCAC">
      <w:pPr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64367CB4">
      <w:pPr>
        <w:rPr>
          <w:rFonts w:hint="eastAsia" w:ascii="Kaiti SC Bold" w:hAnsi="Kaiti SC Bold" w:eastAsia="Kaiti SC Bold" w:cs="Kaiti SC Bold"/>
          <w:b/>
          <w:bCs/>
          <w:sz w:val="28"/>
          <w:szCs w:val="36"/>
        </w:rPr>
      </w:pPr>
      <w:r>
        <w:rPr>
          <w:rFonts w:hint="eastAsia" w:ascii="Kaiti SC Bold" w:hAnsi="Kaiti SC Bold" w:eastAsia="Kaiti SC Bold" w:cs="Kaiti SC Bold"/>
          <w:b/>
          <w:bCs/>
          <w:sz w:val="28"/>
          <w:szCs w:val="36"/>
        </w:rPr>
        <w:t>四、轮胎行业政策与发展环境</w:t>
      </w:r>
    </w:p>
    <w:p w14:paraId="36F3585A">
      <w:pPr>
        <w:rPr>
          <w:rFonts w:hint="eastAsia" w:ascii="Kaiti SC Bold" w:hAnsi="Kaiti SC Bold" w:eastAsia="Kaiti SC Bold" w:cs="Kaiti SC Bold"/>
          <w:b/>
          <w:bCs/>
          <w:sz w:val="22"/>
          <w:szCs w:val="28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</w:rPr>
        <w:t>（一）行业准入与监管政策</w:t>
      </w:r>
    </w:p>
    <w:p w14:paraId="7AA90D60">
      <w:pPr>
        <w:numPr>
          <w:ilvl w:val="0"/>
          <w:numId w:val="7"/>
        </w:numPr>
        <w:ind w:left="425" w:leftChars="0" w:hanging="425" w:firstLineChars="0"/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</w:rPr>
        <w:t>认证要求：轮胎进口需符合DOT（美国交通部标准）或ECE（欧盟经济委员会标准），无需额外巴拿马本地认证，但若目标市场为委内瑞拉，需提前确保产品通过SENCAMER认证，以便转口时直接清关。</w:t>
      </w:r>
    </w:p>
    <w:p w14:paraId="0627E52A">
      <w:pPr>
        <w:numPr>
          <w:ilvl w:val="0"/>
          <w:numId w:val="7"/>
        </w:numPr>
        <w:ind w:left="425" w:leftChars="0" w:hanging="425" w:firstLineChars="0"/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</w:rPr>
        <w:t>市场限制：无轮胎进口配额或禁运政策，对中国轮胎无歧视性待遇，2023年中国轮胎占巴拿马转口轮胎总量的45%，居首位。</w:t>
      </w:r>
    </w:p>
    <w:p w14:paraId="2EAB05F8">
      <w:pPr>
        <w:numPr>
          <w:ilvl w:val="0"/>
          <w:numId w:val="7"/>
        </w:numPr>
        <w:ind w:left="425" w:leftChars="0" w:hanging="425" w:firstLineChars="0"/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</w:rPr>
        <w:t>报备要求：进口轮胎需向巴拿马工业贸易部提交“产品入境备案”，仅需线上填写基本信息（货值、数量、认证编号），无需实地审核，1-2个工作日即可完成。</w:t>
      </w:r>
    </w:p>
    <w:p w14:paraId="68203239">
      <w:pPr>
        <w:numPr>
          <w:numId w:val="0"/>
        </w:numPr>
        <w:ind w:leftChars="0"/>
        <w:rPr>
          <w:rFonts w:hint="eastAsia" w:ascii="Kaiti SC Regular" w:hAnsi="Kaiti SC Regular" w:eastAsia="Kaiti SC Regular" w:cs="Kaiti SC Regular"/>
        </w:rPr>
      </w:pPr>
    </w:p>
    <w:p w14:paraId="7AF5D2BA">
      <w:pPr>
        <w:rPr>
          <w:rFonts w:hint="eastAsia" w:ascii="Kaiti SC Bold" w:hAnsi="Kaiti SC Bold" w:eastAsia="Kaiti SC Bold" w:cs="Kaiti SC Bold"/>
          <w:b/>
          <w:bCs/>
          <w:sz w:val="22"/>
          <w:szCs w:val="28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</w:rPr>
        <w:t>（二）产业支持与限制措施</w:t>
      </w:r>
    </w:p>
    <w:p w14:paraId="5AAC15C3">
      <w:pPr>
        <w:numPr>
          <w:ilvl w:val="0"/>
          <w:numId w:val="8"/>
        </w:numPr>
        <w:ind w:left="425" w:leftChars="0" w:hanging="425" w:firstLineChars="0"/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</w:rPr>
        <w:t>支持政策：科隆自贸区对转口型轮胎企业提供租金优惠（前2年租金减免30%）、员工社保补贴（企业承担部分减免15%），鼓励物流企业与轮胎出口商合作。</w:t>
      </w:r>
    </w:p>
    <w:p w14:paraId="244ADB3A">
      <w:pPr>
        <w:numPr>
          <w:ilvl w:val="0"/>
          <w:numId w:val="8"/>
        </w:numPr>
        <w:ind w:left="425" w:leftChars="0" w:hanging="425" w:firstLineChars="0"/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</w:rPr>
        <w:t>限制措施：无本土轮胎产业保护政策，因巴拿马自身无轮胎生产企业，完全依赖进口，对轮胎产品无技术壁垒或隐性限制。</w:t>
      </w:r>
    </w:p>
    <w:p w14:paraId="1878D3F3">
      <w:pPr>
        <w:rPr>
          <w:rFonts w:hint="eastAsia" w:ascii="Kaiti SC Bold" w:hAnsi="Kaiti SC Bold" w:eastAsia="Kaiti SC Bold" w:cs="Kaiti SC Bold"/>
          <w:b/>
          <w:bCs/>
          <w:sz w:val="22"/>
          <w:szCs w:val="28"/>
        </w:rPr>
      </w:pPr>
    </w:p>
    <w:p w14:paraId="39A74DE4">
      <w:pPr>
        <w:rPr>
          <w:rFonts w:hint="eastAsia" w:ascii="Kaiti SC Bold" w:hAnsi="Kaiti SC Bold" w:eastAsia="Kaiti SC Bold" w:cs="Kaiti SC Bold"/>
          <w:b/>
          <w:bCs/>
          <w:sz w:val="22"/>
          <w:szCs w:val="28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</w:rPr>
        <w:t>（三）未来政策趋势</w:t>
      </w:r>
    </w:p>
    <w:p w14:paraId="7C6D8AA9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预计2026-2028年，巴拿马将进一步强化科隆自贸区的转口功能，可能推出“转口退税加急服务”（审核周期缩短至15天内），并与委内瑞拉等拉美国家签署“海关数据互通协议”，提升转口清关效率。同时，为应对美国压力，可能对部分高科技产品加强监管，但轮胎作为基础工业品受影响较小。</w:t>
      </w:r>
    </w:p>
    <w:p w14:paraId="1D5459C3">
      <w:pPr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71E8C3F2">
      <w:pPr>
        <w:rPr>
          <w:rFonts w:hint="eastAsia" w:ascii="Kaiti SC Bold" w:hAnsi="Kaiti SC Bold" w:eastAsia="Kaiti SC Bold" w:cs="Kaiti SC Bold"/>
          <w:b/>
          <w:bCs/>
          <w:sz w:val="28"/>
          <w:szCs w:val="36"/>
        </w:rPr>
      </w:pPr>
      <w:r>
        <w:rPr>
          <w:rFonts w:hint="eastAsia" w:ascii="Kaiti SC Bold" w:hAnsi="Kaiti SC Bold" w:eastAsia="Kaiti SC Bold" w:cs="Kaiti SC Bold"/>
          <w:b/>
          <w:bCs/>
          <w:sz w:val="28"/>
          <w:szCs w:val="36"/>
        </w:rPr>
        <w:t>五、政治与国际关系环境</w:t>
      </w:r>
    </w:p>
    <w:p w14:paraId="2015038A">
      <w:pPr>
        <w:rPr>
          <w:rFonts w:hint="eastAsia" w:ascii="Kaiti SC Bold" w:hAnsi="Kaiti SC Bold" w:eastAsia="Kaiti SC Bold" w:cs="Kaiti SC Bold"/>
          <w:b/>
          <w:bCs/>
          <w:sz w:val="22"/>
          <w:szCs w:val="28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</w:rPr>
        <w:t>（一）政治稳定性</w:t>
      </w:r>
    </w:p>
    <w:p w14:paraId="49B5C376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巴拿马实行共和制，政治体制稳定，2025年虽宣布退出“一带一路”备忘录，但主要受美国压力影响，国内对中资企业态度仍较友好。政府重视物流产业发展，政策连续性较强，近5年未发生影响贸易的政治动荡或政策突变。</w:t>
      </w:r>
    </w:p>
    <w:p w14:paraId="00661F45">
      <w:pPr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34CD1C7D">
      <w:pPr>
        <w:rPr>
          <w:rFonts w:hint="eastAsia" w:ascii="Kaiti SC Bold" w:hAnsi="Kaiti SC Bold" w:eastAsia="Kaiti SC Bold" w:cs="Kaiti SC Bold"/>
          <w:b/>
          <w:bCs/>
          <w:sz w:val="22"/>
          <w:szCs w:val="28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</w:rPr>
        <w:t>（二）与中国的合作关系</w:t>
      </w:r>
    </w:p>
    <w:p w14:paraId="5D18FC78">
      <w:pPr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</w:rPr>
        <w:t>经贸合作：虽退出“一带一路”框架，但中巴贸易仍保持活跃，中国是巴拿马运河第一大用户，200余家中国企业在巴从事物流、基建等业务，科隆港有中资参与运营，为轮胎转口提供基础设施支持。</w:t>
      </w:r>
    </w:p>
    <w:p w14:paraId="3994CEA8">
      <w:pPr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</w:rPr>
        <w:t>合作便利度：对比菲律宾、日韩，中巴在物流领域合作更深入，中国企业可依托科隆自贸区的成熟配套实现高效转口，且无针对中国轮胎的歧视性税率；菲律宾对中国部分工业品征收反倾销税，日韩轮胎在巴拿马市场以高端产品为主，与大轮基础款定位形成差异化竞争，无直接政策冲突。</w:t>
      </w:r>
    </w:p>
    <w:p w14:paraId="45196F8F">
      <w:pPr>
        <w:rPr>
          <w:rFonts w:hint="eastAsia" w:ascii="Kaiti SC Regular" w:hAnsi="Kaiti SC Regular" w:eastAsia="Kaiti SC Regular" w:cs="Kaiti SC Regular"/>
        </w:rPr>
      </w:pPr>
    </w:p>
    <w:p w14:paraId="5173C976">
      <w:pPr>
        <w:rPr>
          <w:rFonts w:hint="eastAsia" w:ascii="Kaiti SC Bold" w:hAnsi="Kaiti SC Bold" w:eastAsia="Kaiti SC Bold" w:cs="Kaiti SC Bold"/>
          <w:b/>
          <w:bCs/>
          <w:sz w:val="22"/>
          <w:szCs w:val="28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</w:rPr>
        <w:t>（三）亲美倾向与潜在风险</w:t>
      </w:r>
    </w:p>
    <w:p w14:paraId="19FA8B0D">
      <w:pPr>
        <w:rPr>
          <w:rFonts w:hint="eastAsia" w:ascii="Kaiti SC Regular" w:hAnsi="Kaiti SC Regular" w:eastAsia="Kaiti SC Regular" w:cs="Kaiti SC Regular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巴拿马在外交上受美国影响较深，退出“一带一路”体现其亲美倾向，但经济上高度依赖转口贸易，不会因政治倾向牺牲物流产业利益。对轮胎转口业务的潜在风险主要为美国可能施压要求巴拿马加强对“中资背景货物”的查验，建议通过巴拿马本地公司作为中转主体，降低直接关联风险。</w:t>
      </w:r>
    </w:p>
    <w:p w14:paraId="0E0E1665">
      <w:pPr>
        <w:rPr>
          <w:rFonts w:hint="default" w:ascii="Kaiti SC Regular" w:hAnsi="Kaiti SC Regular" w:eastAsia="Kaiti SC Bold" w:cs="Kaiti SC Regular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tserra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THeiti Light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aiti TC Regular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aiti SC Regular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Songti TC Regular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Yuanti SC Regular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Songti SC Light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aiti SC Bold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EE6F24"/>
    <w:multiLevelType w:val="singleLevel"/>
    <w:tmpl w:val="BFEE6F2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3DED65D"/>
    <w:multiLevelType w:val="multilevel"/>
    <w:tmpl w:val="E3DED65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EBBE2B4C"/>
    <w:multiLevelType w:val="singleLevel"/>
    <w:tmpl w:val="EBBE2B4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F6D5FC61"/>
    <w:multiLevelType w:val="singleLevel"/>
    <w:tmpl w:val="F6D5FC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CE6BE06"/>
    <w:multiLevelType w:val="multilevel"/>
    <w:tmpl w:val="FCE6BE0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FF1BE78B"/>
    <w:multiLevelType w:val="singleLevel"/>
    <w:tmpl w:val="FF1BE78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09D6FCAB"/>
    <w:multiLevelType w:val="multilevel"/>
    <w:tmpl w:val="09D6FCA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6FC6A5AC"/>
    <w:multiLevelType w:val="singleLevel"/>
    <w:tmpl w:val="6FC6A5A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7"/>
  </w:num>
  <w:num w:numId="5">
    <w:abstractNumId w:val="2"/>
  </w:num>
  <w:num w:numId="6">
    <w:abstractNumId w:val="6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EFE503"/>
    <w:rsid w:val="2FEFE503"/>
    <w:rsid w:val="3E77EDC5"/>
    <w:rsid w:val="597F79B1"/>
    <w:rsid w:val="69DF0D49"/>
    <w:rsid w:val="6DEFCBB6"/>
    <w:rsid w:val="99FFACA9"/>
    <w:rsid w:val="9FE992F7"/>
    <w:rsid w:val="CFFF4EE8"/>
    <w:rsid w:val="DBFD0548"/>
    <w:rsid w:val="E7F18C86"/>
    <w:rsid w:val="EDB55CBA"/>
    <w:rsid w:val="EF9FAA45"/>
    <w:rsid w:val="F7EDBBA6"/>
    <w:rsid w:val="FFDBA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100</TotalTime>
  <ScaleCrop>false</ScaleCrop>
  <LinksUpToDate>false</LinksUpToDate>
  <CharactersWithSpaces>0</CharactersWithSpaces>
  <Application>WPS Office_12.1.22522.22522_F1E327BC-269C-435d-A152-05C5408002CA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2025-10-15T16:01:00Z</dcterms:created>
  <dc:creator>奇迹畅畅</dc:creator>
  <cp:lastModifiedBy>奇迹畅畅</cp:lastModifiedBy>
  <dcterms:modified xsi:type="dcterms:W3CDTF">2025-10-16T16:41:35Z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2052-12.1.22522.22522</vt:lpwstr>
  </property>
  <property fmtid="{D5CDD505-2E9C-101B-9397-08002B2CF9AE}" pid="3" name="ICV">
    <vt:lpwstr>0471B9C56C7B3AEBE154EF68B6D12897_41</vt:lpwstr>
  </property>
</Properties>
</file>