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5E373">
      <w:pPr>
        <w:jc w:val="center"/>
        <w:rPr>
          <w:rFonts w:hint="eastAsia" w:ascii="Kaiti SC Bold" w:hAnsi="Kaiti SC Bold" w:eastAsia="Kaiti SC Bold" w:cs="Kaiti SC Bold"/>
          <w:b/>
          <w:bCs/>
          <w:sz w:val="40"/>
          <w:szCs w:val="40"/>
        </w:rPr>
      </w:pPr>
      <w:r>
        <w:rPr>
          <w:rFonts w:hint="default" w:ascii="Kaiti SC Bold" w:hAnsi="Kaiti SC Bold" w:eastAsia="Kaiti SC Bold" w:cs="Kaiti SC Bold"/>
          <w:b/>
          <w:bCs/>
          <w:sz w:val="40"/>
          <w:szCs w:val="40"/>
        </w:rPr>
        <w:t>委内瑞拉市场研究及物流、贸易政策详解</w:t>
      </w:r>
    </w:p>
    <w:p w14:paraId="06114B79">
      <w:pP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  <w:t>一、国家基础概况</w:t>
      </w:r>
    </w:p>
    <w:p w14:paraId="30224CC9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（一）地理与气候</w:t>
      </w:r>
    </w:p>
    <w:p w14:paraId="00D01D32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委内瑞拉位于南美洲北部，经纬度范围大致为北纬0°-12°、西经59°-74°，北临加勒比海，东接圭亚那，南连巴西，西与哥伦比亚接壤，国土面积约91.64万平方公里。境内地形复杂，西北部为安第斯山脉分支，中部为奥里诺科平原，东南部为圭亚那高原，石油资源主要集中在马拉开波湖及沿海地区。</w:t>
      </w:r>
    </w:p>
    <w:p w14:paraId="0B142B57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气候属热带草原气候和热带雨林气候，年均气温25℃-28℃，年降水量1000-3000毫米。北部沿海及奥里诺科平原为热带草原气候，分干湿两季（6-11月为雨季，12-5月为干季）；南部为热带雨林气候，全年高温多雨。雨季易引发洪涝，可能导致港口短暂停运或道路中断。</w:t>
      </w:r>
    </w:p>
    <w:p w14:paraId="5041CF46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486DEBBD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（二）人口与风土人情</w:t>
      </w:r>
    </w:p>
    <w:p w14:paraId="6583AA1D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截至2024年，委内瑞拉总人口约2830万人，其中印欧混血种人占68%，白人占21%，黑人占10%，印第安人占1%。官方语言为西班牙语，部分少数民族使用本族语言。居民主要信奉天主教（占71%），其次为基督教新教（占17%）。</w:t>
      </w:r>
    </w:p>
    <w:p w14:paraId="6FDC6EB0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当地文化受西班牙殖民影响深远，同时保留印第安传统元素，重视家庭与社群关系。商务往来中，初次见面需行握手礼，沟通时注重礼节与耐心，决策流程相对较长。由于经济波动，当地企业对价格敏感度高，且更倾向于与长期合作的伙伴交易。</w:t>
      </w:r>
    </w:p>
    <w:p w14:paraId="651FCAD2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663A1667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（三）经济发展状况</w:t>
      </w:r>
    </w:p>
    <w:p w14:paraId="31BD1908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委内瑞拉经济高度依赖石油产业，石油出口占GDP的35%、出口总额的90%以上。2019-2022年受国际油价下跌、制裁及疫情影响，经济陷入衰退，2023年随着油价回升及经济政策调整，GDP增长1.5%，预计2024-2025年增速提升至2%-3%。</w:t>
      </w:r>
    </w:p>
    <w:p w14:paraId="7012537F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通货膨胀率虽较2021年（超6500%）大幅回落，但2024年仍达150%-200%，货币为玻利瓦尔（VES），实行多重汇率制度：官方汇率约1美元兑换102玻利瓦尔，黑市汇率约1美元兑换3000 +玻利瓦尔，严重影响国际贸易结算效率。</w:t>
      </w:r>
    </w:p>
    <w:p w14:paraId="7D7262B8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50D1B361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（四）用车与路面状况</w:t>
      </w:r>
    </w:p>
    <w:p w14:paraId="2898C048">
      <w:pPr>
        <w:rPr>
          <w:rFonts w:hint="eastAsia" w:ascii="Kaiti SC Regular" w:hAnsi="Kaiti SC Regular" w:eastAsia="Kaiti SC Regular" w:cs="Kaiti SC Regular"/>
          <w:color w:val="C00000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委内瑞拉机动车保有量约800万辆，平均每3.5人拥有1辆汽车，但车辆老化严重，80%以上车龄超过10年，主要依赖进口替换轮胎。</w:t>
      </w: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乘用车以紧凑型轿车为主，185/65R15、195/65R15 等规格PCR轮胎需求占比72%；商用车中，石油运输用高载重TBR轮胎（275/80R22.5）需求年增16%。</w:t>
      </w:r>
    </w:p>
    <w:p w14:paraId="694B825C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路面设施呈现“两极分化”：主要城市（加拉加斯、马拉开波）及石油产区的主干道为沥青路面，铺装率约60%；农村及矿区道路多为砂石路或未铺装路面，且因维护不足，破损严重。全国公路总里程约9.6万公里，其中国家级公路约2.5万公里，矿山、油田区域的非铺装路面对轮胎耐磨性、抗刺扎性要求较高。</w:t>
      </w:r>
    </w:p>
    <w:p w14:paraId="2CD886A9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4F375235">
      <w:pP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  <w:t>二、物流运输体系</w:t>
      </w:r>
    </w:p>
    <w:p w14:paraId="01FE821E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（一）核心港口与基础设施</w:t>
      </w:r>
    </w:p>
    <w:p w14:paraId="3DD5B290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委内瑞拉主要港口包括卡巴略港（最大商业港口，年吞吐量约1200万吨）、拉瓜伊拉港（首都门户港，距加拉加斯仅30公里）、马拉凯博港（石油运输核心港）。港口设施因资金不足存在老化问题，装卸效率较低，平均每集装箱装卸时间约8-12小时，比国际平均水平慢50%。</w:t>
      </w:r>
    </w:p>
    <w:p w14:paraId="2E5A2938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物流配套薄弱，全国仅有3个大型物流园区，均位于沿海城市，内陆地区仓储设施匮乏，且仓储费用高昂（约20-30美元/立方米/月）。</w:t>
      </w:r>
    </w:p>
    <w:p w14:paraId="77E98E16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2213D24C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（二）</w:t>
      </w:r>
      <w:r>
        <w:rPr>
          <w:rFonts w:hint="eastAsia" w:ascii="Kaiti SC Bold" w:hAnsi="Kaiti SC Bold" w:eastAsia="Kaiti SC Bold" w:cs="Kaiti SC Bold"/>
          <w:b/>
          <w:bCs/>
          <w:color w:val="C00000"/>
          <w:sz w:val="22"/>
          <w:szCs w:val="28"/>
          <w:lang w:val="en-US" w:eastAsia="zh-CN"/>
        </w:rPr>
        <w:t>巴拿马至委内瑞拉物流核心细节</w:t>
      </w:r>
    </w:p>
    <w:p w14:paraId="26151D19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1. 运输流程与时效</w:t>
      </w:r>
    </w:p>
    <w:p w14:paraId="4EF3DED3">
      <w:pPr>
        <w:numPr>
          <w:ilvl w:val="0"/>
          <w:numId w:val="1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流程：巴拿马科隆港装船→短途海运至委内瑞拉卡巴略港/拉瓜伊拉港→港口清关→VUCEM电子系统核销→拖车配送至客户地址。</w:t>
      </w:r>
    </w:p>
    <w:p w14:paraId="008DA581">
      <w:pPr>
        <w:numPr>
          <w:ilvl w:val="0"/>
          <w:numId w:val="1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时效：海运3-5天 + 清关7-10天 + 本地配送1-3天，全程11-18天，若遇海关查验或外汇审批延迟，最长可达30天。</w:t>
      </w:r>
    </w:p>
    <w:p w14:paraId="095CD400">
      <w:pPr>
        <w:numPr>
          <w:numId w:val="0"/>
        </w:numPr>
        <w:ind w:leftChars="0"/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5A47AEB5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2. 费用构成（含本地终端费用）</w:t>
      </w:r>
    </w:p>
    <w:p w14:paraId="063418FB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以20GP集装箱、货值10万美元轮胎为例：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9"/>
        <w:gridCol w:w="1800"/>
        <w:gridCol w:w="4647"/>
      </w:tblGrid>
      <w:tr w14:paraId="14569166">
        <w:trPr>
          <w:tblHeader/>
        </w:trPr>
        <w:tc>
          <w:tcPr>
            <w:tcW w:w="1859" w:type="dxa"/>
            <w:tcBorders>
              <w:top w:val="single" w:color="000000" w:sz="12" w:space="0"/>
              <w:left w:val="nil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759C38F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费用项目</w:t>
            </w:r>
          </w:p>
        </w:tc>
        <w:tc>
          <w:tcPr>
            <w:tcW w:w="1800" w:type="dxa"/>
            <w:tcBorders>
              <w:top w:val="single" w:color="000000" w:sz="12" w:space="0"/>
              <w:left w:val="nil"/>
              <w:bottom w:val="single" w:color="000000" w:sz="4" w:space="0"/>
            </w:tcBorders>
            <w:shd w:val="clear" w:color="auto" w:fill="FFFFFF"/>
            <w:vAlign w:val="center"/>
          </w:tcPr>
          <w:p w14:paraId="68CC2C9D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金额范围</w:t>
            </w:r>
          </w:p>
        </w:tc>
        <w:tc>
          <w:tcPr>
            <w:tcW w:w="46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F385B0">
            <w:pP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Kaiti SC Bold" w:hAnsi="Kaiti SC Bold" w:eastAsia="Kaiti SC Bold" w:cs="Kaiti SC Bold"/>
                <w:b/>
                <w:bCs/>
                <w:color w:val="000000"/>
                <w:lang w:val="en-US" w:eastAsia="zh-CN"/>
              </w:rPr>
              <w:t>说明</w:t>
            </w:r>
          </w:p>
        </w:tc>
      </w:tr>
      <w:tr w14:paraId="7FC91614">
        <w:tc>
          <w:tcPr>
            <w:tcW w:w="1859" w:type="dxa"/>
            <w:tcBorders>
              <w:top w:val="single" w:color="000000" w:sz="4" w:space="0"/>
              <w:left w:val="nil"/>
              <w:bottom w:val="nil"/>
            </w:tcBorders>
            <w:shd w:val="clear" w:color="auto" w:fill="FFFFFF"/>
            <w:vAlign w:val="center"/>
          </w:tcPr>
          <w:p w14:paraId="0E185680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巴</w:t>
            </w:r>
            <w:r>
              <w:rPr>
                <w:rFonts w:hint="eastAsia" w:ascii="Kaiti SC Regular" w:hAnsi="Kaiti SC Regular" w:eastAsia="Kaiti SC Regular" w:cs="Kaiti SC Regular"/>
                <w:lang w:val="en-US" w:eastAsia="zh-CN"/>
              </w:rPr>
              <w:t>→</w:t>
            </w: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委海运及杂费</w:t>
            </w:r>
          </w:p>
        </w:tc>
        <w:tc>
          <w:tcPr>
            <w:tcW w:w="1800" w:type="dxa"/>
            <w:tcBorders>
              <w:top w:val="single" w:color="000000" w:sz="4" w:space="0"/>
              <w:left w:val="nil"/>
              <w:bottom w:val="nil"/>
            </w:tcBorders>
            <w:shd w:val="clear" w:color="auto" w:fill="FFFFFF"/>
            <w:vAlign w:val="center"/>
          </w:tcPr>
          <w:p w14:paraId="09088A49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1150-1850美元</w:t>
            </w:r>
          </w:p>
        </w:tc>
        <w:tc>
          <w:tcPr>
            <w:tcW w:w="46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6FFA60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含短途海运、港口操作、代理服务费</w:t>
            </w:r>
          </w:p>
        </w:tc>
      </w:tr>
      <w:tr w14:paraId="1325EB3C"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132662BD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委内瑞拉进口关税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48EECD50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10000-20000美元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F984B6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轮胎税率10%-20%，按CIF价值计征，基础款PCR税率 10%，TBR税率15%</w:t>
            </w:r>
          </w:p>
        </w:tc>
      </w:tr>
      <w:tr w14:paraId="79523C63"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6965B973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增值税（IVA）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B22CAAE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3345-6570美元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08946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税率16%，计算基数为CIF价值+关税，2025年无调整计划</w:t>
            </w:r>
          </w:p>
        </w:tc>
      </w:tr>
      <w:tr w14:paraId="6EE7DE67"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752AB534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清关服务费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59276B7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500-800美元/票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3D6BC8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含VUCEM系统申报、文件审核、海关查验协助，需本地持牌代理操作</w:t>
            </w:r>
          </w:p>
        </w:tc>
      </w:tr>
      <w:tr w14:paraId="7CEDAA71"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715781FB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外汇审批费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64A79AC8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货值的1%-2%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A1FB5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约1000-2000美元，由进口商向CACEX申请外汇额度产生的费用</w:t>
            </w:r>
          </w:p>
        </w:tc>
      </w:tr>
      <w:tr w14:paraId="6D325E1A"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696E0DE7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拖车配送费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68EE0FA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300-800美元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77ECA1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港口至加拉加斯等主要城市，偏远地区（如矿山）需额外加价50%</w:t>
            </w:r>
          </w:p>
        </w:tc>
      </w:tr>
      <w:tr w14:paraId="0BE40104"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359CDA12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仓储滞期费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2A36EB53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10-20美元/天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B8A4E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若清关延误，港口按天收取，超过7天加倍计费</w:t>
            </w:r>
          </w:p>
        </w:tc>
      </w:tr>
      <w:tr w14:paraId="6494B08E">
        <w:tc>
          <w:tcPr>
            <w:tcW w:w="1859" w:type="dxa"/>
            <w:tcBorders>
              <w:top w:val="nil"/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08C9E767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合计（估算）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 w14:paraId="5726735F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17295-32020美元</w:t>
            </w:r>
          </w:p>
        </w:tc>
        <w:tc>
          <w:tcPr>
            <w:tcW w:w="46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C237C8">
            <w:pP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</w:pPr>
            <w:r>
              <w:rPr>
                <w:rFonts w:hint="eastAsia" w:ascii="Kaiti SC Regular" w:hAnsi="Kaiti SC Regular" w:eastAsia="Kaiti SC Regular" w:cs="Kaiti SC Regular"/>
                <w:b w:val="0"/>
                <w:color w:val="000000"/>
                <w:lang w:val="en-US" w:eastAsia="zh-CN"/>
              </w:rPr>
              <w:t>占货值比例约17%-32%，转口模式可通过贸易结构优化降低部分成本</w:t>
            </w:r>
          </w:p>
        </w:tc>
      </w:tr>
    </w:tbl>
    <w:p w14:paraId="7586F493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186E6517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3. 清关核心要求</w:t>
      </w:r>
    </w:p>
    <w:p w14:paraId="6B25A80C">
      <w:pPr>
        <w:numPr>
          <w:ilvl w:val="0"/>
          <w:numId w:val="2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强制认证：轮胎需通过SENCAMER认证，同时符合DOT FMVSS No.139与INLAC 347:2018双重标准，胎侧需模压认证标识，清关时需提供认证证书原件。</w:t>
      </w:r>
    </w:p>
    <w:p w14:paraId="25F6C90B">
      <w:pPr>
        <w:numPr>
          <w:ilvl w:val="0"/>
          <w:numId w:val="2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文件清单：商业发票（西班牙语）、装箱单、提单、SENCAMER认证证书、FORM A原产地证书、进口商CACEX外汇额度批准文件。</w:t>
      </w:r>
    </w:p>
    <w:p w14:paraId="54B7147B">
      <w:pPr>
        <w:numPr>
          <w:ilvl w:val="0"/>
          <w:numId w:val="2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查验重点：产品认证合规性、货值申报真实性、标签语言规范性（需含西班牙语说明及热带气候适配图标）。</w:t>
      </w:r>
    </w:p>
    <w:p w14:paraId="348DDEE3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</w:p>
    <w:p w14:paraId="57BA7792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（三）中国至委内瑞拉直航物流对比</w:t>
      </w:r>
    </w:p>
    <w:p w14:paraId="1A10A85C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直航需经第三国中转，全程费用比转口高15%-20%，且需直接面对委内瑞拉严苛的清关与外汇管制，交期稳定性差（常超45天），转口模式通过巴拿马本地公司衔接，可将交期缩短至30天内，且外汇风险由中转方部分承担。</w:t>
      </w:r>
    </w:p>
    <w:p w14:paraId="58AC13FA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4A20BC92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48441E8F">
      <w:pP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  <w:t>三、税收政策与退税机制</w:t>
      </w:r>
    </w:p>
    <w:p w14:paraId="0554942D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（一）进口税收体系</w:t>
      </w:r>
    </w:p>
    <w:p w14:paraId="57B8E47D">
      <w:pPr>
        <w:numPr>
          <w:ilvl w:val="0"/>
          <w:numId w:val="3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进口关税：采用固定税率制，无阶梯收费，按商品类别划分，轮胎产品税率10%-20%，具体取决于轮胎类型（PCR低于TBR）、用途（替换胎低于原配胎）。2025年5月发布的第014-25号决议未调整轮胎基础税率，但加强了完税价格审核，防止低报货值避税。</w:t>
      </w:r>
    </w:p>
    <w:p w14:paraId="3FB21C40">
      <w:pPr>
        <w:numPr>
          <w:ilvl w:val="0"/>
          <w:numId w:val="3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增值税（IVA）：固定税率16%，计算基数为“CIF价值+关税”，需在清关时一次性缴纳，不可抵扣。</w:t>
      </w:r>
    </w:p>
    <w:p w14:paraId="3210C224">
      <w:pPr>
        <w:numPr>
          <w:ilvl w:val="0"/>
          <w:numId w:val="3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外汇调节税：无单独税种，但进口商申请官方外汇需缴纳10%-15%的“外汇使用费”，实际增加了进口成本。</w:t>
      </w:r>
    </w:p>
    <w:p w14:paraId="21B68D62">
      <w:pPr>
        <w:numPr>
          <w:ilvl w:val="0"/>
          <w:numId w:val="3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经济特区特殊政策：若货物最终进入委内瑞拉经济特区（如帕拉瓜纳经济特区），进口用于生产的轮胎可申请100%关税返还</w:t>
      </w:r>
      <w:r>
        <w:rPr>
          <w:rFonts w:hint="eastAsia" w:ascii="Kaiti SC Regular" w:hAnsi="Kaiti SC Regular" w:eastAsia="Kaiti SC Regular" w:cs="Kaiti SC Regular"/>
          <w:lang w:val="en-US" w:eastAsia="zh-CN"/>
        </w:rPr>
        <w:t>，但需满足“出口占比超60%”“进口投入品CIF值低于出口FOB值50%”等条件。</w:t>
      </w:r>
    </w:p>
    <w:p w14:paraId="4FD04CFA">
      <w:pPr>
        <w:numPr>
          <w:numId w:val="0"/>
        </w:numPr>
        <w:ind w:leftChars="0"/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26ACD76A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（二）</w:t>
      </w:r>
      <w:r>
        <w:rPr>
          <w:rFonts w:hint="eastAsia" w:ascii="Kaiti SC Bold" w:hAnsi="Kaiti SC Bold" w:eastAsia="Kaiti SC Bold" w:cs="Kaiti SC Bold"/>
          <w:b/>
          <w:bCs/>
          <w:color w:val="C00000"/>
          <w:sz w:val="22"/>
          <w:szCs w:val="28"/>
          <w:lang w:val="en-US" w:eastAsia="zh-CN"/>
        </w:rPr>
        <w:t>退税政策</w:t>
      </w: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（针对符合条件企业）</w:t>
      </w:r>
    </w:p>
    <w:p w14:paraId="304977DB">
      <w:pPr>
        <w:numPr>
          <w:ilvl w:val="0"/>
          <w:numId w:val="4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适用主体：经济特区内从事生产或转口业务的企业，需与国家经济特区管理局（SUNAZEE）签署经济活动协议，并每半年获取合规证书。</w:t>
      </w:r>
    </w:p>
    <w:p w14:paraId="007ABB95">
      <w:pPr>
        <w:numPr>
          <w:ilvl w:val="0"/>
          <w:numId w:val="4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color w:val="C00000"/>
          <w:lang w:val="en-US" w:eastAsia="zh-CN"/>
        </w:rPr>
      </w:pP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申请流程：</w:t>
      </w:r>
      <w:bookmarkStart w:id="0" w:name="_GoBack"/>
      <w:bookmarkEnd w:id="0"/>
    </w:p>
    <w:p w14:paraId="1B54D33E">
      <w:pPr>
        <w:numPr>
          <w:ilvl w:val="1"/>
          <w:numId w:val="4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步骤1：进口前向</w:t>
      </w:r>
      <w:r>
        <w:rPr>
          <w:rFonts w:hint="eastAsia" w:ascii="Kaiti SC Regular" w:hAnsi="Kaiti SC Regular" w:eastAsia="Kaiti SC Regular" w:cs="Kaiti SC Regular"/>
          <w:u w:val="single"/>
          <w:lang w:val="en-US" w:eastAsia="zh-CN"/>
        </w:rPr>
        <w:fldChar w:fldCharType="begin"/>
      </w:r>
      <w:r>
        <w:rPr>
          <w:rFonts w:hint="eastAsia" w:ascii="Kaiti SC Regular" w:hAnsi="Kaiti SC Regular" w:eastAsia="Kaiti SC Regular" w:cs="Kaiti SC Regular"/>
          <w:u w:val="single"/>
          <w:lang w:val="en-US" w:eastAsia="zh-CN"/>
        </w:rPr>
        <w:instrText xml:space="preserve"> HYPERLINK "http://www.industrias.gob.ve" </w:instrText>
      </w:r>
      <w:r>
        <w:rPr>
          <w:rFonts w:hint="eastAsia" w:ascii="Kaiti SC Regular" w:hAnsi="Kaiti SC Regular" w:eastAsia="Kaiti SC Regular" w:cs="Kaiti SC Regular"/>
          <w:u w:val="single"/>
          <w:lang w:val="en-US" w:eastAsia="zh-CN"/>
        </w:rPr>
        <w:fldChar w:fldCharType="separate"/>
      </w:r>
      <w:r>
        <w:rPr>
          <w:rStyle w:val="9"/>
          <w:rFonts w:hint="eastAsia" w:ascii="Kaiti SC Regular" w:hAnsi="Kaiti SC Regular" w:eastAsia="Kaiti SC Regular" w:cs="Kaiti SC Regular"/>
          <w:lang w:val="en-US" w:eastAsia="zh-CN"/>
        </w:rPr>
        <w:t>工业和国家生产部</w:t>
      </w:r>
      <w:r>
        <w:rPr>
          <w:rFonts w:hint="eastAsia" w:ascii="Kaiti SC Regular" w:hAnsi="Kaiti SC Regular" w:eastAsia="Kaiti SC Regular" w:cs="Kaiti SC Regular"/>
          <w:u w:val="single"/>
          <w:lang w:val="en-US" w:eastAsia="zh-CN"/>
        </w:rPr>
        <w:fldChar w:fldCharType="end"/>
      </w:r>
      <w:r>
        <w:rPr>
          <w:rFonts w:hint="eastAsia" w:ascii="Kaiti SC Regular" w:hAnsi="Kaiti SC Regular" w:eastAsia="Kaiti SC Regular" w:cs="Kaiti SC Regular"/>
          <w:lang w:val="en-US" w:eastAsia="zh-CN"/>
        </w:rPr>
        <w:t>申请“国内无替代产品证明”；</w:t>
      </w:r>
    </w:p>
    <w:p w14:paraId="35CE63D0">
      <w:pPr>
        <w:numPr>
          <w:ilvl w:val="1"/>
          <w:numId w:val="4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步骤2：缴纳关税后30天内，向国家海关和税务综合服务局提交退税申请，附合规证书、纳税凭证、进口报关单；</w:t>
      </w:r>
    </w:p>
    <w:p w14:paraId="0196C9E4">
      <w:pPr>
        <w:numPr>
          <w:ilvl w:val="1"/>
          <w:numId w:val="4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步骤3：税务部门3个月内审核，通过后7个工作日内返还税款。</w:t>
      </w:r>
    </w:p>
    <w:p w14:paraId="4F214F3B">
      <w:pPr>
        <w:numPr>
          <w:ilvl w:val="0"/>
          <w:numId w:val="4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注意事项：退税仅针对关税，增值税不适用；第七年起需保持出口占比60%以上方可继续享受优惠，轮胎转口业务较易满足此条件。</w:t>
      </w:r>
    </w:p>
    <w:p w14:paraId="4294D4CE">
      <w:pPr>
        <w:numPr>
          <w:numId w:val="0"/>
        </w:numPr>
        <w:ind w:leftChars="0"/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1930CF9C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（三）税务风险提示</w:t>
      </w:r>
    </w:p>
    <w:p w14:paraId="7493B759">
      <w:pPr>
        <w:numPr>
          <w:ilvl w:val="0"/>
          <w:numId w:val="5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汇率风险：官方汇率与黑市汇率差异巨大，若进口商使用黑市外汇结算，可能被税务部门认定为“逃税”，导致货物被扣。</w:t>
      </w:r>
    </w:p>
    <w:p w14:paraId="08F4FA24">
      <w:pPr>
        <w:numPr>
          <w:ilvl w:val="0"/>
          <w:numId w:val="5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申报风险：低报货值将面临 “补税+罚款（货值的20%-50%）”处罚，建议按真实交易价格申报，并保留完整交易凭证。</w:t>
      </w:r>
    </w:p>
    <w:p w14:paraId="2E8144D3">
      <w:pPr>
        <w:numPr>
          <w:numId w:val="0"/>
        </w:numPr>
        <w:ind w:leftChars="0"/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0311A94F">
      <w:pP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  <w:t>四、轮胎行业政策与发展环境</w:t>
      </w:r>
    </w:p>
    <w:p w14:paraId="279AD1CD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（一）行业准入与监管政策</w:t>
      </w:r>
    </w:p>
    <w:p w14:paraId="6E92F066">
      <w:pPr>
        <w:numPr>
          <w:ilvl w:val="0"/>
          <w:numId w:val="6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强制认证：SENCAMER认证是轮胎进口的“通行证”，申请周期约3-6个月，需提交产品测试报告（含耐高温、耐磨性能测试，适配热带气候）、工厂质量体系文件，且需通过现场审核。</w:t>
      </w:r>
    </w:p>
    <w:p w14:paraId="5116E9DC">
      <w:pPr>
        <w:numPr>
          <w:ilvl w:val="0"/>
          <w:numId w:val="6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进口限制：无配额限制，但受外汇管制影响，进口商需提前申请CACEX外汇额度，额度审批周期20-30天，是进口最大瓶颈。</w:t>
      </w:r>
    </w:p>
    <w:p w14:paraId="2F62AF57">
      <w:pPr>
        <w:numPr>
          <w:ilvl w:val="0"/>
          <w:numId w:val="6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报备要求：进口轮胎需在到港前7天通过VUCEM电子系统进行“预申报”，申报内容包括货值、数量、认证编号等，未报备货物将被拒绝入境。</w:t>
      </w:r>
    </w:p>
    <w:p w14:paraId="11A2CADB">
      <w:pPr>
        <w:numPr>
          <w:numId w:val="0"/>
        </w:numPr>
        <w:ind w:leftChars="0"/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6EF9DF2B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（二）产业支持与限制措施</w:t>
      </w:r>
    </w:p>
    <w:p w14:paraId="5806C29A">
      <w:pPr>
        <w:numPr>
          <w:ilvl w:val="0"/>
          <w:numId w:val="7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支持政策：经济特区内轮胎相关企业可享受关税返还、资产加速折旧等优惠；政府鼓励“本地化配套”，对采购本地内胎、垫带的进口轮胎企业，可优先审批外汇额度。</w:t>
      </w:r>
    </w:p>
    <w:p w14:paraId="66C9AEE5">
      <w:pPr>
        <w:numPr>
          <w:ilvl w:val="0"/>
          <w:numId w:val="7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限制与挑战：</w:t>
      </w:r>
    </w:p>
    <w:p w14:paraId="35374F05">
      <w:pPr>
        <w:numPr>
          <w:ilvl w:val="1"/>
          <w:numId w:val="7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制裁影响：美国对委内瑞拉实施经济制裁，部分国际支付通道受限，需通过第三方银行（如巴拿马汇丰银行）结算；</w:t>
      </w:r>
    </w:p>
    <w:p w14:paraId="159A193B">
      <w:pPr>
        <w:numPr>
          <w:ilvl w:val="1"/>
          <w:numId w:val="7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本土产业薄弱：委内瑞拉仅有2家小型轮胎翻新厂，无轮胎生产能力，100%依赖进口，但原材料（橡胶）进口无限制，未来或有发展本土产业的政策倾向；</w:t>
      </w:r>
    </w:p>
    <w:p w14:paraId="01FE7811">
      <w:pPr>
        <w:numPr>
          <w:ilvl w:val="1"/>
          <w:numId w:val="7"/>
        </w:numPr>
        <w:ind w:left="840" w:leftChars="0" w:hanging="420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质量监管趋严：2025年起，海关将对进口轮胎实施 “批批查验”，重点核查耐磨性、耐高温性能，不符合INLAC 347:2018标准的产品将被销毁。</w:t>
      </w:r>
    </w:p>
    <w:p w14:paraId="02181861">
      <w:pPr>
        <w:numPr>
          <w:numId w:val="0"/>
        </w:num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4544F2A6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（三）未来政策趋势</w:t>
      </w:r>
    </w:p>
    <w:p w14:paraId="7B10EB74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预计2026-2030年，委内瑞拉将围绕“石油经济复苏”调整轮胎行业政策：一是扩大经济特区范围，将更多港口纳入优惠体系，吸引转口贸易；二是可能推出“轮胎进口补贴”，定向支持石油运输、矿山等关键领域的轮胎需求；三是加强与中国、俄罗斯等国的技术合作，尝试建立轮胎组装厂，降低进口依赖。</w:t>
      </w:r>
    </w:p>
    <w:p w14:paraId="6757F6D2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6171CB41">
      <w:pP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8"/>
          <w:szCs w:val="36"/>
          <w:lang w:val="en-US" w:eastAsia="zh-CN"/>
        </w:rPr>
        <w:t>五、政治与国际关系环境</w:t>
      </w:r>
    </w:p>
    <w:p w14:paraId="3A805D01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（一）政治稳定性</w:t>
      </w:r>
    </w:p>
    <w:p w14:paraId="12AB131C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委内瑞拉实行总统制，政治局势存在一定不确定性，但2023年以来国内局势趋于平稳，政府将 “经济复苏” 列为首要任务，贸易政策连续性有所增强。物流与贸易领域受政治波动的直接影响较小，但需关注大选前后（2025年）可能出现的政策调整。</w:t>
      </w:r>
    </w:p>
    <w:p w14:paraId="434ACB89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77B32A3F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（二）与中国的合作关系</w:t>
      </w:r>
    </w:p>
    <w:p w14:paraId="71A0C13C">
      <w:pPr>
        <w:numPr>
          <w:ilvl w:val="0"/>
          <w:numId w:val="8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战略伙伴：中委是“全面战略伙伴关系”，2023年双边贸易额约100亿美元，中国是委内瑞拉石油最大进口国，同时向其出口机电产品、消费品等，轮胎是中国对委出口的重要品类。</w:t>
      </w:r>
    </w:p>
    <w:p w14:paraId="23EE14D0">
      <w:pPr>
        <w:numPr>
          <w:ilvl w:val="0"/>
          <w:numId w:val="8"/>
        </w:numPr>
        <w:ind w:left="425" w:leftChars="0" w:hanging="425" w:firstLineChars="0"/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未来前景：委内瑞拉计划加入“金砖国家新开发银行”，有望获得更多融资支持用于基建，将拉动TBR轮胎需求；中委在物流基础设施（如港口改造）上的合作可能深化，为轮胎转口提供更便利条件。</w:t>
      </w:r>
    </w:p>
    <w:p w14:paraId="39DE4CEF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p w14:paraId="6B618A85">
      <w:pP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</w:pPr>
      <w:r>
        <w:rPr>
          <w:rFonts w:hint="eastAsia" w:ascii="Kaiti SC Bold" w:hAnsi="Kaiti SC Bold" w:eastAsia="Kaiti SC Bold" w:cs="Kaiti SC Bold"/>
          <w:b/>
          <w:bCs/>
          <w:sz w:val="22"/>
          <w:szCs w:val="28"/>
          <w:lang w:val="en-US" w:eastAsia="zh-CN"/>
        </w:rPr>
        <w:t>（三）外交倾向与外部风险</w:t>
      </w:r>
    </w:p>
    <w:p w14:paraId="28D21F75">
      <w:pPr>
        <w:rPr>
          <w:rFonts w:hint="eastAsia" w:ascii="Kaiti SC Regular" w:hAnsi="Kaiti SC Regular" w:eastAsia="Kaiti SC Regular" w:cs="Kaiti SC Regular"/>
          <w:lang w:val="en-US" w:eastAsia="zh-CN"/>
        </w:rPr>
      </w:pPr>
      <w:r>
        <w:rPr>
          <w:rFonts w:hint="eastAsia" w:ascii="Kaiti SC Regular" w:hAnsi="Kaiti SC Regular" w:eastAsia="Kaiti SC Regular" w:cs="Kaiti SC Regular"/>
          <w:lang w:val="en-US" w:eastAsia="zh-CN"/>
        </w:rPr>
        <w:t>委内瑞拉反美立场明确，长期受美国制裁，导致国际支付、物流通道受限。但这也促使其加强与中国、俄罗斯等国的合作，为中国企业提供了市场机遇。潜在风险为美国可能扩大制裁范围，影响第三方（如巴拿马）与委内瑞拉的贸易，建议</w:t>
      </w:r>
      <w:r>
        <w:rPr>
          <w:rFonts w:hint="eastAsia" w:ascii="Kaiti SC Regular" w:hAnsi="Kaiti SC Regular" w:eastAsia="Kaiti SC Regular" w:cs="Kaiti SC Regular"/>
          <w:color w:val="C00000"/>
          <w:lang w:val="en-US" w:eastAsia="zh-CN"/>
        </w:rPr>
        <w:t>通过“巴拿马本地公司+信用证结算”模式</w:t>
      </w:r>
      <w:r>
        <w:rPr>
          <w:rFonts w:hint="eastAsia" w:ascii="Kaiti SC Regular" w:hAnsi="Kaiti SC Regular" w:eastAsia="Kaiti SC Regular" w:cs="Kaiti SC Regular"/>
          <w:lang w:val="en-US" w:eastAsia="zh-CN"/>
        </w:rPr>
        <w:t>隔离风险。</w:t>
      </w:r>
    </w:p>
    <w:p w14:paraId="2D1FCEFD">
      <w:pPr>
        <w:rPr>
          <w:rFonts w:hint="eastAsia" w:ascii="Kaiti SC Regular" w:hAnsi="Kaiti SC Regular" w:eastAsia="Kaiti SC Regular" w:cs="Kaiti SC Regular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aiti SC Bold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6D8DE2"/>
    <w:multiLevelType w:val="multilevel"/>
    <w:tmpl w:val="BB6D8D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FCA99E5"/>
    <w:multiLevelType w:val="singleLevel"/>
    <w:tmpl w:val="DFCA99E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EDDD5EA0"/>
    <w:multiLevelType w:val="singleLevel"/>
    <w:tmpl w:val="EDDD5EA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DDFF53F"/>
    <w:multiLevelType w:val="singleLevel"/>
    <w:tmpl w:val="EDDFF53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B7A9BD3"/>
    <w:multiLevelType w:val="singleLevel"/>
    <w:tmpl w:val="FB7A9B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BDE0471"/>
    <w:multiLevelType w:val="singleLevel"/>
    <w:tmpl w:val="FBDE047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FD7EE69E"/>
    <w:multiLevelType w:val="multilevel"/>
    <w:tmpl w:val="FD7EE6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1EBCA84B"/>
    <w:multiLevelType w:val="singleLevel"/>
    <w:tmpl w:val="1EBCA84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192AA"/>
    <w:rsid w:val="2DFD74A1"/>
    <w:rsid w:val="32FB5831"/>
    <w:rsid w:val="46FB54E4"/>
    <w:rsid w:val="4F9B9E91"/>
    <w:rsid w:val="5EE9ED11"/>
    <w:rsid w:val="5FA192AA"/>
    <w:rsid w:val="77F17B5C"/>
    <w:rsid w:val="7F9F06D4"/>
    <w:rsid w:val="7FDE4446"/>
    <w:rsid w:val="BF7FDCF6"/>
    <w:rsid w:val="BFFDD989"/>
    <w:rsid w:val="EBFEA561"/>
    <w:rsid w:val="EF6EBB11"/>
    <w:rsid w:val="FE7F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2025-10-16T14:12:00Z</dcterms:created>
  <dc:creator>奇迹畅畅</dc:creator>
  <cp:lastModifiedBy>奇迹畅畅</cp:lastModifiedBy>
  <dcterms:modified xsi:type="dcterms:W3CDTF">2025-10-16T16:24:14Z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3CA131B4FD60D82FB98CF06819274FB6_41</vt:lpwstr>
  </property>
</Properties>
</file>