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F69CD">
      <w:pPr>
        <w:jc w:val="center"/>
        <w:rPr>
          <w:rFonts w:hint="default" w:ascii="Kaiti SC Bold" w:hAnsi="Kaiti SC Bold" w:eastAsia="Kaiti SC Bold" w:cs="Kaiti SC Bold"/>
          <w:b/>
          <w:bCs/>
          <w:sz w:val="40"/>
          <w:szCs w:val="40"/>
        </w:rPr>
      </w:pPr>
      <w:r>
        <w:rPr>
          <w:rFonts w:hint="default" w:ascii="Kaiti SC Bold" w:hAnsi="Kaiti SC Bold" w:eastAsia="Kaiti SC Bold" w:cs="Kaiti SC Bold"/>
          <w:b/>
          <w:bCs/>
          <w:sz w:val="40"/>
          <w:szCs w:val="40"/>
        </w:rPr>
        <w:t>巴拿马公司创建流程</w:t>
      </w:r>
    </w:p>
    <w:p w14:paraId="3298EE5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结合中国→巴拿马→委内瑞拉转口核心需求，巴拿马公司注册需优先适配物流中转、关税优化、跨境结算等场景，且科隆自贸区是最优注册地（政策红利集中、转口流程成熟）。以下为可直接落地的全流程指南，涵盖类型选择、材料清单、费用明细、手续节点、合规维护等核心环节，所有信息均基于2025年最新政策及实务操作整理。</w:t>
      </w:r>
    </w:p>
    <w:p w14:paraId="41B1B8D1">
      <w:pPr>
        <w:rPr>
          <w:rFonts w:hint="eastAsia" w:ascii="Kaiti SC Regular" w:hAnsi="Kaiti SC Regular" w:eastAsia="Kaiti SC Regular" w:cs="Kaiti SC Regular"/>
          <w:lang w:val="en-US" w:eastAsia="zh-CN"/>
        </w:rPr>
      </w:pPr>
    </w:p>
    <w:p w14:paraId="27DC0642">
      <w:pPr>
        <w:numPr>
          <w:ilvl w:val="0"/>
          <w:numId w:val="1"/>
        </w:num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前期核心决策：公司类型与注册地选择</w:t>
      </w:r>
    </w:p>
    <w:p w14:paraId="6EE5E86F">
      <w:pPr>
        <w:numPr>
          <w:numId w:val="0"/>
        </w:num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（一）必选公司类型：股份有限公司（Sociedad Anónima, S.A.）</w:t>
      </w:r>
    </w:p>
    <w:p w14:paraId="4FB8810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根据巴拿马《普通公司法》，S.A.型公司是转口贸易的唯一适配类型，其优势匹配大轮业务需求：</w:t>
      </w:r>
    </w:p>
    <w:p w14:paraId="69E71D90">
      <w:pPr>
        <w:numPr>
          <w:ilvl w:val="0"/>
          <w:numId w:val="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责任隔离：股东仅以出资额为限承担责任，避免物流风险传导至个人资产；</w:t>
      </w:r>
    </w:p>
    <w:p w14:paraId="31BE1E15">
      <w:pPr>
        <w:numPr>
          <w:ilvl w:val="0"/>
          <w:numId w:val="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操作灵活：允许发行不记名股票，支持股东/董事兼任；</w:t>
      </w:r>
    </w:p>
    <w:p w14:paraId="051649D8">
      <w:pPr>
        <w:numPr>
          <w:ilvl w:val="0"/>
          <w:numId w:val="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政策适配：可直接入驻科隆自贸区，享受“进口免税、转口退税”核心红利；</w:t>
      </w:r>
    </w:p>
    <w:p w14:paraId="2723FAA4">
      <w:pPr>
        <w:numPr>
          <w:ilvl w:val="0"/>
          <w:numId w:val="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结算便利：银行开户认可度高，可对接巴拿马汇丰、Banco General 等支持中委贸易结算的金融机构。</w:t>
      </w:r>
    </w:p>
    <w:p w14:paraId="1FF024F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排除类型提醒：离岸公司（仅获外国收入、无经营通知）虽维护成本低，但无法在巴拿马境内开展物流中转、货物仓储等实体业务，且无法享受自贸区政策，不适用大轮场景。</w:t>
      </w:r>
    </w:p>
    <w:p w14:paraId="2E093F53">
      <w:pPr>
        <w:rPr>
          <w:rFonts w:hint="eastAsia" w:ascii="Kaiti SC Regular" w:hAnsi="Kaiti SC Regular" w:eastAsia="Kaiti SC Regular" w:cs="Kaiti SC Regular"/>
          <w:lang w:val="en-US" w:eastAsia="zh-CN"/>
        </w:rPr>
      </w:pPr>
    </w:p>
    <w:p w14:paraId="75B882A4">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（二）唯一推荐注册地：科隆自贸区（Colón Free Trade Zone）</w:t>
      </w:r>
    </w:p>
    <w:p w14:paraId="7ECDBEC8">
      <w:pPr>
        <w:rPr>
          <w:rFonts w:hint="eastAsia" w:ascii="Kaiti SC Bold" w:hAnsi="Kaiti SC Bold" w:eastAsia="Kaiti SC Bold" w:cs="Kaiti SC Bold"/>
          <w:b/>
          <w:bCs/>
          <w:lang w:val="en-US" w:eastAsia="zh-CN"/>
        </w:rPr>
      </w:pPr>
      <w:r>
        <w:rPr>
          <w:rFonts w:hint="eastAsia" w:ascii="Kaiti SC Regular" w:hAnsi="Kaiti SC Regular" w:eastAsia="Kaiti SC Regular" w:cs="Kaiti SC Regular"/>
          <w:lang w:val="en-US" w:eastAsia="zh-CN"/>
        </w:rPr>
        <w:t>对比巴拿马城普通区域，科隆自贸区对转口贸易的政策倾斜具有不可替代</w:t>
      </w:r>
      <w:r>
        <w:rPr>
          <w:rFonts w:hint="eastAsia" w:ascii="Kaiti SC Bold" w:hAnsi="Kaiti SC Bold" w:eastAsia="Kaiti SC Bold" w:cs="Kaiti SC Bold"/>
          <w:b/>
          <w:bCs/>
          <w:lang w:val="en-US" w:eastAsia="zh-CN"/>
        </w:rPr>
        <w:t>性，核心优势如下：</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19"/>
        <w:gridCol w:w="3930"/>
        <w:gridCol w:w="3057"/>
      </w:tblGrid>
      <w:tr w14:paraId="2382249B">
        <w:trPr>
          <w:tblHeader/>
        </w:trPr>
        <w:tc>
          <w:tcPr>
            <w:tcW w:w="1319" w:type="dxa"/>
            <w:tcBorders>
              <w:top w:val="nil"/>
              <w:left w:val="nil"/>
              <w:bottom w:val="nil"/>
            </w:tcBorders>
            <w:shd w:val="clear"/>
            <w:vAlign w:val="center"/>
          </w:tcPr>
          <w:p w14:paraId="2843F0C9">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对比维度</w:t>
            </w:r>
          </w:p>
        </w:tc>
        <w:tc>
          <w:tcPr>
            <w:tcW w:w="3930" w:type="dxa"/>
            <w:tcBorders>
              <w:top w:val="nil"/>
              <w:left w:val="nil"/>
              <w:bottom w:val="nil"/>
            </w:tcBorders>
            <w:shd w:val="clear"/>
            <w:vAlign w:val="center"/>
          </w:tcPr>
          <w:p w14:paraId="0AD6AF66">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科隆自贸区</w:t>
            </w:r>
          </w:p>
        </w:tc>
        <w:tc>
          <w:tcPr>
            <w:tcW w:w="3057" w:type="dxa"/>
            <w:tcBorders>
              <w:top w:val="nil"/>
              <w:left w:val="nil"/>
              <w:bottom w:val="nil"/>
              <w:right w:val="nil"/>
            </w:tcBorders>
            <w:shd w:val="clear"/>
            <w:vAlign w:val="center"/>
          </w:tcPr>
          <w:p w14:paraId="086188DC">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巴拿马城普通区域</w:t>
            </w:r>
          </w:p>
        </w:tc>
      </w:tr>
      <w:tr w14:paraId="43800CA3">
        <w:tc>
          <w:tcPr>
            <w:tcW w:w="1319" w:type="dxa"/>
            <w:tcBorders>
              <w:top w:val="nil"/>
              <w:left w:val="nil"/>
              <w:bottom w:val="nil"/>
            </w:tcBorders>
            <w:shd w:val="clear"/>
            <w:vAlign w:val="center"/>
          </w:tcPr>
          <w:p w14:paraId="709A751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核心税收政策</w:t>
            </w:r>
          </w:p>
        </w:tc>
        <w:tc>
          <w:tcPr>
            <w:tcW w:w="3930" w:type="dxa"/>
            <w:tcBorders>
              <w:top w:val="nil"/>
              <w:left w:val="nil"/>
              <w:bottom w:val="nil"/>
            </w:tcBorders>
            <w:shd w:val="clear"/>
            <w:vAlign w:val="center"/>
          </w:tcPr>
          <w:p w14:paraId="07BD7B8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货物进口/仓储/转口全免税</w:t>
            </w:r>
          </w:p>
        </w:tc>
        <w:tc>
          <w:tcPr>
            <w:tcW w:w="3057" w:type="dxa"/>
            <w:tcBorders>
              <w:top w:val="nil"/>
              <w:left w:val="nil"/>
              <w:bottom w:val="nil"/>
              <w:right w:val="nil"/>
            </w:tcBorders>
            <w:shd w:val="clear"/>
            <w:vAlign w:val="center"/>
          </w:tcPr>
          <w:p w14:paraId="7140A6A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进口需缴5%-15%关税+12%增值税</w:t>
            </w:r>
          </w:p>
        </w:tc>
      </w:tr>
      <w:tr w14:paraId="76A096AB">
        <w:tc>
          <w:tcPr>
            <w:tcW w:w="1319" w:type="dxa"/>
            <w:tcBorders>
              <w:top w:val="nil"/>
              <w:left w:val="nil"/>
              <w:bottom w:val="nil"/>
            </w:tcBorders>
            <w:shd w:val="clear"/>
            <w:vAlign w:val="center"/>
          </w:tcPr>
          <w:p w14:paraId="7A550216">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转口操作效率</w:t>
            </w:r>
          </w:p>
        </w:tc>
        <w:tc>
          <w:tcPr>
            <w:tcW w:w="3930" w:type="dxa"/>
            <w:tcBorders>
              <w:top w:val="nil"/>
              <w:left w:val="nil"/>
              <w:bottom w:val="nil"/>
            </w:tcBorders>
            <w:shd w:val="clear"/>
            <w:vAlign w:val="center"/>
          </w:tcPr>
          <w:p w14:paraId="01A9641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海关数据互通，清关1-2天</w:t>
            </w:r>
          </w:p>
        </w:tc>
        <w:tc>
          <w:tcPr>
            <w:tcW w:w="3057" w:type="dxa"/>
            <w:tcBorders>
              <w:top w:val="nil"/>
              <w:left w:val="nil"/>
              <w:bottom w:val="nil"/>
              <w:right w:val="nil"/>
            </w:tcBorders>
            <w:shd w:val="clear"/>
            <w:vAlign w:val="center"/>
          </w:tcPr>
          <w:p w14:paraId="2CE19F5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常规清关3-5天</w:t>
            </w:r>
          </w:p>
        </w:tc>
      </w:tr>
      <w:tr w14:paraId="652821D7">
        <w:tc>
          <w:tcPr>
            <w:tcW w:w="1319" w:type="dxa"/>
            <w:tcBorders>
              <w:top w:val="nil"/>
              <w:left w:val="nil"/>
              <w:bottom w:val="nil"/>
            </w:tcBorders>
            <w:shd w:val="clear"/>
            <w:vAlign w:val="center"/>
          </w:tcPr>
          <w:p w14:paraId="71CC280F">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配套设施</w:t>
            </w:r>
          </w:p>
        </w:tc>
        <w:tc>
          <w:tcPr>
            <w:tcW w:w="3930" w:type="dxa"/>
            <w:tcBorders>
              <w:top w:val="nil"/>
              <w:left w:val="nil"/>
              <w:bottom w:val="nil"/>
            </w:tcBorders>
            <w:shd w:val="clear"/>
            <w:vAlign w:val="center"/>
          </w:tcPr>
          <w:p w14:paraId="08F47CFF">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3000+家贸易企业聚集，仓储/货代资源成熟</w:t>
            </w:r>
          </w:p>
        </w:tc>
        <w:tc>
          <w:tcPr>
            <w:tcW w:w="3057" w:type="dxa"/>
            <w:tcBorders>
              <w:top w:val="nil"/>
              <w:left w:val="nil"/>
              <w:bottom w:val="nil"/>
              <w:right w:val="nil"/>
            </w:tcBorders>
            <w:shd w:val="clear"/>
            <w:vAlign w:val="center"/>
          </w:tcPr>
          <w:p w14:paraId="265E6B6B">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物流配套分散，成本高15%-20%</w:t>
            </w:r>
          </w:p>
        </w:tc>
      </w:tr>
      <w:tr w14:paraId="3351C666">
        <w:tc>
          <w:tcPr>
            <w:tcW w:w="1319" w:type="dxa"/>
            <w:tcBorders>
              <w:top w:val="nil"/>
              <w:left w:val="nil"/>
              <w:bottom w:val="nil"/>
            </w:tcBorders>
            <w:shd w:val="clear"/>
            <w:vAlign w:val="center"/>
          </w:tcPr>
          <w:p w14:paraId="7A337D4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政策红利</w:t>
            </w:r>
          </w:p>
        </w:tc>
        <w:tc>
          <w:tcPr>
            <w:tcW w:w="3930" w:type="dxa"/>
            <w:tcBorders>
              <w:top w:val="nil"/>
              <w:left w:val="nil"/>
              <w:bottom w:val="nil"/>
            </w:tcBorders>
            <w:shd w:val="clear"/>
            <w:vAlign w:val="center"/>
          </w:tcPr>
          <w:p w14:paraId="0709665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前2年租金减免30%、员工社保补贴15%</w:t>
            </w:r>
          </w:p>
        </w:tc>
        <w:tc>
          <w:tcPr>
            <w:tcW w:w="3057" w:type="dxa"/>
            <w:tcBorders>
              <w:top w:val="nil"/>
              <w:left w:val="nil"/>
              <w:bottom w:val="nil"/>
              <w:right w:val="nil"/>
            </w:tcBorders>
            <w:shd w:val="clear"/>
            <w:vAlign w:val="center"/>
          </w:tcPr>
          <w:p w14:paraId="2882004F">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无专项补贴</w:t>
            </w:r>
          </w:p>
        </w:tc>
      </w:tr>
    </w:tbl>
    <w:p w14:paraId="1699455C">
      <w:pPr>
        <w:rPr>
          <w:rFonts w:hint="eastAsia" w:ascii="Kaiti SC Bold" w:hAnsi="Kaiti SC Bold" w:eastAsia="Kaiti SC Bold" w:cs="Kaiti SC Bold"/>
          <w:b/>
          <w:bCs/>
          <w:lang w:val="en-US" w:eastAsia="zh-CN"/>
        </w:rPr>
      </w:pPr>
    </w:p>
    <w:p w14:paraId="63B9FE4C">
      <w:pPr>
        <w:rPr>
          <w:rFonts w:hint="eastAsia" w:ascii="Kaiti SC Regular" w:hAnsi="Kaiti SC Regular" w:eastAsia="Kaiti SC Regular" w:cs="Kaiti SC Regular"/>
          <w:lang w:val="en-US" w:eastAsia="zh-CN"/>
        </w:rPr>
      </w:pPr>
      <w:r>
        <w:rPr>
          <w:rFonts w:hint="eastAsia" w:ascii="Kaiti SC Bold" w:hAnsi="Kaiti SC Bold" w:eastAsia="Kaiti SC Bold" w:cs="Kaiti SC Bold"/>
          <w:b/>
          <w:bCs/>
          <w:lang w:val="en-US" w:eastAsia="zh-CN"/>
        </w:rPr>
        <w:t>注册地实操建议</w:t>
      </w:r>
      <w:r>
        <w:rPr>
          <w:rFonts w:hint="eastAsia" w:ascii="Kaiti SC Regular" w:hAnsi="Kaiti SC Regular" w:eastAsia="Kaiti SC Regular" w:cs="Kaiti SC Regular"/>
          <w:lang w:val="en-US" w:eastAsia="zh-CN"/>
        </w:rPr>
        <w:t>：直接选择</w:t>
      </w:r>
      <w:r>
        <w:rPr>
          <w:rFonts w:hint="eastAsia" w:ascii="Kaiti SC Bold" w:hAnsi="Kaiti SC Bold" w:eastAsia="Kaiti SC Bold" w:cs="Kaiti SC Bold"/>
          <w:b/>
          <w:bCs/>
          <w:lang w:val="en-US" w:eastAsia="zh-CN"/>
        </w:rPr>
        <w:t>自贸区“转口贸易专区”（Zona Especial de Reexportación）</w:t>
      </w:r>
      <w:r>
        <w:rPr>
          <w:rFonts w:hint="eastAsia" w:ascii="Kaiti SC Regular" w:hAnsi="Kaiti SC Regular" w:eastAsia="Kaiti SC Regular" w:cs="Kaiti SC Regular"/>
          <w:lang w:val="en-US" w:eastAsia="zh-CN"/>
        </w:rPr>
        <w:t>，该区域由自贸区管理局（AAZFC）直接监管，转口文件审批优先级高于普通区域。</w:t>
      </w:r>
    </w:p>
    <w:p w14:paraId="7C9DBAA6">
      <w:pPr>
        <w:rPr>
          <w:rFonts w:hint="eastAsia" w:ascii="Kaiti SC Regular" w:hAnsi="Kaiti SC Regular" w:eastAsia="Kaiti SC Regular" w:cs="Kaiti SC Regular"/>
          <w:lang w:val="en-US" w:eastAsia="zh-CN"/>
        </w:rPr>
      </w:pPr>
    </w:p>
    <w:p w14:paraId="44827A00">
      <w:pPr>
        <w:rPr>
          <w:rFonts w:hint="eastAsia" w:ascii="Kaiti SC Regular" w:hAnsi="Kaiti SC Regular" w:eastAsia="Kaiti SC Regular" w:cs="Kaiti SC Regular"/>
          <w:lang w:val="en-US" w:eastAsia="zh-CN"/>
        </w:rPr>
      </w:pPr>
    </w:p>
    <w:p w14:paraId="3EB5568F">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二、注册核心前提：材料与资质清单（分自然人/企业股东两类）</w:t>
      </w:r>
    </w:p>
    <w:p w14:paraId="6E355D0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巴拿马公司注册实行</w:t>
      </w:r>
      <w:r>
        <w:rPr>
          <w:rFonts w:hint="eastAsia" w:ascii="Kaiti SC Bold" w:hAnsi="Kaiti SC Bold" w:eastAsia="Kaiti SC Bold" w:cs="Kaiti SC Bold"/>
          <w:b/>
          <w:bCs/>
          <w:lang w:val="en-US" w:eastAsia="zh-CN"/>
        </w:rPr>
        <w:t>“代理制”（法律强制要求本地持牌代理办理）</w:t>
      </w:r>
      <w:r>
        <w:rPr>
          <w:rFonts w:hint="eastAsia" w:ascii="Kaiti SC Regular" w:hAnsi="Kaiti SC Regular" w:eastAsia="Kaiti SC Regular" w:cs="Kaiti SC Regular"/>
          <w:lang w:val="en-US" w:eastAsia="zh-CN"/>
        </w:rPr>
        <w:t>，需提前准备以下材料，所有文件需满足“核证+翻译”要求，避免因材料瑕疵延误流程。</w:t>
      </w:r>
    </w:p>
    <w:p w14:paraId="1C8F5D11">
      <w:pPr>
        <w:rPr>
          <w:rFonts w:hint="eastAsia" w:ascii="Kaiti SC Regular" w:hAnsi="Kaiti SC Regular" w:eastAsia="Kaiti SC Regular" w:cs="Kaiti SC Regular"/>
          <w:lang w:val="en-US" w:eastAsia="zh-CN"/>
        </w:rPr>
      </w:pPr>
    </w:p>
    <w:p w14:paraId="53A7348F">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（一）基础共性材料（无论股东类型均需准备）</w:t>
      </w:r>
    </w:p>
    <w:p w14:paraId="3E5E7DE9">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1. 公司名称核名材料</w:t>
      </w:r>
    </w:p>
    <w:p w14:paraId="0342707B">
      <w:pPr>
        <w:numPr>
          <w:ilvl w:val="0"/>
          <w:numId w:val="3"/>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拟定2-3个备选名称（格式示例：“XX Logística Panamá, S.A.”），后缀必须为 “S.A.” “Corporation” 等有限责任标识，不可含 “银行”“保险”“信托” 等敏感词；</w:t>
      </w:r>
    </w:p>
    <w:p w14:paraId="62168AED">
      <w:pPr>
        <w:numPr>
          <w:ilvl w:val="0"/>
          <w:numId w:val="3"/>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名称可使用中文+西班牙语组合（如 “大轮</w:t>
      </w:r>
      <w:r>
        <w:rPr>
          <w:rFonts w:hint="default" w:ascii="Kaiti SC Regular" w:hAnsi="Kaiti SC Regular" w:eastAsia="Kaiti SC Regular" w:cs="Kaiti SC Regular"/>
          <w:lang w:val="en-US" w:eastAsia="zh-CN"/>
        </w:rPr>
        <w:t>xx</w:t>
      </w:r>
      <w:r>
        <w:rPr>
          <w:rFonts w:hint="eastAsia" w:ascii="Kaiti SC Regular" w:hAnsi="Kaiti SC Regular" w:eastAsia="Kaiti SC Regular" w:cs="Kaiti SC Regular"/>
          <w:lang w:val="en-US" w:eastAsia="zh-CN"/>
        </w:rPr>
        <w:t>巴拿马有限公司，S.A.”），但注册文件需附西班牙语翻译件。</w:t>
      </w:r>
    </w:p>
    <w:p w14:paraId="24E4D484">
      <w:pPr>
        <w:numPr>
          <w:ilvl w:val="0"/>
          <w:numId w:val="4"/>
        </w:num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经营范围确认文件</w:t>
      </w:r>
    </w:p>
    <w:p w14:paraId="0C390DEA">
      <w:pPr>
        <w:numPr>
          <w:ilvl w:val="0"/>
          <w:numId w:val="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需明确标注“国际货物运输代理、转口贸易、仓储服务”等核心业务（西班牙语：“Agencia de transporte internacional de mercancías, comercio de reexportación, servicios de almacenamiento”）；</w:t>
      </w:r>
    </w:p>
    <w:p w14:paraId="48D8C2FA">
      <w:pPr>
        <w:numPr>
          <w:ilvl w:val="0"/>
          <w:numId w:val="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无需前置审批（除危险品运输外），但需在注册申请中列明，后续不可超范围经营。</w:t>
      </w:r>
    </w:p>
    <w:p w14:paraId="5BEC842C">
      <w:pPr>
        <w:numPr>
          <w:numId w:val="0"/>
        </w:numPr>
        <w:ind w:leftChars="0"/>
        <w:rPr>
          <w:rFonts w:hint="eastAsia" w:ascii="Kaiti SC Regular" w:hAnsi="Kaiti SC Regular" w:eastAsia="Kaiti SC Regular" w:cs="Kaiti SC Regular"/>
          <w:lang w:val="en-US" w:eastAsia="zh-CN"/>
        </w:rPr>
      </w:pPr>
    </w:p>
    <w:p w14:paraId="579266C3">
      <w:pPr>
        <w:numPr>
          <w:ilvl w:val="0"/>
          <w:numId w:val="4"/>
        </w:numPr>
        <w:ind w:left="0" w:leftChars="0" w:firstLine="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注册代理人/地址确认文件</w:t>
      </w:r>
    </w:p>
    <w:p w14:paraId="4484A335">
      <w:pPr>
        <w:numPr>
          <w:ilvl w:val="0"/>
          <w:numId w:val="6"/>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由代理公司提供的《注册代理委任书》（需经巴拿马公证机构认证）；</w:t>
      </w:r>
    </w:p>
    <w:p w14:paraId="07BACCD0">
      <w:pPr>
        <w:numPr>
          <w:ilvl w:val="0"/>
          <w:numId w:val="6"/>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代理公司出具的《注册地址证明》（需显示地址位于科隆自贸区内，格式由AAZFC统一规定）。</w:t>
      </w:r>
    </w:p>
    <w:p w14:paraId="08AE2A2B">
      <w:pPr>
        <w:rPr>
          <w:rFonts w:hint="eastAsia" w:ascii="Kaiti SC Bold" w:hAnsi="Kaiti SC Bold" w:eastAsia="Kaiti SC Bold" w:cs="Kaiti SC Bold"/>
          <w:b/>
          <w:bCs/>
          <w:sz w:val="22"/>
          <w:szCs w:val="28"/>
          <w:lang w:val="en-US" w:eastAsia="zh-CN"/>
        </w:rPr>
      </w:pPr>
    </w:p>
    <w:p w14:paraId="6B4B3709">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（二）自然人股东/董事材料（以个人名义持股）</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88"/>
        <w:gridCol w:w="4190"/>
        <w:gridCol w:w="2828"/>
      </w:tblGrid>
      <w:tr w14:paraId="3B462B12">
        <w:trPr>
          <w:tblHeader/>
        </w:trPr>
        <w:tc>
          <w:tcPr>
            <w:tcW w:w="1288" w:type="dxa"/>
            <w:tcBorders>
              <w:top w:val="nil"/>
              <w:left w:val="nil"/>
              <w:bottom w:val="nil"/>
            </w:tcBorders>
            <w:shd w:val="clear"/>
            <w:vAlign w:val="center"/>
          </w:tcPr>
          <w:p w14:paraId="256680AD">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材料名称</w:t>
            </w:r>
          </w:p>
        </w:tc>
        <w:tc>
          <w:tcPr>
            <w:tcW w:w="4190" w:type="dxa"/>
            <w:tcBorders>
              <w:top w:val="nil"/>
              <w:left w:val="nil"/>
              <w:bottom w:val="nil"/>
            </w:tcBorders>
            <w:shd w:val="clear"/>
            <w:vAlign w:val="center"/>
          </w:tcPr>
          <w:p w14:paraId="62B420CA">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具体要求</w:t>
            </w:r>
          </w:p>
        </w:tc>
        <w:tc>
          <w:tcPr>
            <w:tcW w:w="2828" w:type="dxa"/>
            <w:tcBorders>
              <w:top w:val="nil"/>
              <w:left w:val="nil"/>
              <w:bottom w:val="nil"/>
              <w:right w:val="nil"/>
            </w:tcBorders>
            <w:shd w:val="clear"/>
            <w:vAlign w:val="center"/>
          </w:tcPr>
          <w:p w14:paraId="7D2F18BA">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易错点提醒</w:t>
            </w:r>
          </w:p>
        </w:tc>
      </w:tr>
      <w:tr w14:paraId="6ED2D97C">
        <w:tc>
          <w:tcPr>
            <w:tcW w:w="1288" w:type="dxa"/>
            <w:tcBorders>
              <w:top w:val="nil"/>
              <w:left w:val="nil"/>
              <w:bottom w:val="nil"/>
            </w:tcBorders>
            <w:shd w:val="clear"/>
            <w:vAlign w:val="center"/>
          </w:tcPr>
          <w:p w14:paraId="71227567">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身份证明</w:t>
            </w:r>
          </w:p>
        </w:tc>
        <w:tc>
          <w:tcPr>
            <w:tcW w:w="4190" w:type="dxa"/>
            <w:tcBorders>
              <w:top w:val="nil"/>
              <w:left w:val="nil"/>
              <w:bottom w:val="nil"/>
            </w:tcBorders>
            <w:shd w:val="clear"/>
            <w:vAlign w:val="center"/>
          </w:tcPr>
          <w:p w14:paraId="3CA13AF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有效期内护照扫描件（首页+签名页），需清晰显示出生日期、国籍、有效期</w:t>
            </w:r>
          </w:p>
        </w:tc>
        <w:tc>
          <w:tcPr>
            <w:tcW w:w="2828" w:type="dxa"/>
            <w:tcBorders>
              <w:top w:val="nil"/>
              <w:left w:val="nil"/>
              <w:bottom w:val="nil"/>
              <w:right w:val="nil"/>
            </w:tcBorders>
            <w:shd w:val="clear"/>
            <w:vAlign w:val="center"/>
          </w:tcPr>
          <w:p w14:paraId="038026B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护照有效期需剩6个月以上，签名页需与后续文件签名一致</w:t>
            </w:r>
          </w:p>
        </w:tc>
      </w:tr>
      <w:tr w14:paraId="3C529F5B">
        <w:tc>
          <w:tcPr>
            <w:tcW w:w="1288" w:type="dxa"/>
            <w:tcBorders>
              <w:top w:val="nil"/>
              <w:left w:val="nil"/>
              <w:bottom w:val="nil"/>
            </w:tcBorders>
            <w:shd w:val="clear"/>
            <w:vAlign w:val="center"/>
          </w:tcPr>
          <w:p w14:paraId="61B7F15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住址证明</w:t>
            </w:r>
          </w:p>
        </w:tc>
        <w:tc>
          <w:tcPr>
            <w:tcW w:w="4190" w:type="dxa"/>
            <w:tcBorders>
              <w:top w:val="nil"/>
              <w:left w:val="nil"/>
              <w:bottom w:val="nil"/>
            </w:tcBorders>
            <w:shd w:val="clear"/>
            <w:vAlign w:val="center"/>
          </w:tcPr>
          <w:p w14:paraId="14C09CE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近3个月内的水电费单/银行账单/信用卡账单，需含姓名+详细住址（中文地址需附西班牙语翻译）</w:t>
            </w:r>
          </w:p>
        </w:tc>
        <w:tc>
          <w:tcPr>
            <w:tcW w:w="2828" w:type="dxa"/>
            <w:tcBorders>
              <w:top w:val="nil"/>
              <w:left w:val="nil"/>
              <w:bottom w:val="nil"/>
              <w:right w:val="nil"/>
            </w:tcBorders>
            <w:shd w:val="clear"/>
            <w:vAlign w:val="center"/>
          </w:tcPr>
          <w:p w14:paraId="54A445D8">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不可用物业证明或租赁合同，必须是公共事业单位或银行出具的官方文件</w:t>
            </w:r>
          </w:p>
        </w:tc>
      </w:tr>
      <w:tr w14:paraId="1A0BBA2E">
        <w:tc>
          <w:tcPr>
            <w:tcW w:w="1288" w:type="dxa"/>
            <w:tcBorders>
              <w:top w:val="nil"/>
              <w:left w:val="nil"/>
              <w:bottom w:val="nil"/>
            </w:tcBorders>
            <w:shd w:val="clear"/>
            <w:vAlign w:val="center"/>
          </w:tcPr>
          <w:p w14:paraId="6AB40727">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尽职调查表格</w:t>
            </w:r>
          </w:p>
        </w:tc>
        <w:tc>
          <w:tcPr>
            <w:tcW w:w="4190" w:type="dxa"/>
            <w:tcBorders>
              <w:top w:val="nil"/>
              <w:left w:val="nil"/>
              <w:bottom w:val="nil"/>
            </w:tcBorders>
            <w:shd w:val="clear"/>
            <w:vAlign w:val="center"/>
          </w:tcPr>
          <w:p w14:paraId="6439A4F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由代理公司提供的《最终受益人声明表》（Formulario de Beneficiario Final），需填写职业背景、资金来源（注明 “轮胎转口贸易投资”）</w:t>
            </w:r>
          </w:p>
        </w:tc>
        <w:tc>
          <w:tcPr>
            <w:tcW w:w="2828" w:type="dxa"/>
            <w:tcBorders>
              <w:top w:val="nil"/>
              <w:left w:val="nil"/>
              <w:bottom w:val="nil"/>
              <w:right w:val="nil"/>
            </w:tcBorders>
            <w:shd w:val="clear"/>
            <w:vAlign w:val="center"/>
          </w:tcPr>
          <w:p w14:paraId="60DA26F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资金来源需具体（如“中国母公司自有资金出资”），不可写“个人储蓄”等模糊表述</w:t>
            </w:r>
          </w:p>
        </w:tc>
      </w:tr>
      <w:tr w14:paraId="7DFAA71D">
        <w:tc>
          <w:tcPr>
            <w:tcW w:w="1288" w:type="dxa"/>
            <w:tcBorders>
              <w:top w:val="nil"/>
              <w:left w:val="nil"/>
              <w:bottom w:val="nil"/>
            </w:tcBorders>
            <w:shd w:val="clear"/>
            <w:vAlign w:val="center"/>
          </w:tcPr>
          <w:p w14:paraId="6EF39C0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授权委托书</w:t>
            </w:r>
          </w:p>
        </w:tc>
        <w:tc>
          <w:tcPr>
            <w:tcW w:w="4190" w:type="dxa"/>
            <w:tcBorders>
              <w:top w:val="nil"/>
              <w:left w:val="nil"/>
              <w:bottom w:val="nil"/>
            </w:tcBorders>
            <w:shd w:val="clear"/>
            <w:vAlign w:val="center"/>
          </w:tcPr>
          <w:p w14:paraId="54BAAF3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经中国公证处公证的《代理注册授权书》，需明确代理权限（如“代为提交申请、领取执照、签署备案文件”）</w:t>
            </w:r>
          </w:p>
        </w:tc>
        <w:tc>
          <w:tcPr>
            <w:tcW w:w="2828" w:type="dxa"/>
            <w:tcBorders>
              <w:top w:val="nil"/>
              <w:left w:val="nil"/>
              <w:bottom w:val="nil"/>
              <w:right w:val="nil"/>
            </w:tcBorders>
            <w:shd w:val="clear"/>
            <w:vAlign w:val="center"/>
          </w:tcPr>
          <w:p w14:paraId="2339CB78">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公证需加注“西班牙语翻译与原件一致”，否则巴拿马注册局不予认可</w:t>
            </w:r>
          </w:p>
        </w:tc>
      </w:tr>
    </w:tbl>
    <w:p w14:paraId="54753F86">
      <w:pPr>
        <w:rPr>
          <w:rFonts w:hint="eastAsia" w:ascii="Kaiti SC Bold" w:hAnsi="Kaiti SC Bold" w:eastAsia="Kaiti SC Bold" w:cs="Kaiti SC Bold"/>
          <w:b/>
          <w:bCs/>
          <w:sz w:val="22"/>
          <w:szCs w:val="28"/>
          <w:lang w:val="en-US" w:eastAsia="zh-CN"/>
        </w:rPr>
      </w:pPr>
    </w:p>
    <w:p w14:paraId="30718A12">
      <w:pPr>
        <w:rPr>
          <w:rFonts w:hint="eastAsia" w:ascii="Kaiti SC Bold" w:hAnsi="Kaiti SC Bold" w:eastAsia="Kaiti SC Bold" w:cs="Kaiti SC Bold"/>
          <w:b/>
          <w:bCs/>
          <w:sz w:val="22"/>
          <w:szCs w:val="28"/>
          <w:lang w:val="en-US" w:eastAsia="zh-CN"/>
        </w:rPr>
      </w:pPr>
    </w:p>
    <w:p w14:paraId="536AE212">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（三）企业股东材料（以国内公司名义持股）</w:t>
      </w:r>
    </w:p>
    <w:p w14:paraId="2699C77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除上述基础材料外，还需额外提供：</w:t>
      </w:r>
    </w:p>
    <w:p w14:paraId="5FB9E1D5">
      <w:pPr>
        <w:numPr>
          <w:ilvl w:val="0"/>
          <w:numId w:val="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国内母公司的《营业执照》副本扫描件（需经中国贸促会认证+巴拿马驻华使馆双认证）；</w:t>
      </w:r>
    </w:p>
    <w:p w14:paraId="30B1A5B2">
      <w:pPr>
        <w:numPr>
          <w:ilvl w:val="0"/>
          <w:numId w:val="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母公司最新《公司章程》（需含股东结构、注册资本、经营范围，附西班牙语翻译件）；</w:t>
      </w:r>
    </w:p>
    <w:p w14:paraId="7E45FAE1">
      <w:pPr>
        <w:numPr>
          <w:ilvl w:val="0"/>
          <w:numId w:val="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母公司出具的《股东决议》（需注明 “同意投资设立巴拿马子公司、任命XX为董事”，由法定代表人签字并加盖公章）；</w:t>
      </w:r>
    </w:p>
    <w:p w14:paraId="46E2FFC8">
      <w:pPr>
        <w:numPr>
          <w:ilvl w:val="0"/>
          <w:numId w:val="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集团架构图（需清晰显示国内母公司→巴拿马子公司的股权关系，标注持股比例100%或具体比例）。</w:t>
      </w:r>
    </w:p>
    <w:p w14:paraId="4B1634E4">
      <w:pPr>
        <w:rPr>
          <w:rFonts w:hint="eastAsia" w:ascii="Kaiti SC Regular" w:hAnsi="Kaiti SC Regular" w:eastAsia="Kaiti SC Regular" w:cs="Kaiti SC Regular"/>
          <w:lang w:val="en-US" w:eastAsia="zh-CN"/>
        </w:rPr>
      </w:pPr>
    </w:p>
    <w:p w14:paraId="17BCB8A6">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（四）文件核证与翻译要求（关键合规环节）</w:t>
      </w:r>
    </w:p>
    <w:p w14:paraId="69F202D2">
      <w:pPr>
        <w:numPr>
          <w:ilvl w:val="0"/>
          <w:numId w:val="8"/>
        </w:numPr>
        <w:ind w:left="425" w:leftChars="0" w:hanging="425" w:firstLineChars="0"/>
        <w:rPr>
          <w:rFonts w:hint="eastAsia" w:ascii="Kaiti SC Regular" w:hAnsi="Kaiti SC Regular" w:eastAsia="Kaiti SC Regular" w:cs="Kaiti SC Regular"/>
          <w:lang w:val="en-US" w:eastAsia="zh-CN"/>
        </w:rPr>
      </w:pPr>
      <w:r>
        <w:rPr>
          <w:rFonts w:hint="eastAsia" w:ascii="Kaiti SC Bold" w:hAnsi="Kaiti SC Bold" w:eastAsia="Kaiti SC Bold" w:cs="Kaiti SC Bold"/>
          <w:b/>
          <w:bCs/>
          <w:lang w:val="en-US" w:eastAsia="zh-CN"/>
        </w:rPr>
        <w:t>核证流程</w:t>
      </w:r>
      <w:r>
        <w:rPr>
          <w:rFonts w:hint="eastAsia" w:ascii="Kaiti SC Regular" w:hAnsi="Kaiti SC Regular" w:eastAsia="Kaiti SC Regular" w:cs="Kaiti SC Regular"/>
          <w:lang w:val="en-US" w:eastAsia="zh-CN"/>
        </w:rPr>
        <w:t>：中国境内文件需经【当地公证处公证→省外事办认证→巴拿马驻华使馆双认证】，全程约10-15个工作日；</w:t>
      </w:r>
    </w:p>
    <w:p w14:paraId="6FF36DFA">
      <w:pPr>
        <w:numPr>
          <w:ilvl w:val="0"/>
          <w:numId w:val="8"/>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翻译要求：所有中文文件需由巴拿马司法部认可的翻译机构出具西班牙语翻译件（可由注册代理协助对接，费用约200-500美元/套）；</w:t>
      </w:r>
    </w:p>
    <w:p w14:paraId="38E38124">
      <w:pPr>
        <w:numPr>
          <w:ilvl w:val="0"/>
          <w:numId w:val="8"/>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有效期：所有资质文件自出具日起6个月内有效，超过期限需重新办理。</w:t>
      </w:r>
    </w:p>
    <w:p w14:paraId="1CCF08EF">
      <w:pPr>
        <w:rPr>
          <w:rFonts w:hint="eastAsia" w:ascii="Kaiti SC Bold" w:hAnsi="Kaiti SC Bold" w:eastAsia="Kaiti SC Bold" w:cs="Kaiti SC Bold"/>
          <w:b/>
          <w:bCs/>
          <w:sz w:val="28"/>
          <w:szCs w:val="36"/>
          <w:lang w:val="en-US" w:eastAsia="zh-CN"/>
        </w:rPr>
      </w:pPr>
    </w:p>
    <w:p w14:paraId="267B499C">
      <w:pPr>
        <w:rPr>
          <w:rFonts w:hint="eastAsia" w:ascii="Kaiti SC Bold" w:hAnsi="Kaiti SC Bold" w:eastAsia="Kaiti SC Bold" w:cs="Kaiti SC Bold"/>
          <w:b/>
          <w:bCs/>
          <w:sz w:val="28"/>
          <w:szCs w:val="36"/>
          <w:lang w:val="en-US" w:eastAsia="zh-CN"/>
        </w:rPr>
      </w:pPr>
    </w:p>
    <w:p w14:paraId="0358D797">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三、全流程拆解：从核名到领照（7个步骤 + 时间节点）</w:t>
      </w:r>
    </w:p>
    <w:p w14:paraId="5B6FC67A">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巴拿马公司注册全程可通过代理远程办理（无需本人赴巴），但需配合代理完成材料核验与签字，科隆自贸区注册流程比普通区域快30%，具体节点如下：</w:t>
      </w:r>
    </w:p>
    <w:p w14:paraId="507C0B39">
      <w:pPr>
        <w:rPr>
          <w:rFonts w:hint="eastAsia" w:ascii="Kaiti SC Regular" w:hAnsi="Kaiti SC Regular" w:eastAsia="Kaiti SC Regular" w:cs="Kaiti SC Regular"/>
          <w:lang w:val="en-US" w:eastAsia="zh-CN"/>
        </w:rPr>
      </w:pPr>
    </w:p>
    <w:p w14:paraId="69BCCA8F">
      <w:pPr>
        <w:rPr>
          <w:rFonts w:hint="eastAsia" w:ascii="Kaiti SC Regular" w:hAnsi="Kaiti SC Regular" w:eastAsia="Kaiti SC Regular" w:cs="Kaiti SC Regular"/>
          <w:lang w:val="en-US" w:eastAsia="zh-CN"/>
        </w:rPr>
      </w:pPr>
      <w:r>
        <w:rPr>
          <w:rFonts w:hint="eastAsia" w:ascii="Kaiti SC Bold" w:hAnsi="Kaiti SC Bold" w:eastAsia="Kaiti SC Bold" w:cs="Kaiti SC Bold"/>
          <w:b/>
          <w:bCs/>
          <w:lang w:val="en-US" w:eastAsia="zh-CN"/>
        </w:rPr>
        <w:t>步骤1：名称核名（1-3个工作日，零费用）</w:t>
      </w:r>
    </w:p>
    <w:p w14:paraId="615F003D">
      <w:pPr>
        <w:numPr>
          <w:ilvl w:val="0"/>
          <w:numId w:val="9"/>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操作主体：注册代理向巴拿马商业注册局（Registro Público de Comercio）提交核名申请；</w:t>
      </w:r>
    </w:p>
    <w:p w14:paraId="1C778EBB">
      <w:pPr>
        <w:numPr>
          <w:ilvl w:val="0"/>
          <w:numId w:val="9"/>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结果反馈：通过则出具《名称预留通知书》（Constancia de Reservación de Nombre），失败则需重新提交备选名称；</w:t>
      </w:r>
    </w:p>
    <w:p w14:paraId="28917ACC">
      <w:pPr>
        <w:numPr>
          <w:ilvl w:val="0"/>
          <w:numId w:val="9"/>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注意事项：自贸区公司名称需同步抄送AAZFC备案，避免与已入驻企业重名（重名率约15%，建议多备备选名）。</w:t>
      </w:r>
    </w:p>
    <w:p w14:paraId="26F29637">
      <w:pPr>
        <w:rPr>
          <w:rFonts w:hint="eastAsia" w:ascii="Kaiti SC Regular" w:hAnsi="Kaiti SC Regular" w:eastAsia="Kaiti SC Regular" w:cs="Kaiti SC Regular"/>
          <w:lang w:val="en-US" w:eastAsia="zh-CN"/>
        </w:rPr>
      </w:pPr>
    </w:p>
    <w:p w14:paraId="721E7D5A">
      <w:pPr>
        <w:rPr>
          <w:rFonts w:hint="eastAsia" w:ascii="Kaiti SC Regular" w:hAnsi="Kaiti SC Regular" w:eastAsia="Kaiti SC Regular" w:cs="Kaiti SC Regular"/>
          <w:lang w:val="en-US" w:eastAsia="zh-CN"/>
        </w:rPr>
      </w:pPr>
      <w:r>
        <w:rPr>
          <w:rFonts w:hint="eastAsia" w:ascii="Kaiti SC Bold" w:hAnsi="Kaiti SC Bold" w:eastAsia="Kaiti SC Bold" w:cs="Kaiti SC Bold"/>
          <w:b/>
          <w:bCs/>
          <w:lang w:val="en-US" w:eastAsia="zh-CN"/>
        </w:rPr>
        <w:t>步骤2：尽职调查（2-4个工作日，含在代理服务费内）</w:t>
      </w:r>
    </w:p>
    <w:p w14:paraId="2570698F">
      <w:pPr>
        <w:numPr>
          <w:ilvl w:val="0"/>
          <w:numId w:val="10"/>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操作主体：代理公司根据巴拿马《反洗钱法》要求，审核股东/董事的身份、资金来源、业务背景；</w:t>
      </w:r>
    </w:p>
    <w:p w14:paraId="4680514E">
      <w:pPr>
        <w:numPr>
          <w:ilvl w:val="0"/>
          <w:numId w:val="10"/>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审核重点：自然人需确认无犯罪记录（部分代理会要求提供无犯罪证明），企业股东需确认无涉外制裁记录；</w:t>
      </w:r>
    </w:p>
    <w:p w14:paraId="676AB61F">
      <w:pPr>
        <w:numPr>
          <w:ilvl w:val="0"/>
          <w:numId w:val="10"/>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风险提示：若资金来源标注“借款”，需提供借款协议；若股东曾在其他国家注册公司，需提供该公司存续证明。</w:t>
      </w:r>
    </w:p>
    <w:p w14:paraId="224471FA">
      <w:pPr>
        <w:rPr>
          <w:rFonts w:hint="eastAsia" w:ascii="Kaiti SC Regular" w:hAnsi="Kaiti SC Regular" w:eastAsia="Kaiti SC Regular" w:cs="Kaiti SC Regular"/>
          <w:lang w:val="en-US" w:eastAsia="zh-CN"/>
        </w:rPr>
      </w:pPr>
    </w:p>
    <w:p w14:paraId="2D7E38BC">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步骤3：起草注册文件（3-5个工作日，代理协助完成）</w:t>
      </w:r>
    </w:p>
    <w:p w14:paraId="528B8D0B">
      <w:pPr>
        <w:numPr>
          <w:ilvl w:val="0"/>
          <w:numId w:val="11"/>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核心文件：由代理公司的律师起草《公司章程》（Estatutos Sociales），需明确以下内容：</w:t>
      </w:r>
    </w:p>
    <w:p w14:paraId="388E2007">
      <w:pPr>
        <w:numPr>
          <w:ilvl w:val="1"/>
          <w:numId w:val="11"/>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公司名称、注册地址、经营范围；</w:t>
      </w:r>
    </w:p>
    <w:p w14:paraId="5137FA22">
      <w:pPr>
        <w:numPr>
          <w:ilvl w:val="1"/>
          <w:numId w:val="11"/>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注册资本（建议1万美元，无需实缴）、股份数量（100股，每股100美元）；</w:t>
      </w:r>
    </w:p>
    <w:p w14:paraId="699C17A8">
      <w:pPr>
        <w:numPr>
          <w:ilvl w:val="1"/>
          <w:numId w:val="11"/>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董事信息（至少3名）；</w:t>
      </w:r>
    </w:p>
    <w:p w14:paraId="4F0853D7">
      <w:pPr>
        <w:numPr>
          <w:ilvl w:val="1"/>
          <w:numId w:val="11"/>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转口贸易专项条款（注明“货物仅用于转口至委内瑞拉，不进入巴拿马本土市场”）。</w:t>
      </w:r>
    </w:p>
    <w:p w14:paraId="13745FA8">
      <w:pPr>
        <w:numPr>
          <w:ilvl w:val="0"/>
          <w:numId w:val="11"/>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签字要求：所有股东/董事需在文件指定位置签字，自然人签字需与护照一致，企业股东需加盖公章+法定代表人签字。</w:t>
      </w:r>
    </w:p>
    <w:p w14:paraId="4B92F742">
      <w:pPr>
        <w:rPr>
          <w:rFonts w:hint="eastAsia" w:ascii="Kaiti SC Regular" w:hAnsi="Kaiti SC Regular" w:eastAsia="Kaiti SC Regular" w:cs="Kaiti SC Regular"/>
          <w:lang w:val="en-US" w:eastAsia="zh-CN"/>
        </w:rPr>
      </w:pPr>
    </w:p>
    <w:p w14:paraId="326E3A89">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步骤4：提交注册申请（2-3个工作日，代理跑腿办理）</w:t>
      </w:r>
    </w:p>
    <w:p w14:paraId="557F501C">
      <w:pPr>
        <w:numPr>
          <w:ilvl w:val="0"/>
          <w:numId w:val="1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提交主体：代理将以下文件打包提交至巴拿马商业注册局 + AAZFC双部门：</w:t>
      </w:r>
    </w:p>
    <w:p w14:paraId="1288C419">
      <w:pPr>
        <w:numPr>
          <w:ilvl w:val="1"/>
          <w:numId w:val="1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《名称预留通知书》；</w:t>
      </w:r>
    </w:p>
    <w:p w14:paraId="352E3C42">
      <w:pPr>
        <w:numPr>
          <w:ilvl w:val="1"/>
          <w:numId w:val="1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签署后的《公司章程》；</w:t>
      </w:r>
    </w:p>
    <w:p w14:paraId="541143C8">
      <w:pPr>
        <w:numPr>
          <w:ilvl w:val="1"/>
          <w:numId w:val="1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股东/董事的核证材料；</w:t>
      </w:r>
    </w:p>
    <w:p w14:paraId="72291294">
      <w:pPr>
        <w:numPr>
          <w:ilvl w:val="1"/>
          <w:numId w:val="1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《注册代理委任书》《注册地址证明》。</w:t>
      </w:r>
    </w:p>
    <w:p w14:paraId="4322E682">
      <w:pPr>
        <w:numPr>
          <w:ilvl w:val="0"/>
          <w:numId w:val="1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缴费环节：代理代缴政府注册费（700美元），缴费后获取《缴费凭证》（Recibo de Pago）。</w:t>
      </w:r>
    </w:p>
    <w:p w14:paraId="64510A9E">
      <w:pPr>
        <w:rPr>
          <w:rFonts w:hint="eastAsia" w:ascii="Kaiti SC Regular" w:hAnsi="Kaiti SC Regular" w:eastAsia="Kaiti SC Regular" w:cs="Kaiti SC Regular"/>
          <w:lang w:val="en-US" w:eastAsia="zh-CN"/>
        </w:rPr>
      </w:pPr>
    </w:p>
    <w:p w14:paraId="65296575">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步骤5：审批与公示（3-5个工作日，官方流程）</w:t>
      </w:r>
    </w:p>
    <w:p w14:paraId="1CE92BA2">
      <w:pPr>
        <w:numPr>
          <w:ilvl w:val="0"/>
          <w:numId w:val="13"/>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审批主体：商业注册局审核文件合规性，AAZFC审核自贸区准入资格；</w:t>
      </w:r>
    </w:p>
    <w:p w14:paraId="683411E0">
      <w:pPr>
        <w:numPr>
          <w:ilvl w:val="0"/>
          <w:numId w:val="13"/>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公示要求：通过后在《巴拿马官方公报》（Gaceta Oficial）进行为期1个工作日的简式公示（自贸区企业公示优先级高于普通企业）；</w:t>
      </w:r>
    </w:p>
    <w:p w14:paraId="1133D8CC">
      <w:pPr>
        <w:numPr>
          <w:ilvl w:val="0"/>
          <w:numId w:val="13"/>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驳回处理：若文件缺失，官方会出具《补正通知书》（Constancia de Complementación），补正后重新审批（会延误2-3个工作日）。</w:t>
      </w:r>
    </w:p>
    <w:p w14:paraId="6C30CFD6">
      <w:pPr>
        <w:rPr>
          <w:rFonts w:hint="eastAsia" w:ascii="Kaiti SC Regular" w:hAnsi="Kaiti SC Regular" w:eastAsia="Kaiti SC Regular" w:cs="Kaiti SC Regular"/>
          <w:lang w:val="en-US" w:eastAsia="zh-CN"/>
        </w:rPr>
      </w:pPr>
    </w:p>
    <w:p w14:paraId="4BEEA37D">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步骤6：领取注册证书（1个工作日，代理邮寄）</w:t>
      </w:r>
    </w:p>
    <w:p w14:paraId="393CA000">
      <w:pPr>
        <w:numPr>
          <w:ilvl w:val="0"/>
          <w:numId w:val="1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领取文件：代理从商业注册局领取《公司注册证书》（Cédula de Matrícula Mercantil），该证书是公司合法存续的核心凭证，需扫描存档；</w:t>
      </w:r>
    </w:p>
    <w:p w14:paraId="6B9E7209">
      <w:pPr>
        <w:numPr>
          <w:ilvl w:val="0"/>
          <w:numId w:val="1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同步文件：AAZFC出具《自贸区准入证明》（Constancia de Admisión a la Zona Libre），凭此证明可享受自贸区税收优惠；</w:t>
      </w:r>
    </w:p>
    <w:p w14:paraId="3E7CD8BF">
      <w:pPr>
        <w:numPr>
          <w:ilvl w:val="0"/>
          <w:numId w:val="1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邮寄方式：通过DHL国际快递寄送至国内，运费约50-80美元。</w:t>
      </w:r>
    </w:p>
    <w:p w14:paraId="4853C955">
      <w:pPr>
        <w:rPr>
          <w:rFonts w:hint="eastAsia" w:ascii="Kaiti SC Regular" w:hAnsi="Kaiti SC Regular" w:eastAsia="Kaiti SC Regular" w:cs="Kaiti SC Regular"/>
          <w:lang w:val="en-US" w:eastAsia="zh-CN"/>
        </w:rPr>
      </w:pPr>
    </w:p>
    <w:p w14:paraId="3D396FBD">
      <w:pPr>
        <w:rPr>
          <w:rFonts w:hint="eastAsia" w:ascii="Kaiti SC Regular" w:hAnsi="Kaiti SC Regular" w:eastAsia="Kaiti SC Regular" w:cs="Kaiti SC Regular"/>
          <w:lang w:val="en-US" w:eastAsia="zh-CN"/>
        </w:rPr>
      </w:pPr>
      <w:r>
        <w:rPr>
          <w:rFonts w:hint="eastAsia" w:ascii="Kaiti SC Bold" w:hAnsi="Kaiti SC Bold" w:eastAsia="Kaiti SC Bold" w:cs="Kaiti SC Bold"/>
          <w:b/>
          <w:bCs/>
          <w:lang w:val="en-US" w:eastAsia="zh-CN"/>
        </w:rPr>
        <w:t>步骤7：刻章与文件套装交接（1-2个工作日，含在注册费内）</w:t>
      </w:r>
    </w:p>
    <w:p w14:paraId="4E25C053">
      <w:pPr>
        <w:numPr>
          <w:ilvl w:val="0"/>
          <w:numId w:val="1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刻章类型：由代理到公安局指定刻章点制作4枚印章：</w:t>
      </w:r>
    </w:p>
    <w:p w14:paraId="6E7CAEAB">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公司公章（Sello Oficial）；</w:t>
      </w:r>
    </w:p>
    <w:p w14:paraId="20E47750">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财务专用章（Sello Contable）；</w:t>
      </w:r>
    </w:p>
    <w:p w14:paraId="60C1258D">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合同专用章（Sello de Contratos）；</w:t>
      </w:r>
    </w:p>
    <w:p w14:paraId="386EE061">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董事签名章（可刻制中文+西班牙语双语）。</w:t>
      </w:r>
    </w:p>
    <w:p w14:paraId="70F59BBA">
      <w:pPr>
        <w:numPr>
          <w:ilvl w:val="0"/>
          <w:numId w:val="1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交付文件：代理邮寄全套注册文件，包含：</w:t>
      </w:r>
    </w:p>
    <w:p w14:paraId="6777DEE1">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公司注册证书原件及复印件；</w:t>
      </w:r>
    </w:p>
    <w:p w14:paraId="477C299A">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公司章程原件及公证件；</w:t>
      </w:r>
    </w:p>
    <w:p w14:paraId="131A7DC1">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董事委任书（Acta de Designación de Directores）；</w:t>
      </w:r>
    </w:p>
    <w:p w14:paraId="1D65C75E">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股票页（Libro de Acciones，不记名股票需妥善保管）；</w:t>
      </w:r>
    </w:p>
    <w:p w14:paraId="4867620F">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4枚印章及印模卡；</w:t>
      </w:r>
    </w:p>
    <w:p w14:paraId="362203E5">
      <w:pPr>
        <w:numPr>
          <w:ilvl w:val="1"/>
          <w:numId w:val="1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自贸区准入证明原件。</w:t>
      </w:r>
    </w:p>
    <w:p w14:paraId="598E44BC">
      <w:pPr>
        <w:rPr>
          <w:rFonts w:hint="eastAsia" w:ascii="Kaiti SC Regular" w:hAnsi="Kaiti SC Regular" w:eastAsia="Kaiti SC Regular" w:cs="Kaiti SC Regular"/>
          <w:lang w:val="en-US" w:eastAsia="zh-CN"/>
        </w:rPr>
      </w:pPr>
    </w:p>
    <w:p w14:paraId="49DC47D3">
      <w:pPr>
        <w:rPr>
          <w:rFonts w:hint="eastAsia" w:ascii="Kaiti SC Regular" w:hAnsi="Kaiti SC Regular" w:eastAsia="Kaiti SC Regular" w:cs="Kaiti SC Regular"/>
          <w:lang w:val="en-US" w:eastAsia="zh-CN"/>
        </w:rPr>
      </w:pPr>
      <w:r>
        <w:rPr>
          <w:rFonts w:hint="eastAsia" w:ascii="Kaiti SC Bold" w:hAnsi="Kaiti SC Bold" w:eastAsia="Kaiti SC Bold" w:cs="Kaiti SC Bold"/>
          <w:b/>
          <w:bCs/>
          <w:lang w:val="en-US" w:eastAsia="zh-CN"/>
        </w:rPr>
        <w:t>全程时间总结</w:t>
      </w:r>
      <w:r>
        <w:rPr>
          <w:rFonts w:hint="eastAsia" w:ascii="Kaiti SC Regular" w:hAnsi="Kaiti SC Regular" w:eastAsia="Kaiti SC Regular" w:cs="Kaiti SC Regular"/>
          <w:lang w:val="en-US" w:eastAsia="zh-CN"/>
        </w:rPr>
        <w:t>：12-20个工作日（最快10个工作日可拿证），旺季（8-12月物流高峰期）可能延长3-5个工作日。</w:t>
      </w:r>
    </w:p>
    <w:p w14:paraId="1B6903B9">
      <w:pPr>
        <w:rPr>
          <w:rFonts w:hint="eastAsia" w:ascii="Kaiti SC Regular" w:hAnsi="Kaiti SC Regular" w:eastAsia="Kaiti SC Regular" w:cs="Kaiti SC Regular"/>
          <w:lang w:val="en-US" w:eastAsia="zh-CN"/>
        </w:rPr>
      </w:pPr>
    </w:p>
    <w:p w14:paraId="2748EB1A">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四、费用明细：注册 + 首年维护全成本（2025年最新报价）</w:t>
      </w:r>
    </w:p>
    <w:p w14:paraId="0F2F692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巴拿马公司费用分为“一次性注册费”和“年度维护费”，科隆自贸区因政策补贴，成本比普通区域低10%-20%，所有费用均以美元结算（可通过国内银行电汇至代理账户）。</w:t>
      </w:r>
    </w:p>
    <w:p w14:paraId="0C2C01ED">
      <w:pPr>
        <w:rPr>
          <w:rFonts w:hint="eastAsia" w:ascii="Kaiti SC Regular" w:hAnsi="Kaiti SC Regular" w:eastAsia="Kaiti SC Regular" w:cs="Kaiti SC Regular"/>
          <w:lang w:val="en-US" w:eastAsia="zh-CN"/>
        </w:rPr>
      </w:pPr>
    </w:p>
    <w:p w14:paraId="118027F9">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（一）一次性注册费用（合计2200-3000美元）</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38"/>
        <w:gridCol w:w="1210"/>
        <w:gridCol w:w="1720"/>
        <w:gridCol w:w="4238"/>
      </w:tblGrid>
      <w:tr w14:paraId="27103198">
        <w:trPr>
          <w:tblHeader/>
        </w:trPr>
        <w:tc>
          <w:tcPr>
            <w:tcW w:w="1138" w:type="dxa"/>
            <w:tcBorders>
              <w:top w:val="nil"/>
              <w:left w:val="nil"/>
              <w:bottom w:val="nil"/>
            </w:tcBorders>
            <w:shd w:val="clear"/>
            <w:vAlign w:val="center"/>
          </w:tcPr>
          <w:p w14:paraId="52F06D13">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费用项目</w:t>
            </w:r>
          </w:p>
        </w:tc>
        <w:tc>
          <w:tcPr>
            <w:tcW w:w="1210" w:type="dxa"/>
            <w:tcBorders>
              <w:top w:val="nil"/>
              <w:left w:val="nil"/>
              <w:bottom w:val="nil"/>
            </w:tcBorders>
            <w:shd w:val="clear"/>
            <w:vAlign w:val="center"/>
          </w:tcPr>
          <w:p w14:paraId="0E6BEEDA">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金额范围</w:t>
            </w:r>
          </w:p>
        </w:tc>
        <w:tc>
          <w:tcPr>
            <w:tcW w:w="1720" w:type="dxa"/>
            <w:tcBorders>
              <w:top w:val="nil"/>
              <w:left w:val="nil"/>
              <w:bottom w:val="nil"/>
            </w:tcBorders>
            <w:shd w:val="clear"/>
            <w:vAlign w:val="center"/>
          </w:tcPr>
          <w:p w14:paraId="1D5DA0A5">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支付对象</w:t>
            </w:r>
          </w:p>
        </w:tc>
        <w:tc>
          <w:tcPr>
            <w:tcW w:w="4238" w:type="dxa"/>
            <w:tcBorders>
              <w:top w:val="nil"/>
              <w:left w:val="nil"/>
              <w:bottom w:val="nil"/>
              <w:right w:val="nil"/>
            </w:tcBorders>
            <w:shd w:val="clear"/>
            <w:vAlign w:val="center"/>
          </w:tcPr>
          <w:p w14:paraId="790D6E89">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说明</w:t>
            </w:r>
          </w:p>
        </w:tc>
      </w:tr>
      <w:tr w14:paraId="6ECB1D6E">
        <w:tc>
          <w:tcPr>
            <w:tcW w:w="1138" w:type="dxa"/>
            <w:tcBorders>
              <w:top w:val="nil"/>
              <w:left w:val="nil"/>
              <w:bottom w:val="nil"/>
            </w:tcBorders>
            <w:shd w:val="clear"/>
            <w:vAlign w:val="center"/>
          </w:tcPr>
          <w:p w14:paraId="2A3906C7">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政府注册费</w:t>
            </w:r>
          </w:p>
        </w:tc>
        <w:tc>
          <w:tcPr>
            <w:tcW w:w="1210" w:type="dxa"/>
            <w:tcBorders>
              <w:top w:val="nil"/>
              <w:left w:val="nil"/>
              <w:bottom w:val="nil"/>
            </w:tcBorders>
            <w:shd w:val="clear"/>
            <w:vAlign w:val="center"/>
          </w:tcPr>
          <w:p w14:paraId="79558AF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700美元</w:t>
            </w:r>
          </w:p>
        </w:tc>
        <w:tc>
          <w:tcPr>
            <w:tcW w:w="1720" w:type="dxa"/>
            <w:tcBorders>
              <w:top w:val="nil"/>
              <w:left w:val="nil"/>
              <w:bottom w:val="nil"/>
            </w:tcBorders>
            <w:shd w:val="clear"/>
            <w:vAlign w:val="center"/>
          </w:tcPr>
          <w:p w14:paraId="6DC9F279">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巴拿马商业注册局</w:t>
            </w:r>
          </w:p>
        </w:tc>
        <w:tc>
          <w:tcPr>
            <w:tcW w:w="4238" w:type="dxa"/>
            <w:tcBorders>
              <w:top w:val="nil"/>
              <w:left w:val="nil"/>
              <w:bottom w:val="nil"/>
              <w:right w:val="nil"/>
            </w:tcBorders>
            <w:shd w:val="clear"/>
            <w:vAlign w:val="center"/>
          </w:tcPr>
          <w:p w14:paraId="61A057A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法定费用，注册资本1万美元的固定标准，超过则按比例增加（1.5万美元需900美元）</w:t>
            </w:r>
          </w:p>
        </w:tc>
      </w:tr>
      <w:tr w14:paraId="56E2F4EE">
        <w:tc>
          <w:tcPr>
            <w:tcW w:w="1138" w:type="dxa"/>
            <w:tcBorders>
              <w:top w:val="nil"/>
              <w:left w:val="nil"/>
              <w:bottom w:val="nil"/>
            </w:tcBorders>
            <w:shd w:val="clear"/>
            <w:vAlign w:val="center"/>
          </w:tcPr>
          <w:p w14:paraId="52940D7B">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注册代理费</w:t>
            </w:r>
          </w:p>
        </w:tc>
        <w:tc>
          <w:tcPr>
            <w:tcW w:w="1210" w:type="dxa"/>
            <w:tcBorders>
              <w:top w:val="nil"/>
              <w:left w:val="nil"/>
              <w:bottom w:val="nil"/>
            </w:tcBorders>
            <w:shd w:val="clear"/>
            <w:vAlign w:val="center"/>
          </w:tcPr>
          <w:p w14:paraId="447AFA10">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800-1200美元</w:t>
            </w:r>
          </w:p>
        </w:tc>
        <w:tc>
          <w:tcPr>
            <w:tcW w:w="1720" w:type="dxa"/>
            <w:tcBorders>
              <w:top w:val="nil"/>
              <w:left w:val="nil"/>
              <w:bottom w:val="nil"/>
            </w:tcBorders>
            <w:shd w:val="clear"/>
            <w:vAlign w:val="center"/>
          </w:tcPr>
          <w:p w14:paraId="0A5D015C">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代理公司</w:t>
            </w:r>
          </w:p>
        </w:tc>
        <w:tc>
          <w:tcPr>
            <w:tcW w:w="4238" w:type="dxa"/>
            <w:tcBorders>
              <w:top w:val="nil"/>
              <w:left w:val="nil"/>
              <w:bottom w:val="nil"/>
              <w:right w:val="nil"/>
            </w:tcBorders>
            <w:shd w:val="clear"/>
            <w:vAlign w:val="center"/>
          </w:tcPr>
          <w:p w14:paraId="6F6A7471">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含文件起草、核名、提交申请、跑腿服务，自贸区代理收费略高（比普通区域高200美元）</w:t>
            </w:r>
          </w:p>
        </w:tc>
      </w:tr>
      <w:tr w14:paraId="4289894B">
        <w:tc>
          <w:tcPr>
            <w:tcW w:w="1138" w:type="dxa"/>
            <w:tcBorders>
              <w:top w:val="nil"/>
              <w:left w:val="nil"/>
              <w:bottom w:val="nil"/>
            </w:tcBorders>
            <w:shd w:val="clear"/>
            <w:vAlign w:val="center"/>
          </w:tcPr>
          <w:p w14:paraId="3F1187F8">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注册地址费</w:t>
            </w:r>
          </w:p>
        </w:tc>
        <w:tc>
          <w:tcPr>
            <w:tcW w:w="1210" w:type="dxa"/>
            <w:tcBorders>
              <w:top w:val="nil"/>
              <w:left w:val="nil"/>
              <w:bottom w:val="nil"/>
            </w:tcBorders>
            <w:shd w:val="clear"/>
            <w:vAlign w:val="center"/>
          </w:tcPr>
          <w:p w14:paraId="5461AD51">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200美元</w:t>
            </w:r>
          </w:p>
        </w:tc>
        <w:tc>
          <w:tcPr>
            <w:tcW w:w="1720" w:type="dxa"/>
            <w:tcBorders>
              <w:top w:val="nil"/>
              <w:left w:val="nil"/>
              <w:bottom w:val="nil"/>
            </w:tcBorders>
            <w:shd w:val="clear"/>
            <w:vAlign w:val="center"/>
          </w:tcPr>
          <w:p w14:paraId="4600CADA">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代理公司</w:t>
            </w:r>
          </w:p>
        </w:tc>
        <w:tc>
          <w:tcPr>
            <w:tcW w:w="4238" w:type="dxa"/>
            <w:tcBorders>
              <w:top w:val="nil"/>
              <w:left w:val="nil"/>
              <w:bottom w:val="nil"/>
              <w:right w:val="nil"/>
            </w:tcBorders>
            <w:shd w:val="clear"/>
            <w:vAlign w:val="center"/>
          </w:tcPr>
          <w:p w14:paraId="206E767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首年地址使用费，自贸区地址由AAZFC统一分配，不可自行选择</w:t>
            </w:r>
          </w:p>
        </w:tc>
      </w:tr>
      <w:tr w14:paraId="17E94011">
        <w:tc>
          <w:tcPr>
            <w:tcW w:w="1138" w:type="dxa"/>
            <w:tcBorders>
              <w:top w:val="nil"/>
              <w:left w:val="nil"/>
              <w:bottom w:val="nil"/>
            </w:tcBorders>
            <w:shd w:val="clear"/>
            <w:vAlign w:val="center"/>
          </w:tcPr>
          <w:p w14:paraId="697CEBC5">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文件核证+ 翻译费</w:t>
            </w:r>
          </w:p>
        </w:tc>
        <w:tc>
          <w:tcPr>
            <w:tcW w:w="1210" w:type="dxa"/>
            <w:tcBorders>
              <w:top w:val="nil"/>
              <w:left w:val="nil"/>
              <w:bottom w:val="nil"/>
            </w:tcBorders>
            <w:shd w:val="clear"/>
            <w:vAlign w:val="center"/>
          </w:tcPr>
          <w:p w14:paraId="6F2300EA">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300-600美元</w:t>
            </w:r>
          </w:p>
        </w:tc>
        <w:tc>
          <w:tcPr>
            <w:tcW w:w="1720" w:type="dxa"/>
            <w:tcBorders>
              <w:top w:val="nil"/>
              <w:left w:val="nil"/>
              <w:bottom w:val="nil"/>
            </w:tcBorders>
            <w:shd w:val="clear"/>
            <w:vAlign w:val="center"/>
          </w:tcPr>
          <w:p w14:paraId="5C5A1C9C">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代理/第三方机构</w:t>
            </w:r>
          </w:p>
        </w:tc>
        <w:tc>
          <w:tcPr>
            <w:tcW w:w="4238" w:type="dxa"/>
            <w:tcBorders>
              <w:top w:val="nil"/>
              <w:left w:val="nil"/>
              <w:bottom w:val="nil"/>
              <w:right w:val="nil"/>
            </w:tcBorders>
            <w:shd w:val="clear"/>
            <w:vAlign w:val="center"/>
          </w:tcPr>
          <w:p w14:paraId="0FEC7D9A">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企业股东比自然人多200-300美元（需双认证）</w:t>
            </w:r>
          </w:p>
        </w:tc>
      </w:tr>
      <w:tr w14:paraId="35285D77">
        <w:tc>
          <w:tcPr>
            <w:tcW w:w="1138" w:type="dxa"/>
            <w:tcBorders>
              <w:top w:val="nil"/>
              <w:left w:val="nil"/>
              <w:bottom w:val="nil"/>
            </w:tcBorders>
            <w:shd w:val="clear"/>
            <w:vAlign w:val="center"/>
          </w:tcPr>
          <w:p w14:paraId="3644D2BC">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刻章费</w:t>
            </w:r>
          </w:p>
        </w:tc>
        <w:tc>
          <w:tcPr>
            <w:tcW w:w="1210" w:type="dxa"/>
            <w:tcBorders>
              <w:top w:val="nil"/>
              <w:left w:val="nil"/>
              <w:bottom w:val="nil"/>
            </w:tcBorders>
            <w:shd w:val="clear"/>
            <w:vAlign w:val="center"/>
          </w:tcPr>
          <w:p w14:paraId="091CAEA9">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200美元</w:t>
            </w:r>
          </w:p>
        </w:tc>
        <w:tc>
          <w:tcPr>
            <w:tcW w:w="1720" w:type="dxa"/>
            <w:tcBorders>
              <w:top w:val="nil"/>
              <w:left w:val="nil"/>
              <w:bottom w:val="nil"/>
            </w:tcBorders>
            <w:shd w:val="clear"/>
            <w:vAlign w:val="center"/>
          </w:tcPr>
          <w:p w14:paraId="04F329C1">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代理公司</w:t>
            </w:r>
          </w:p>
        </w:tc>
        <w:tc>
          <w:tcPr>
            <w:tcW w:w="4238" w:type="dxa"/>
            <w:tcBorders>
              <w:top w:val="nil"/>
              <w:left w:val="nil"/>
              <w:bottom w:val="nil"/>
              <w:right w:val="nil"/>
            </w:tcBorders>
            <w:shd w:val="clear"/>
            <w:vAlign w:val="center"/>
          </w:tcPr>
          <w:p w14:paraId="3F657A8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4枚印章全包，含公安局备案</w:t>
            </w:r>
          </w:p>
        </w:tc>
      </w:tr>
      <w:tr w14:paraId="55314CF1">
        <w:tc>
          <w:tcPr>
            <w:tcW w:w="1138" w:type="dxa"/>
            <w:tcBorders>
              <w:top w:val="nil"/>
              <w:left w:val="nil"/>
              <w:bottom w:val="nil"/>
            </w:tcBorders>
            <w:shd w:val="clear"/>
            <w:vAlign w:val="center"/>
          </w:tcPr>
          <w:p w14:paraId="5A19FBDB">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快递费</w:t>
            </w:r>
          </w:p>
        </w:tc>
        <w:tc>
          <w:tcPr>
            <w:tcW w:w="1210" w:type="dxa"/>
            <w:tcBorders>
              <w:top w:val="nil"/>
              <w:left w:val="nil"/>
              <w:bottom w:val="nil"/>
            </w:tcBorders>
            <w:shd w:val="clear"/>
            <w:vAlign w:val="center"/>
          </w:tcPr>
          <w:p w14:paraId="7A434D1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50-80美元</w:t>
            </w:r>
          </w:p>
        </w:tc>
        <w:tc>
          <w:tcPr>
            <w:tcW w:w="1720" w:type="dxa"/>
            <w:tcBorders>
              <w:top w:val="nil"/>
              <w:left w:val="nil"/>
              <w:bottom w:val="nil"/>
            </w:tcBorders>
            <w:shd w:val="clear"/>
            <w:vAlign w:val="center"/>
          </w:tcPr>
          <w:p w14:paraId="3BC7F7E4">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代理公司</w:t>
            </w:r>
          </w:p>
        </w:tc>
        <w:tc>
          <w:tcPr>
            <w:tcW w:w="4238" w:type="dxa"/>
            <w:tcBorders>
              <w:top w:val="nil"/>
              <w:left w:val="nil"/>
              <w:bottom w:val="nil"/>
              <w:right w:val="nil"/>
            </w:tcBorders>
            <w:shd w:val="clear"/>
            <w:vAlign w:val="center"/>
          </w:tcPr>
          <w:p w14:paraId="6A4F3BD0">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DHL国际快递，保价费另算（保价1万美元需加50美元）</w:t>
            </w:r>
          </w:p>
        </w:tc>
      </w:tr>
    </w:tbl>
    <w:p w14:paraId="429FFB80">
      <w:pPr>
        <w:rPr>
          <w:rFonts w:hint="eastAsia" w:ascii="Kaiti SC Bold" w:hAnsi="Kaiti SC Bold" w:eastAsia="Kaiti SC Bold" w:cs="Kaiti SC Bold"/>
          <w:b/>
          <w:bCs/>
          <w:sz w:val="22"/>
          <w:szCs w:val="28"/>
          <w:lang w:val="en-US" w:eastAsia="zh-CN"/>
        </w:rPr>
      </w:pPr>
    </w:p>
    <w:p w14:paraId="50A6453B">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（二）年度维护费用（每年850-1200美元，次年起缴纳）</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28"/>
        <w:gridCol w:w="1270"/>
        <w:gridCol w:w="1800"/>
        <w:gridCol w:w="3708"/>
      </w:tblGrid>
      <w:tr w14:paraId="19528EFB">
        <w:trPr>
          <w:tblHeader/>
        </w:trPr>
        <w:tc>
          <w:tcPr>
            <w:tcW w:w="1528" w:type="dxa"/>
            <w:tcBorders>
              <w:top w:val="nil"/>
              <w:left w:val="nil"/>
              <w:bottom w:val="nil"/>
            </w:tcBorders>
            <w:shd w:val="clear"/>
            <w:vAlign w:val="center"/>
          </w:tcPr>
          <w:p w14:paraId="2A743DB0">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费用项目</w:t>
            </w:r>
          </w:p>
        </w:tc>
        <w:tc>
          <w:tcPr>
            <w:tcW w:w="1270" w:type="dxa"/>
            <w:tcBorders>
              <w:top w:val="nil"/>
              <w:left w:val="nil"/>
              <w:bottom w:val="nil"/>
            </w:tcBorders>
            <w:shd w:val="clear"/>
            <w:vAlign w:val="center"/>
          </w:tcPr>
          <w:p w14:paraId="53E32767">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金额范围</w:t>
            </w:r>
          </w:p>
        </w:tc>
        <w:tc>
          <w:tcPr>
            <w:tcW w:w="1800" w:type="dxa"/>
            <w:tcBorders>
              <w:top w:val="nil"/>
              <w:left w:val="nil"/>
              <w:bottom w:val="nil"/>
            </w:tcBorders>
            <w:shd w:val="clear"/>
            <w:vAlign w:val="center"/>
          </w:tcPr>
          <w:p w14:paraId="69AD0BA7">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支付对象</w:t>
            </w:r>
          </w:p>
        </w:tc>
        <w:tc>
          <w:tcPr>
            <w:tcW w:w="3708" w:type="dxa"/>
            <w:tcBorders>
              <w:top w:val="nil"/>
              <w:left w:val="nil"/>
              <w:bottom w:val="nil"/>
              <w:right w:val="nil"/>
            </w:tcBorders>
            <w:shd w:val="clear"/>
            <w:vAlign w:val="center"/>
          </w:tcPr>
          <w:p w14:paraId="05D82DB1">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缴纳截止日</w:t>
            </w:r>
          </w:p>
        </w:tc>
      </w:tr>
      <w:tr w14:paraId="65FECADB">
        <w:tc>
          <w:tcPr>
            <w:tcW w:w="1528" w:type="dxa"/>
            <w:tcBorders>
              <w:top w:val="nil"/>
              <w:left w:val="nil"/>
              <w:bottom w:val="nil"/>
            </w:tcBorders>
            <w:shd w:val="clear"/>
            <w:vAlign w:val="center"/>
          </w:tcPr>
          <w:p w14:paraId="229EAE9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政府年度牌照费</w:t>
            </w:r>
          </w:p>
        </w:tc>
        <w:tc>
          <w:tcPr>
            <w:tcW w:w="1270" w:type="dxa"/>
            <w:tcBorders>
              <w:top w:val="nil"/>
              <w:left w:val="nil"/>
              <w:bottom w:val="nil"/>
            </w:tcBorders>
            <w:shd w:val="clear"/>
            <w:vAlign w:val="center"/>
          </w:tcPr>
          <w:p w14:paraId="3FEF5B5F">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500美元</w:t>
            </w:r>
          </w:p>
        </w:tc>
        <w:tc>
          <w:tcPr>
            <w:tcW w:w="1800" w:type="dxa"/>
            <w:tcBorders>
              <w:top w:val="nil"/>
              <w:left w:val="nil"/>
              <w:bottom w:val="nil"/>
            </w:tcBorders>
            <w:shd w:val="clear"/>
            <w:vAlign w:val="center"/>
          </w:tcPr>
          <w:p w14:paraId="506F7966">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巴拿马商业注册局</w:t>
            </w:r>
          </w:p>
        </w:tc>
        <w:tc>
          <w:tcPr>
            <w:tcW w:w="3708" w:type="dxa"/>
            <w:tcBorders>
              <w:top w:val="nil"/>
              <w:left w:val="nil"/>
              <w:bottom w:val="nil"/>
              <w:right w:val="nil"/>
            </w:tcBorders>
            <w:shd w:val="clear"/>
            <w:vAlign w:val="center"/>
          </w:tcPr>
          <w:p w14:paraId="728B563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1-6月注册的公司：次年6月15日前；7-12月注册的公司：次年12月15日前</w:t>
            </w:r>
          </w:p>
        </w:tc>
      </w:tr>
      <w:tr w14:paraId="4CDE50EC">
        <w:tc>
          <w:tcPr>
            <w:tcW w:w="1528" w:type="dxa"/>
            <w:tcBorders>
              <w:top w:val="nil"/>
              <w:left w:val="nil"/>
              <w:bottom w:val="nil"/>
            </w:tcBorders>
            <w:shd w:val="clear"/>
            <w:vAlign w:val="center"/>
          </w:tcPr>
          <w:p w14:paraId="68EE3F9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注册代理年费</w:t>
            </w:r>
          </w:p>
        </w:tc>
        <w:tc>
          <w:tcPr>
            <w:tcW w:w="1270" w:type="dxa"/>
            <w:tcBorders>
              <w:top w:val="nil"/>
              <w:left w:val="nil"/>
              <w:bottom w:val="nil"/>
            </w:tcBorders>
            <w:shd w:val="clear"/>
            <w:vAlign w:val="center"/>
          </w:tcPr>
          <w:p w14:paraId="3050F2B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200-350美元</w:t>
            </w:r>
          </w:p>
        </w:tc>
        <w:tc>
          <w:tcPr>
            <w:tcW w:w="1800" w:type="dxa"/>
            <w:tcBorders>
              <w:top w:val="nil"/>
              <w:left w:val="nil"/>
              <w:bottom w:val="nil"/>
            </w:tcBorders>
            <w:shd w:val="clear"/>
            <w:vAlign w:val="center"/>
          </w:tcPr>
          <w:p w14:paraId="647F481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代理公司</w:t>
            </w:r>
          </w:p>
        </w:tc>
        <w:tc>
          <w:tcPr>
            <w:tcW w:w="3708" w:type="dxa"/>
            <w:tcBorders>
              <w:top w:val="nil"/>
              <w:left w:val="nil"/>
              <w:bottom w:val="nil"/>
              <w:right w:val="nil"/>
            </w:tcBorders>
            <w:shd w:val="clear"/>
            <w:vAlign w:val="center"/>
          </w:tcPr>
          <w:p w14:paraId="3C9DCF52">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与牌照费同步缴纳，含地址续用、文件备案服务</w:t>
            </w:r>
          </w:p>
        </w:tc>
      </w:tr>
      <w:tr w14:paraId="6A2FCD85">
        <w:tc>
          <w:tcPr>
            <w:tcW w:w="1528" w:type="dxa"/>
            <w:tcBorders>
              <w:top w:val="nil"/>
              <w:left w:val="nil"/>
              <w:bottom w:val="nil"/>
            </w:tcBorders>
            <w:shd w:val="clear"/>
            <w:vAlign w:val="center"/>
          </w:tcPr>
          <w:p w14:paraId="2CD6282B">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自贸区管理费</w:t>
            </w:r>
          </w:p>
        </w:tc>
        <w:tc>
          <w:tcPr>
            <w:tcW w:w="1270" w:type="dxa"/>
            <w:tcBorders>
              <w:top w:val="nil"/>
              <w:left w:val="nil"/>
              <w:bottom w:val="nil"/>
            </w:tcBorders>
            <w:shd w:val="clear"/>
            <w:vAlign w:val="center"/>
          </w:tcPr>
          <w:p w14:paraId="38FFFB2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150-300美元</w:t>
            </w:r>
          </w:p>
        </w:tc>
        <w:tc>
          <w:tcPr>
            <w:tcW w:w="1800" w:type="dxa"/>
            <w:tcBorders>
              <w:top w:val="nil"/>
              <w:left w:val="nil"/>
              <w:bottom w:val="nil"/>
            </w:tcBorders>
            <w:shd w:val="clear"/>
            <w:vAlign w:val="center"/>
          </w:tcPr>
          <w:p w14:paraId="70306C75">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AAZFC</w:t>
            </w:r>
          </w:p>
        </w:tc>
        <w:tc>
          <w:tcPr>
            <w:tcW w:w="3708" w:type="dxa"/>
            <w:tcBorders>
              <w:top w:val="nil"/>
              <w:left w:val="nil"/>
              <w:bottom w:val="nil"/>
              <w:right w:val="nil"/>
            </w:tcBorders>
            <w:shd w:val="clear"/>
            <w:vAlign w:val="center"/>
          </w:tcPr>
          <w:p w14:paraId="173469C5">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按注册地址面积收取（转口专区标准：150美元/年/工位）</w:t>
            </w:r>
          </w:p>
        </w:tc>
      </w:tr>
      <w:tr w14:paraId="6B30B8B0">
        <w:tc>
          <w:tcPr>
            <w:tcW w:w="1528" w:type="dxa"/>
            <w:tcBorders>
              <w:top w:val="nil"/>
              <w:left w:val="nil"/>
              <w:bottom w:val="nil"/>
            </w:tcBorders>
            <w:shd w:val="clear"/>
            <w:vAlign w:val="center"/>
          </w:tcPr>
          <w:p w14:paraId="2F0A5E18">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会计记录备存费</w:t>
            </w:r>
          </w:p>
        </w:tc>
        <w:tc>
          <w:tcPr>
            <w:tcW w:w="1270" w:type="dxa"/>
            <w:tcBorders>
              <w:top w:val="nil"/>
              <w:left w:val="nil"/>
              <w:bottom w:val="nil"/>
            </w:tcBorders>
            <w:shd w:val="clear"/>
            <w:vAlign w:val="center"/>
          </w:tcPr>
          <w:p w14:paraId="67D9CCBB">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0美元（自存）</w:t>
            </w:r>
          </w:p>
        </w:tc>
        <w:tc>
          <w:tcPr>
            <w:tcW w:w="1800" w:type="dxa"/>
            <w:tcBorders>
              <w:top w:val="nil"/>
              <w:left w:val="nil"/>
              <w:bottom w:val="nil"/>
            </w:tcBorders>
            <w:shd w:val="clear"/>
            <w:vAlign w:val="center"/>
          </w:tcPr>
          <w:p w14:paraId="02D6AE9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企业自身</w:t>
            </w:r>
          </w:p>
        </w:tc>
        <w:tc>
          <w:tcPr>
            <w:tcW w:w="3708" w:type="dxa"/>
            <w:tcBorders>
              <w:top w:val="nil"/>
              <w:left w:val="nil"/>
              <w:bottom w:val="nil"/>
              <w:right w:val="nil"/>
            </w:tcBorders>
            <w:shd w:val="clear"/>
            <w:vAlign w:val="center"/>
          </w:tcPr>
          <w:p w14:paraId="12002773">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需在每年4月30日前将上年度会计记录存至代理处，至少保存5年</w:t>
            </w:r>
          </w:p>
        </w:tc>
      </w:tr>
    </w:tbl>
    <w:p w14:paraId="69E529AB">
      <w:pPr>
        <w:rPr>
          <w:rFonts w:hint="eastAsia" w:ascii="Kaiti SC Bold" w:hAnsi="Kaiti SC Bold" w:eastAsia="Kaiti SC Bold" w:cs="Kaiti SC Bold"/>
          <w:b/>
          <w:bCs/>
          <w:sz w:val="22"/>
          <w:szCs w:val="28"/>
          <w:lang w:val="en-US" w:eastAsia="zh-CN"/>
        </w:rPr>
      </w:pPr>
    </w:p>
    <w:p w14:paraId="736EB1D8">
      <w:pPr>
        <w:rPr>
          <w:rFonts w:hint="default"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（三）隐性成本提醒</w:t>
      </w:r>
    </w:p>
    <w:p w14:paraId="6404B6CC">
      <w:pPr>
        <w:numPr>
          <w:ilvl w:val="0"/>
          <w:numId w:val="16"/>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补正费：文件缺失需补缴100-200美元/次；</w:t>
      </w:r>
    </w:p>
    <w:p w14:paraId="4628BB9E">
      <w:pPr>
        <w:numPr>
          <w:ilvl w:val="0"/>
          <w:numId w:val="16"/>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逾期费：年费逾期1个月内罚100美元，超过1个月罚600美元，连续2年逾期会被吊销执照；</w:t>
      </w:r>
    </w:p>
    <w:p w14:paraId="6B625694">
      <w:pPr>
        <w:numPr>
          <w:ilvl w:val="0"/>
          <w:numId w:val="16"/>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变更费：后续变更董事/地址需500-800美元（自贸区变更需AAZFC额外审批，比普通区域贵200美元）。</w:t>
      </w:r>
    </w:p>
    <w:p w14:paraId="2CB799C4">
      <w:pPr>
        <w:numPr>
          <w:numId w:val="0"/>
        </w:numPr>
        <w:ind w:leftChars="0"/>
        <w:rPr>
          <w:rFonts w:hint="eastAsia" w:ascii="Kaiti SC Regular" w:hAnsi="Kaiti SC Regular" w:eastAsia="Kaiti SC Regular" w:cs="Kaiti SC Regular"/>
          <w:lang w:val="en-US" w:eastAsia="zh-CN"/>
        </w:rPr>
      </w:pPr>
    </w:p>
    <w:p w14:paraId="136B803E">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五、注册后必办事项：开户、税务登记、资质备案</w:t>
      </w:r>
    </w:p>
    <w:p w14:paraId="053C436C">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拿到注册证书不代表可以开展业务，需完成以下3项后置流程，否则无法进行货物清关与资金结算。</w:t>
      </w:r>
    </w:p>
    <w:p w14:paraId="1E9CFC38">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（一）银行开户（7-15个工作日，核心结算工具）</w:t>
      </w:r>
    </w:p>
    <w:p w14:paraId="2A78D90E">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1. 首选银行推荐（适配中委转口贸易）</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79"/>
        <w:gridCol w:w="3307"/>
        <w:gridCol w:w="3420"/>
      </w:tblGrid>
      <w:tr w14:paraId="050E5D2D">
        <w:trPr>
          <w:tblHeader/>
        </w:trPr>
        <w:tc>
          <w:tcPr>
            <w:tcW w:w="0" w:type="auto"/>
            <w:tcBorders>
              <w:top w:val="nil"/>
              <w:left w:val="nil"/>
              <w:bottom w:val="nil"/>
            </w:tcBorders>
            <w:shd w:val="clear"/>
            <w:vAlign w:val="center"/>
          </w:tcPr>
          <w:p w14:paraId="0D0F9FA9">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银行名称</w:t>
            </w:r>
          </w:p>
        </w:tc>
        <w:tc>
          <w:tcPr>
            <w:tcW w:w="0" w:type="auto"/>
            <w:tcBorders>
              <w:top w:val="nil"/>
              <w:left w:val="nil"/>
              <w:bottom w:val="nil"/>
            </w:tcBorders>
            <w:shd w:val="clear"/>
            <w:vAlign w:val="center"/>
          </w:tcPr>
          <w:p w14:paraId="6C1AAD0F">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开户优势</w:t>
            </w:r>
          </w:p>
        </w:tc>
        <w:tc>
          <w:tcPr>
            <w:tcW w:w="0" w:type="auto"/>
            <w:tcBorders>
              <w:top w:val="nil"/>
              <w:left w:val="nil"/>
              <w:bottom w:val="nil"/>
              <w:right w:val="nil"/>
            </w:tcBorders>
            <w:shd w:val="clear"/>
            <w:vAlign w:val="center"/>
          </w:tcPr>
          <w:p w14:paraId="7BDA03C1">
            <w:pPr>
              <w:rPr>
                <w:rFonts w:hint="eastAsia" w:ascii="Kaiti SC Bold" w:hAnsi="Kaiti SC Bold" w:eastAsia="Kaiti SC Bold" w:cs="Kaiti SC Bold"/>
                <w:b/>
                <w:bCs/>
                <w:lang w:val="en-US" w:eastAsia="zh-CN"/>
              </w:rPr>
            </w:pPr>
            <w:r>
              <w:rPr>
                <w:rFonts w:hint="eastAsia" w:ascii="Kaiti SC Bold" w:hAnsi="Kaiti SC Bold" w:eastAsia="Kaiti SC Bold" w:cs="Kaiti SC Bold"/>
                <w:b/>
                <w:bCs/>
                <w:lang w:val="en-US" w:eastAsia="zh-CN"/>
              </w:rPr>
              <w:t>开户要求</w:t>
            </w:r>
          </w:p>
        </w:tc>
      </w:tr>
      <w:tr w14:paraId="528CD483">
        <w:tc>
          <w:tcPr>
            <w:tcW w:w="0" w:type="auto"/>
            <w:tcBorders>
              <w:top w:val="nil"/>
              <w:left w:val="nil"/>
              <w:bottom w:val="nil"/>
            </w:tcBorders>
            <w:shd w:val="clear"/>
            <w:vAlign w:val="center"/>
          </w:tcPr>
          <w:p w14:paraId="3C3C1301">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巴拿马汇丰银行（HSBC）</w:t>
            </w:r>
          </w:p>
        </w:tc>
        <w:tc>
          <w:tcPr>
            <w:tcW w:w="0" w:type="auto"/>
            <w:tcBorders>
              <w:top w:val="nil"/>
              <w:left w:val="nil"/>
              <w:bottom w:val="nil"/>
            </w:tcBorders>
            <w:shd w:val="clear"/>
            <w:vAlign w:val="center"/>
          </w:tcPr>
          <w:p w14:paraId="08360726">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支持美元/人民币双币种结算，可对接中国汇丰账户，跨境转账手续费低至0.1%</w:t>
            </w:r>
          </w:p>
        </w:tc>
        <w:tc>
          <w:tcPr>
            <w:tcW w:w="0" w:type="auto"/>
            <w:tcBorders>
              <w:top w:val="nil"/>
              <w:left w:val="nil"/>
              <w:bottom w:val="nil"/>
              <w:right w:val="nil"/>
            </w:tcBorders>
            <w:shd w:val="clear"/>
            <w:vAlign w:val="center"/>
          </w:tcPr>
          <w:p w14:paraId="1DCAD8EA">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需提供公司注册文件、股东简历、业务计划书（注明与委内瑞拉客户的合作意向）</w:t>
            </w:r>
          </w:p>
        </w:tc>
      </w:tr>
      <w:tr w14:paraId="12A99F40">
        <w:tc>
          <w:tcPr>
            <w:tcW w:w="0" w:type="auto"/>
            <w:tcBorders>
              <w:top w:val="nil"/>
              <w:left w:val="nil"/>
              <w:bottom w:val="nil"/>
            </w:tcBorders>
            <w:shd w:val="clear"/>
            <w:vAlign w:val="center"/>
          </w:tcPr>
          <w:p w14:paraId="52EEECAA">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Banco General</w:t>
            </w:r>
          </w:p>
        </w:tc>
        <w:tc>
          <w:tcPr>
            <w:tcW w:w="0" w:type="auto"/>
            <w:tcBorders>
              <w:top w:val="nil"/>
              <w:left w:val="nil"/>
              <w:bottom w:val="nil"/>
            </w:tcBorders>
            <w:shd w:val="clear"/>
            <w:vAlign w:val="center"/>
          </w:tcPr>
          <w:p w14:paraId="211AFCA5">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自贸区指定合作银行，熟悉转口退税流程，可快速办理外汇核销</w:t>
            </w:r>
          </w:p>
        </w:tc>
        <w:tc>
          <w:tcPr>
            <w:tcW w:w="0" w:type="auto"/>
            <w:tcBorders>
              <w:top w:val="nil"/>
              <w:left w:val="nil"/>
              <w:bottom w:val="nil"/>
              <w:right w:val="nil"/>
            </w:tcBorders>
            <w:shd w:val="clear"/>
            <w:vAlign w:val="center"/>
          </w:tcPr>
          <w:p w14:paraId="5C081797">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需提供1份已签订的物流合同（可先与国内货代签订框架协议）</w:t>
            </w:r>
          </w:p>
        </w:tc>
      </w:tr>
    </w:tbl>
    <w:p w14:paraId="49975D30">
      <w:pPr>
        <w:rPr>
          <w:rFonts w:hint="eastAsia" w:ascii="Kaiti SC Regular" w:hAnsi="Kaiti SC Regular" w:eastAsia="Kaiti SC Regular" w:cs="Kaiti SC Regular"/>
          <w:lang w:val="en-US" w:eastAsia="zh-CN"/>
        </w:rPr>
      </w:pPr>
    </w:p>
    <w:p w14:paraId="002A8E95">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2. 开户材料（比注册材料更细致）</w:t>
      </w:r>
    </w:p>
    <w:p w14:paraId="3D6A857E">
      <w:pPr>
        <w:numPr>
          <w:ilvl w:val="0"/>
          <w:numId w:val="1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公司文件：注册证书、公司章程、董事在职证明（由代理出具）；</w:t>
      </w:r>
    </w:p>
    <w:p w14:paraId="26DDF1BA">
      <w:pPr>
        <w:numPr>
          <w:ilvl w:val="0"/>
          <w:numId w:val="1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股东/董事材料：护照、住址证明、个人银行流水（近6个月，证明资金实力）；</w:t>
      </w:r>
    </w:p>
    <w:p w14:paraId="0AD48F1F">
      <w:pPr>
        <w:numPr>
          <w:ilvl w:val="0"/>
          <w:numId w:val="1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业务材料：与中国供应商的采购意向书、与委内瑞拉客户的销售意向书、物流路线规划说明；</w:t>
      </w:r>
    </w:p>
    <w:p w14:paraId="2866C8FD">
      <w:pPr>
        <w:numPr>
          <w:ilvl w:val="0"/>
          <w:numId w:val="17"/>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远程开户：部分银行支持Zoom视频面谈开户（如汇丰国际部），无需赴巴，但审核时间延长3-5天。</w:t>
      </w:r>
    </w:p>
    <w:p w14:paraId="708C69C9">
      <w:pPr>
        <w:numPr>
          <w:numId w:val="0"/>
        </w:numPr>
        <w:ind w:leftChars="0"/>
        <w:rPr>
          <w:rFonts w:hint="eastAsia" w:ascii="Kaiti SC Regular" w:hAnsi="Kaiti SC Regular" w:eastAsia="Kaiti SC Regular" w:cs="Kaiti SC Regular"/>
          <w:lang w:val="en-US" w:eastAsia="zh-CN"/>
        </w:rPr>
      </w:pPr>
    </w:p>
    <w:p w14:paraId="243A468D">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3. 开户注意事项</w:t>
      </w:r>
    </w:p>
    <w:p w14:paraId="7F4AD57A">
      <w:pPr>
        <w:numPr>
          <w:ilvl w:val="0"/>
          <w:numId w:val="18"/>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账户类型：需开立“转口贸易专用账户”（Cuenta Especial de Reexportación），避免与普通账户混淆导致资金被冻结；</w:t>
      </w:r>
    </w:p>
    <w:p w14:paraId="01A5F4CD">
      <w:pPr>
        <w:numPr>
          <w:ilvl w:val="0"/>
          <w:numId w:val="18"/>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结算限制：巴拿马受美国金融监管影响，向委内瑞拉转账需注明“非制裁类货物贸易”，建议通过第三方支付通道（如巴拿马 - 委内瑞拉物流协会指定通道）。</w:t>
      </w:r>
    </w:p>
    <w:p w14:paraId="22E92186">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（二）税务登记（3-5个工作日，获取纳税身份）</w:t>
      </w:r>
    </w:p>
    <w:p w14:paraId="50D02E11">
      <w:pPr>
        <w:numPr>
          <w:ilvl w:val="0"/>
          <w:numId w:val="19"/>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办理机构：巴拿马税务局（Dirección General de Impuestos Nacionales, DGII）；</w:t>
      </w:r>
    </w:p>
    <w:p w14:paraId="363A371E">
      <w:pPr>
        <w:numPr>
          <w:ilvl w:val="0"/>
          <w:numId w:val="19"/>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核心文件：《税务登记证》（Registro Tributario Nacional, RUC），相当于公司的“税号”；</w:t>
      </w:r>
    </w:p>
    <w:p w14:paraId="73EEE125">
      <w:pPr>
        <w:numPr>
          <w:ilvl w:val="0"/>
          <w:numId w:val="19"/>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关键作用：</w:t>
      </w:r>
    </w:p>
    <w:p w14:paraId="4439E04F">
      <w:pPr>
        <w:numPr>
          <w:ilvl w:val="1"/>
          <w:numId w:val="19"/>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办理转口退税必须提供RUC号；</w:t>
      </w:r>
    </w:p>
    <w:p w14:paraId="58F3C2D9">
      <w:pPr>
        <w:numPr>
          <w:ilvl w:val="1"/>
          <w:numId w:val="19"/>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与本地货代、仓储公司签订合同需出示RUC号；</w:t>
      </w:r>
    </w:p>
    <w:p w14:paraId="49E024F3">
      <w:pPr>
        <w:numPr>
          <w:ilvl w:val="1"/>
          <w:numId w:val="19"/>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自贸区公司虽免缴所得税，但需每年提交《零申报纳税表》（Declaración Jurada de Impuestos）。</w:t>
      </w:r>
    </w:p>
    <w:p w14:paraId="55B79D0C">
      <w:pPr>
        <w:rPr>
          <w:rFonts w:hint="eastAsia" w:ascii="Kaiti SC Bold" w:hAnsi="Kaiti SC Bold" w:eastAsia="Kaiti SC Bold" w:cs="Kaiti SC Bold"/>
          <w:b/>
          <w:bCs/>
          <w:sz w:val="22"/>
          <w:szCs w:val="28"/>
          <w:lang w:val="en-US" w:eastAsia="zh-CN"/>
        </w:rPr>
      </w:pPr>
    </w:p>
    <w:p w14:paraId="20AAA54C">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（三）自贸区资质备案（2-3个工作日，享受政策红利）</w:t>
      </w:r>
    </w:p>
    <w:p w14:paraId="6707D6C6">
      <w:pPr>
        <w:numPr>
          <w:ilvl w:val="0"/>
          <w:numId w:val="20"/>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办理机构：科隆自贸区管理局（AAZFC）；</w:t>
      </w:r>
    </w:p>
    <w:p w14:paraId="4DD622D4">
      <w:pPr>
        <w:numPr>
          <w:ilvl w:val="0"/>
          <w:numId w:val="20"/>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备案材料：注册证书、自贸区准入证明、RUC号、业务计划书；</w:t>
      </w:r>
    </w:p>
    <w:p w14:paraId="2F46B922">
      <w:pPr>
        <w:numPr>
          <w:ilvl w:val="0"/>
          <w:numId w:val="20"/>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备案结果：获取《转口贸易资质证书》（Certificado de Calificación de Reexportación），凭此证书可享受：</w:t>
      </w:r>
    </w:p>
    <w:p w14:paraId="0446AD54">
      <w:pPr>
        <w:numPr>
          <w:ilvl w:val="1"/>
          <w:numId w:val="20"/>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货物进入自贸区免缴关税、增值税；</w:t>
      </w:r>
    </w:p>
    <w:p w14:paraId="087B04FC">
      <w:pPr>
        <w:numPr>
          <w:ilvl w:val="1"/>
          <w:numId w:val="20"/>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转口至委内瑞拉时优先办理海关放行；</w:t>
      </w:r>
    </w:p>
    <w:p w14:paraId="142E9E08">
      <w:pPr>
        <w:numPr>
          <w:ilvl w:val="1"/>
          <w:numId w:val="20"/>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年度退税审核绿色通道（审核周期从60天缩短至30天）。</w:t>
      </w:r>
    </w:p>
    <w:p w14:paraId="33B82C8B">
      <w:pPr>
        <w:numPr>
          <w:numId w:val="0"/>
        </w:numPr>
        <w:rPr>
          <w:rFonts w:hint="eastAsia" w:ascii="Kaiti SC Regular" w:hAnsi="Kaiti SC Regular" w:eastAsia="Kaiti SC Regular" w:cs="Kaiti SC Regular"/>
          <w:lang w:val="en-US" w:eastAsia="zh-CN"/>
        </w:rPr>
      </w:pPr>
    </w:p>
    <w:p w14:paraId="60F0DC00">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六、长期合规维护：年审、报税、文件更新（避免执照被吊销）</w:t>
      </w:r>
    </w:p>
    <w:p w14:paraId="6AAB4E65">
      <w:pPr>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巴拿马对公司维护要求严格，尤其是自贸区企业，需建立常态化维护机制，否则会影响转口业务连续性。</w:t>
      </w:r>
    </w:p>
    <w:p w14:paraId="53DEA6A9">
      <w:pPr>
        <w:rPr>
          <w:rFonts w:hint="eastAsia" w:ascii="Kaiti SC Regular" w:hAnsi="Kaiti SC Regular" w:eastAsia="Kaiti SC Regular" w:cs="Kaiti SC Regular"/>
          <w:lang w:val="en-US" w:eastAsia="zh-CN"/>
        </w:rPr>
      </w:pPr>
    </w:p>
    <w:p w14:paraId="20C7911B">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（一）年度年审（每年固定时间，逾期必罚）</w:t>
      </w:r>
    </w:p>
    <w:p w14:paraId="022C8D05">
      <w:pPr>
        <w:numPr>
          <w:ilvl w:val="0"/>
          <w:numId w:val="21"/>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办理时间：1-6月注册的公司，每年6月15日前；7-12月注册的公司，每年12月15日前；</w:t>
      </w:r>
    </w:p>
    <w:p w14:paraId="07F86AAE">
      <w:pPr>
        <w:numPr>
          <w:ilvl w:val="0"/>
          <w:numId w:val="21"/>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办理主体：代理公司协助完成，需向商业注册局提交《年度报告》（Informe Anual），向AAZFC提交《自贸区运营报告》（Informe de Operación en la Zona Libre）；</w:t>
      </w:r>
    </w:p>
    <w:p w14:paraId="18D73394">
      <w:pPr>
        <w:numPr>
          <w:ilvl w:val="0"/>
          <w:numId w:val="21"/>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报告内容：公司存续情况、转口贸易额、仓储货物明细、下年度业务计划。</w:t>
      </w:r>
    </w:p>
    <w:p w14:paraId="36060F3F">
      <w:pPr>
        <w:rPr>
          <w:rFonts w:hint="eastAsia" w:ascii="Kaiti SC Regular" w:hAnsi="Kaiti SC Regular" w:eastAsia="Kaiti SC Regular" w:cs="Kaiti SC Regular"/>
          <w:lang w:val="en-US" w:eastAsia="zh-CN"/>
        </w:rPr>
      </w:pPr>
    </w:p>
    <w:p w14:paraId="576DAD7D">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（二）税务申报（每年4月30日前，零申报也需做）</w:t>
      </w:r>
    </w:p>
    <w:p w14:paraId="5FFF27EE">
      <w:pPr>
        <w:numPr>
          <w:ilvl w:val="0"/>
          <w:numId w:val="2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申报主体：自行或委托代理向DGII提交申报；</w:t>
      </w:r>
    </w:p>
    <w:p w14:paraId="6B1BA072">
      <w:pPr>
        <w:numPr>
          <w:ilvl w:val="0"/>
          <w:numId w:val="22"/>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申报类型：</w:t>
      </w:r>
    </w:p>
    <w:p w14:paraId="59D6C99E">
      <w:pPr>
        <w:numPr>
          <w:ilvl w:val="1"/>
          <w:numId w:val="2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增值税：零申报（自贸区转口业务免缴）；</w:t>
      </w:r>
    </w:p>
    <w:p w14:paraId="0C4353B8">
      <w:pPr>
        <w:numPr>
          <w:ilvl w:val="1"/>
          <w:numId w:val="2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所得税：零申报（收入来自境外，免缴）；</w:t>
      </w:r>
    </w:p>
    <w:p w14:paraId="474497D0">
      <w:pPr>
        <w:numPr>
          <w:ilvl w:val="1"/>
          <w:numId w:val="22"/>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转口退税申报：若有转口业务，需在货物出口后30天内提交退税申请（需附出口报关单、提单）。</w:t>
      </w:r>
    </w:p>
    <w:p w14:paraId="7F09DDA2">
      <w:pPr>
        <w:rPr>
          <w:rFonts w:hint="eastAsia" w:ascii="Kaiti SC Regular" w:hAnsi="Kaiti SC Regular" w:eastAsia="Kaiti SC Regular" w:cs="Kaiti SC Regular"/>
          <w:lang w:val="en-US" w:eastAsia="zh-CN"/>
        </w:rPr>
      </w:pPr>
    </w:p>
    <w:p w14:paraId="27A974BC">
      <w:pPr>
        <w:rPr>
          <w:rFonts w:hint="eastAsia" w:ascii="Kaiti SC Bold" w:hAnsi="Kaiti SC Bold" w:eastAsia="Kaiti SC Bold" w:cs="Kaiti SC Bold"/>
          <w:b/>
          <w:bCs/>
          <w:sz w:val="22"/>
          <w:szCs w:val="28"/>
          <w:lang w:val="en-US" w:eastAsia="zh-CN"/>
        </w:rPr>
      </w:pPr>
      <w:r>
        <w:rPr>
          <w:rFonts w:hint="eastAsia" w:ascii="Kaiti SC Bold" w:hAnsi="Kaiti SC Bold" w:eastAsia="Kaiti SC Bold" w:cs="Kaiti SC Bold"/>
          <w:b/>
          <w:bCs/>
          <w:sz w:val="22"/>
          <w:szCs w:val="28"/>
          <w:lang w:val="en-US" w:eastAsia="zh-CN"/>
        </w:rPr>
        <w:t>（三）文件更新（发生变更需及时办理）</w:t>
      </w:r>
    </w:p>
    <w:p w14:paraId="5DB3C5EE">
      <w:pPr>
        <w:numPr>
          <w:ilvl w:val="0"/>
          <w:numId w:val="23"/>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变更场景及办理：</w:t>
      </w:r>
    </w:p>
    <w:p w14:paraId="4316E70C">
      <w:pPr>
        <w:numPr>
          <w:ilvl w:val="1"/>
          <w:numId w:val="23"/>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董事变更：需提交新董事的核证材料，向商业注册局备案，费用500美元；</w:t>
      </w:r>
    </w:p>
    <w:p w14:paraId="7DA48CBD">
      <w:pPr>
        <w:numPr>
          <w:ilvl w:val="1"/>
          <w:numId w:val="23"/>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地址变更：仅限自贸区内变更，需AAZFC审批，费用300美元；</w:t>
      </w:r>
    </w:p>
    <w:p w14:paraId="02A5788D">
      <w:pPr>
        <w:numPr>
          <w:ilvl w:val="1"/>
          <w:numId w:val="23"/>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经营范围变更：需重新起草公司章程，费用800美元（转口至其他国家需新增经营范围）。</w:t>
      </w:r>
    </w:p>
    <w:p w14:paraId="47F4C32C">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七、风险提示（实操中最容易踩的5个雷）</w:t>
      </w:r>
    </w:p>
    <w:p w14:paraId="3518C591">
      <w:pPr>
        <w:numPr>
          <w:ilvl w:val="0"/>
          <w:numId w:val="2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注册代理选择雷区：避免选择无自贸区资质的代理（约30%代理无AAZFC合作资质），可要求代理提供《自贸区代理备案证》，推荐选择在科隆设有办公室的代理（如Panama Free Zone Agents）；</w:t>
      </w:r>
    </w:p>
    <w:p w14:paraId="017AC188">
      <w:pPr>
        <w:numPr>
          <w:ilvl w:val="0"/>
          <w:numId w:val="2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注册资本雷区：切勿为“显实力”填高于1万美元的注册资本（如10万美元），会导致政府注册费从700美元增至2000美元，且后续年审费同步上涨；</w:t>
      </w:r>
    </w:p>
    <w:p w14:paraId="3217A921">
      <w:pPr>
        <w:numPr>
          <w:ilvl w:val="0"/>
          <w:numId w:val="2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银行开户雷区：不提前准备业务材料直接开户，成功率仅30%，建议先与国内供应商、委内瑞拉客户签订框架协议，用协议证明业务真实性；</w:t>
      </w:r>
    </w:p>
    <w:p w14:paraId="32DAF288">
      <w:pPr>
        <w:numPr>
          <w:ilvl w:val="0"/>
          <w:numId w:val="2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退税文件雷区：转口退税需确保 “货物流（中→巴→委）、资金流（委→巴→中）、单据流（报关单+提单+发票）” 三流一致，否则退税申请100%被驳回；</w:t>
      </w:r>
    </w:p>
    <w:p w14:paraId="388F2C1D">
      <w:pPr>
        <w:numPr>
          <w:ilvl w:val="0"/>
          <w:numId w:val="24"/>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政治风险雷区：巴拿马亲美但依赖转口贸易，可通过“巴拿马公司+香港账户”双重隔离，避免因中美关系波动影响资金结算。</w:t>
      </w:r>
    </w:p>
    <w:p w14:paraId="7FF5804B">
      <w:pPr>
        <w:rPr>
          <w:rFonts w:hint="eastAsia" w:ascii="Kaiti SC Bold" w:hAnsi="Kaiti SC Bold" w:eastAsia="Kaiti SC Bold" w:cs="Kaiti SC Bold"/>
          <w:b/>
          <w:bCs/>
          <w:sz w:val="28"/>
          <w:szCs w:val="36"/>
          <w:lang w:val="en-US" w:eastAsia="zh-CN"/>
        </w:rPr>
      </w:pPr>
    </w:p>
    <w:p w14:paraId="63C49B07">
      <w:pPr>
        <w:rPr>
          <w:rFonts w:hint="eastAsia" w:ascii="Kaiti SC Bold" w:hAnsi="Kaiti SC Bold" w:eastAsia="Kaiti SC Bold" w:cs="Kaiti SC Bold"/>
          <w:b/>
          <w:bCs/>
          <w:sz w:val="28"/>
          <w:szCs w:val="36"/>
          <w:lang w:val="en-US" w:eastAsia="zh-CN"/>
        </w:rPr>
      </w:pPr>
      <w:r>
        <w:rPr>
          <w:rFonts w:hint="eastAsia" w:ascii="Kaiti SC Bold" w:hAnsi="Kaiti SC Bold" w:eastAsia="Kaiti SC Bold" w:cs="Kaiti SC Bold"/>
          <w:b/>
          <w:bCs/>
          <w:sz w:val="28"/>
          <w:szCs w:val="36"/>
          <w:lang w:val="en-US" w:eastAsia="zh-CN"/>
        </w:rPr>
        <w:t>八、注册必备资源清单</w:t>
      </w:r>
    </w:p>
    <w:p w14:paraId="3E47FD70">
      <w:pPr>
        <w:numPr>
          <w:ilvl w:val="0"/>
          <w:numId w:val="2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官方查询平台：</w:t>
      </w:r>
    </w:p>
    <w:p w14:paraId="361CA80D">
      <w:pPr>
        <w:numPr>
          <w:ilvl w:val="1"/>
          <w:numId w:val="2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巴拿马商业注册局：</w:t>
      </w:r>
      <w:r>
        <w:rPr>
          <w:rFonts w:hint="eastAsia" w:ascii="Kaiti SC Regular" w:hAnsi="Kaiti SC Regular" w:eastAsia="Kaiti SC Regular" w:cs="Kaiti SC Regular"/>
          <w:lang w:val="en-US" w:eastAsia="zh-CN"/>
        </w:rPr>
        <w:fldChar w:fldCharType="begin"/>
      </w:r>
      <w:r>
        <w:rPr>
          <w:rFonts w:hint="eastAsia" w:ascii="Kaiti SC Regular" w:hAnsi="Kaiti SC Regular" w:eastAsia="Kaiti SC Regular" w:cs="Kaiti SC Regular"/>
          <w:lang w:val="en-US" w:eastAsia="zh-CN"/>
        </w:rPr>
        <w:instrText xml:space="preserve"> HYPERLINK "https://www.registropublico.gob.pa/" \t "/Users/lucillesuen/Documents\\x/_blank" </w:instrText>
      </w:r>
      <w:r>
        <w:rPr>
          <w:rFonts w:hint="eastAsia" w:ascii="Kaiti SC Regular" w:hAnsi="Kaiti SC Regular" w:eastAsia="Kaiti SC Regular" w:cs="Kaiti SC Regular"/>
          <w:lang w:val="en-US" w:eastAsia="zh-CN"/>
        </w:rPr>
        <w:fldChar w:fldCharType="separate"/>
      </w:r>
      <w:r>
        <w:rPr>
          <w:rFonts w:hint="eastAsia" w:ascii="Kaiti SC Regular" w:hAnsi="Kaiti SC Regular" w:eastAsia="Kaiti SC Regular" w:cs="Kaiti SC Regular"/>
          <w:lang w:val="en-US" w:eastAsia="zh-CN"/>
        </w:rPr>
        <w:t>https://www.registropublico.gob.pa</w:t>
      </w:r>
      <w:r>
        <w:rPr>
          <w:rFonts w:hint="eastAsia" w:ascii="Kaiti SC Regular" w:hAnsi="Kaiti SC Regular" w:eastAsia="Kaiti SC Regular" w:cs="Kaiti SC Regular"/>
          <w:lang w:val="en-US" w:eastAsia="zh-CN"/>
        </w:rPr>
        <w:fldChar w:fldCharType="end"/>
      </w:r>
      <w:r>
        <w:rPr>
          <w:rFonts w:hint="eastAsia" w:ascii="Kaiti SC Regular" w:hAnsi="Kaiti SC Regular" w:eastAsia="Kaiti SC Regular" w:cs="Kaiti SC Regular"/>
          <w:lang w:val="en-US" w:eastAsia="zh-CN"/>
        </w:rPr>
        <w:t>（可查询公司注册状态）；</w:t>
      </w:r>
    </w:p>
    <w:p w14:paraId="6426315C">
      <w:pPr>
        <w:numPr>
          <w:ilvl w:val="1"/>
          <w:numId w:val="2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科隆自贸区管理局：</w:t>
      </w:r>
      <w:r>
        <w:rPr>
          <w:rFonts w:hint="eastAsia" w:ascii="Kaiti SC Regular" w:hAnsi="Kaiti SC Regular" w:eastAsia="Kaiti SC Regular" w:cs="Kaiti SC Regular"/>
          <w:lang w:val="en-US" w:eastAsia="zh-CN"/>
        </w:rPr>
        <w:fldChar w:fldCharType="begin"/>
      </w:r>
      <w:r>
        <w:rPr>
          <w:rFonts w:hint="eastAsia" w:ascii="Kaiti SC Regular" w:hAnsi="Kaiti SC Regular" w:eastAsia="Kaiti SC Regular" w:cs="Kaiti SC Regular"/>
          <w:lang w:val="en-US" w:eastAsia="zh-CN"/>
        </w:rPr>
        <w:instrText xml:space="preserve"> HYPERLINK "https://www.aazfc.gob.pa/" \t "/Users/lucillesuen/Documents\\x/_blank" </w:instrText>
      </w:r>
      <w:r>
        <w:rPr>
          <w:rFonts w:hint="eastAsia" w:ascii="Kaiti SC Regular" w:hAnsi="Kaiti SC Regular" w:eastAsia="Kaiti SC Regular" w:cs="Kaiti SC Regular"/>
          <w:lang w:val="en-US" w:eastAsia="zh-CN"/>
        </w:rPr>
        <w:fldChar w:fldCharType="separate"/>
      </w:r>
      <w:r>
        <w:rPr>
          <w:rFonts w:hint="eastAsia" w:ascii="Kaiti SC Regular" w:hAnsi="Kaiti SC Regular" w:eastAsia="Kaiti SC Regular" w:cs="Kaiti SC Regular"/>
          <w:lang w:val="en-US" w:eastAsia="zh-CN"/>
        </w:rPr>
        <w:t>https://www.aazfc.gob.pa</w:t>
      </w:r>
      <w:r>
        <w:rPr>
          <w:rFonts w:hint="eastAsia" w:ascii="Kaiti SC Regular" w:hAnsi="Kaiti SC Regular" w:eastAsia="Kaiti SC Regular" w:cs="Kaiti SC Regular"/>
          <w:lang w:val="en-US" w:eastAsia="zh-CN"/>
        </w:rPr>
        <w:fldChar w:fldCharType="end"/>
      </w:r>
      <w:r>
        <w:rPr>
          <w:rFonts w:hint="eastAsia" w:ascii="Kaiti SC Regular" w:hAnsi="Kaiti SC Regular" w:eastAsia="Kaiti SC Regular" w:cs="Kaiti SC Regular"/>
          <w:lang w:val="en-US" w:eastAsia="zh-CN"/>
        </w:rPr>
        <w:t>（可下载注册指南与表格）；</w:t>
      </w:r>
    </w:p>
    <w:p w14:paraId="22C8B96D">
      <w:pPr>
        <w:numPr>
          <w:ilvl w:val="0"/>
          <w:numId w:val="2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推荐代理机构：</w:t>
      </w:r>
    </w:p>
    <w:p w14:paraId="3F20E75A">
      <w:pPr>
        <w:numPr>
          <w:ilvl w:val="1"/>
          <w:numId w:val="2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Panama Free Zone Agents（科隆本地代理，专注转口贸易企业注册）；</w:t>
      </w:r>
    </w:p>
    <w:p w14:paraId="115A3B9F">
      <w:pPr>
        <w:numPr>
          <w:ilvl w:val="1"/>
          <w:numId w:val="2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Biz Latin Hub（中资背景代理，中文服务，熟悉中委贸易规则）；</w:t>
      </w:r>
    </w:p>
    <w:p w14:paraId="180EF30C">
      <w:pPr>
        <w:numPr>
          <w:ilvl w:val="0"/>
          <w:numId w:val="25"/>
        </w:numPr>
        <w:ind w:left="425" w:leftChars="0" w:hanging="425"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必备文件模板：</w:t>
      </w:r>
    </w:p>
    <w:p w14:paraId="2A0606BE">
      <w:pPr>
        <w:numPr>
          <w:ilvl w:val="1"/>
          <w:numId w:val="2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《公司章程（转口贸易专用版）》：可向代理索取，需包含自贸区专项条款；</w:t>
      </w:r>
    </w:p>
    <w:p w14:paraId="1DC4E147">
      <w:pPr>
        <w:numPr>
          <w:ilvl w:val="1"/>
          <w:numId w:val="25"/>
        </w:numPr>
        <w:ind w:left="840" w:leftChars="0" w:hanging="420" w:firstLineChars="0"/>
        <w:rPr>
          <w:rFonts w:hint="eastAsia" w:ascii="Kaiti SC Regular" w:hAnsi="Kaiti SC Regular" w:eastAsia="Kaiti SC Regular" w:cs="Kaiti SC Regular"/>
          <w:lang w:val="en-US" w:eastAsia="zh-CN"/>
        </w:rPr>
      </w:pPr>
      <w:r>
        <w:rPr>
          <w:rFonts w:hint="eastAsia" w:ascii="Kaiti SC Regular" w:hAnsi="Kaiti SC Regular" w:eastAsia="Kaiti SC Regular" w:cs="Kaiti SC Regular"/>
          <w:lang w:val="en-US" w:eastAsia="zh-CN"/>
        </w:rPr>
        <w:t>《转口贸易业务计</w:t>
      </w:r>
      <w:bookmarkStart w:id="0" w:name="_GoBack"/>
      <w:bookmarkEnd w:id="0"/>
      <w:r>
        <w:rPr>
          <w:rFonts w:hint="eastAsia" w:ascii="Kaiti SC Regular" w:hAnsi="Kaiti SC Regular" w:eastAsia="Kaiti SC Regular" w:cs="Kaiti SC Regular"/>
          <w:lang w:val="en-US" w:eastAsia="zh-CN"/>
        </w:rPr>
        <w:t>划书模板》：需明确物流路线、客户信息、退税预期。</w:t>
      </w:r>
    </w:p>
    <w:p w14:paraId="7008C77A">
      <w:pPr>
        <w:rPr>
          <w:rFonts w:hint="eastAsia" w:ascii="Kaiti SC Regular" w:hAnsi="Kaiti SC Regular" w:eastAsia="Kaiti SC Regular" w:cs="Kaiti SC Regula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Montserra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aiti SC Bold">
    <w:panose1 w:val="02010600040101010101"/>
    <w:charset w:val="86"/>
    <w:family w:val="auto"/>
    <w:pitch w:val="default"/>
    <w:sig w:usb0="80000287" w:usb1="280F3C52" w:usb2="00000016" w:usb3="00000000" w:csb0="0004001F" w:csb1="00000000"/>
  </w:font>
  <w:font w:name="Kaiti SC Regular">
    <w:panose1 w:val="02010600040101010101"/>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6957"/>
    <w:multiLevelType w:val="singleLevel"/>
    <w:tmpl w:val="86FE6957"/>
    <w:lvl w:ilvl="0" w:tentative="0">
      <w:start w:val="2"/>
      <w:numFmt w:val="decimal"/>
      <w:suff w:val="space"/>
      <w:lvlText w:val="%1."/>
      <w:lvlJc w:val="left"/>
    </w:lvl>
  </w:abstractNum>
  <w:abstractNum w:abstractNumId="1">
    <w:nsid w:val="9FC765E7"/>
    <w:multiLevelType w:val="multilevel"/>
    <w:tmpl w:val="9FC765E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BE9D467E"/>
    <w:multiLevelType w:val="singleLevel"/>
    <w:tmpl w:val="BE9D467E"/>
    <w:lvl w:ilvl="0" w:tentative="0">
      <w:start w:val="1"/>
      <w:numFmt w:val="decimal"/>
      <w:lvlText w:val="(%1)"/>
      <w:lvlJc w:val="left"/>
      <w:pPr>
        <w:ind w:left="425" w:hanging="425"/>
      </w:pPr>
      <w:rPr>
        <w:rFonts w:hint="default"/>
      </w:rPr>
    </w:lvl>
  </w:abstractNum>
  <w:abstractNum w:abstractNumId="3">
    <w:nsid w:val="CEECED5B"/>
    <w:multiLevelType w:val="multilevel"/>
    <w:tmpl w:val="CEECED5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D6EE68E1"/>
    <w:multiLevelType w:val="singleLevel"/>
    <w:tmpl w:val="D6EE68E1"/>
    <w:lvl w:ilvl="0" w:tentative="0">
      <w:start w:val="1"/>
      <w:numFmt w:val="decimal"/>
      <w:lvlText w:val="%1."/>
      <w:lvlJc w:val="left"/>
      <w:pPr>
        <w:ind w:left="425" w:hanging="425"/>
      </w:pPr>
      <w:rPr>
        <w:rFonts w:hint="default"/>
      </w:rPr>
    </w:lvl>
  </w:abstractNum>
  <w:abstractNum w:abstractNumId="5">
    <w:nsid w:val="DF77EF07"/>
    <w:multiLevelType w:val="singleLevel"/>
    <w:tmpl w:val="DF77EF07"/>
    <w:lvl w:ilvl="0" w:tentative="0">
      <w:start w:val="1"/>
      <w:numFmt w:val="decimal"/>
      <w:lvlText w:val="(%1)"/>
      <w:lvlJc w:val="left"/>
      <w:pPr>
        <w:ind w:left="425" w:hanging="425"/>
      </w:pPr>
      <w:rPr>
        <w:rFonts w:hint="default"/>
      </w:rPr>
    </w:lvl>
  </w:abstractNum>
  <w:abstractNum w:abstractNumId="6">
    <w:nsid w:val="E6FF2613"/>
    <w:multiLevelType w:val="singleLevel"/>
    <w:tmpl w:val="E6FF2613"/>
    <w:lvl w:ilvl="0" w:tentative="0">
      <w:start w:val="1"/>
      <w:numFmt w:val="decimal"/>
      <w:lvlText w:val="(%1)"/>
      <w:lvlJc w:val="left"/>
      <w:pPr>
        <w:ind w:left="425" w:hanging="425"/>
      </w:pPr>
      <w:rPr>
        <w:rFonts w:hint="default"/>
      </w:rPr>
    </w:lvl>
  </w:abstractNum>
  <w:abstractNum w:abstractNumId="7">
    <w:nsid w:val="EEE48596"/>
    <w:multiLevelType w:val="multilevel"/>
    <w:tmpl w:val="EEE4859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EFD7E608"/>
    <w:multiLevelType w:val="singleLevel"/>
    <w:tmpl w:val="EFD7E608"/>
    <w:lvl w:ilvl="0" w:tentative="0">
      <w:start w:val="1"/>
      <w:numFmt w:val="decimal"/>
      <w:lvlText w:val="(%1)"/>
      <w:lvlJc w:val="left"/>
      <w:pPr>
        <w:ind w:left="425" w:hanging="425"/>
      </w:pPr>
      <w:rPr>
        <w:rFonts w:hint="default"/>
      </w:rPr>
    </w:lvl>
  </w:abstractNum>
  <w:abstractNum w:abstractNumId="9">
    <w:nsid w:val="F96C5FDF"/>
    <w:multiLevelType w:val="multilevel"/>
    <w:tmpl w:val="F96C5FDF"/>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F97CE50D"/>
    <w:multiLevelType w:val="singleLevel"/>
    <w:tmpl w:val="F97CE50D"/>
    <w:lvl w:ilvl="0" w:tentative="0">
      <w:start w:val="1"/>
      <w:numFmt w:val="chineseCounting"/>
      <w:suff w:val="nothing"/>
      <w:lvlText w:val="%1、"/>
      <w:lvlJc w:val="left"/>
      <w:rPr>
        <w:rFonts w:hint="eastAsia"/>
      </w:rPr>
    </w:lvl>
  </w:abstractNum>
  <w:abstractNum w:abstractNumId="11">
    <w:nsid w:val="FBCEF260"/>
    <w:multiLevelType w:val="multilevel"/>
    <w:tmpl w:val="FBCEF26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FE659924"/>
    <w:multiLevelType w:val="singleLevel"/>
    <w:tmpl w:val="FE659924"/>
    <w:lvl w:ilvl="0" w:tentative="0">
      <w:start w:val="1"/>
      <w:numFmt w:val="decimal"/>
      <w:lvlText w:val="%1."/>
      <w:lvlJc w:val="left"/>
      <w:pPr>
        <w:ind w:left="425" w:hanging="425"/>
      </w:pPr>
      <w:rPr>
        <w:rFonts w:hint="default"/>
      </w:rPr>
    </w:lvl>
  </w:abstractNum>
  <w:abstractNum w:abstractNumId="13">
    <w:nsid w:val="FEBD0842"/>
    <w:multiLevelType w:val="multilevel"/>
    <w:tmpl w:val="FEBD084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FEEF31D9"/>
    <w:multiLevelType w:val="multilevel"/>
    <w:tmpl w:val="FEEF31D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FFB6B85D"/>
    <w:multiLevelType w:val="singleLevel"/>
    <w:tmpl w:val="FFB6B85D"/>
    <w:lvl w:ilvl="0" w:tentative="0">
      <w:start w:val="1"/>
      <w:numFmt w:val="decimal"/>
      <w:lvlText w:val="%1."/>
      <w:lvlJc w:val="left"/>
      <w:pPr>
        <w:ind w:left="425" w:hanging="425"/>
      </w:pPr>
      <w:rPr>
        <w:rFonts w:hint="default"/>
      </w:rPr>
    </w:lvl>
  </w:abstractNum>
  <w:abstractNum w:abstractNumId="16">
    <w:nsid w:val="FFD6FD33"/>
    <w:multiLevelType w:val="multilevel"/>
    <w:tmpl w:val="FFD6FD3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FFF7B8A4"/>
    <w:multiLevelType w:val="singleLevel"/>
    <w:tmpl w:val="FFF7B8A4"/>
    <w:lvl w:ilvl="0" w:tentative="0">
      <w:start w:val="1"/>
      <w:numFmt w:val="decimal"/>
      <w:lvlText w:val="%1."/>
      <w:lvlJc w:val="left"/>
      <w:pPr>
        <w:ind w:left="425" w:hanging="425"/>
      </w:pPr>
      <w:rPr>
        <w:rFonts w:hint="default"/>
      </w:rPr>
    </w:lvl>
  </w:abstractNum>
  <w:abstractNum w:abstractNumId="18">
    <w:nsid w:val="28598A49"/>
    <w:multiLevelType w:val="singleLevel"/>
    <w:tmpl w:val="28598A49"/>
    <w:lvl w:ilvl="0" w:tentative="0">
      <w:start w:val="1"/>
      <w:numFmt w:val="decimal"/>
      <w:lvlText w:val="(%1)"/>
      <w:lvlJc w:val="left"/>
      <w:pPr>
        <w:ind w:left="425" w:hanging="425"/>
      </w:pPr>
      <w:rPr>
        <w:rFonts w:hint="default"/>
      </w:rPr>
    </w:lvl>
  </w:abstractNum>
  <w:abstractNum w:abstractNumId="19">
    <w:nsid w:val="3FFA4869"/>
    <w:multiLevelType w:val="multilevel"/>
    <w:tmpl w:val="3FFA486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7ADDBB69"/>
    <w:multiLevelType w:val="singleLevel"/>
    <w:tmpl w:val="7ADDBB69"/>
    <w:lvl w:ilvl="0" w:tentative="0">
      <w:start w:val="1"/>
      <w:numFmt w:val="decimal"/>
      <w:lvlText w:val="%1."/>
      <w:lvlJc w:val="left"/>
      <w:pPr>
        <w:ind w:left="425" w:hanging="425"/>
      </w:pPr>
      <w:rPr>
        <w:rFonts w:hint="default"/>
      </w:rPr>
    </w:lvl>
  </w:abstractNum>
  <w:abstractNum w:abstractNumId="21">
    <w:nsid w:val="7CFED2C9"/>
    <w:multiLevelType w:val="singleLevel"/>
    <w:tmpl w:val="7CFED2C9"/>
    <w:lvl w:ilvl="0" w:tentative="0">
      <w:start w:val="1"/>
      <w:numFmt w:val="decimal"/>
      <w:lvlText w:val="(%1)"/>
      <w:lvlJc w:val="left"/>
      <w:pPr>
        <w:ind w:left="425" w:hanging="425"/>
      </w:pPr>
      <w:rPr>
        <w:rFonts w:hint="default"/>
      </w:rPr>
    </w:lvl>
  </w:abstractNum>
  <w:abstractNum w:abstractNumId="22">
    <w:nsid w:val="7DB79196"/>
    <w:multiLevelType w:val="multilevel"/>
    <w:tmpl w:val="7DB7919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7DFFF2F3"/>
    <w:multiLevelType w:val="singleLevel"/>
    <w:tmpl w:val="7DFFF2F3"/>
    <w:lvl w:ilvl="0" w:tentative="0">
      <w:start w:val="1"/>
      <w:numFmt w:val="decimal"/>
      <w:lvlText w:val="%1."/>
      <w:lvlJc w:val="left"/>
      <w:pPr>
        <w:ind w:left="425" w:hanging="425"/>
      </w:pPr>
      <w:rPr>
        <w:rFonts w:hint="default"/>
      </w:rPr>
    </w:lvl>
  </w:abstractNum>
  <w:abstractNum w:abstractNumId="24">
    <w:nsid w:val="7ED9B1D1"/>
    <w:multiLevelType w:val="singleLevel"/>
    <w:tmpl w:val="7ED9B1D1"/>
    <w:lvl w:ilvl="0" w:tentative="0">
      <w:start w:val="1"/>
      <w:numFmt w:val="decimal"/>
      <w:lvlText w:val="%1."/>
      <w:lvlJc w:val="left"/>
      <w:pPr>
        <w:ind w:left="425" w:hanging="425"/>
      </w:pPr>
      <w:rPr>
        <w:rFonts w:hint="default"/>
      </w:rPr>
    </w:lvl>
  </w:abstractNum>
  <w:num w:numId="1">
    <w:abstractNumId w:val="10"/>
  </w:num>
  <w:num w:numId="2">
    <w:abstractNumId w:val="2"/>
  </w:num>
  <w:num w:numId="3">
    <w:abstractNumId w:val="6"/>
  </w:num>
  <w:num w:numId="4">
    <w:abstractNumId w:val="0"/>
  </w:num>
  <w:num w:numId="5">
    <w:abstractNumId w:val="18"/>
  </w:num>
  <w:num w:numId="6">
    <w:abstractNumId w:val="8"/>
  </w:num>
  <w:num w:numId="7">
    <w:abstractNumId w:val="15"/>
  </w:num>
  <w:num w:numId="8">
    <w:abstractNumId w:val="17"/>
  </w:num>
  <w:num w:numId="9">
    <w:abstractNumId w:val="23"/>
  </w:num>
  <w:num w:numId="10">
    <w:abstractNumId w:val="24"/>
  </w:num>
  <w:num w:numId="11">
    <w:abstractNumId w:val="1"/>
  </w:num>
  <w:num w:numId="12">
    <w:abstractNumId w:val="14"/>
  </w:num>
  <w:num w:numId="13">
    <w:abstractNumId w:val="12"/>
  </w:num>
  <w:num w:numId="14">
    <w:abstractNumId w:val="4"/>
  </w:num>
  <w:num w:numId="15">
    <w:abstractNumId w:val="22"/>
  </w:num>
  <w:num w:numId="16">
    <w:abstractNumId w:val="16"/>
  </w:num>
  <w:num w:numId="17">
    <w:abstractNumId w:val="21"/>
  </w:num>
  <w:num w:numId="18">
    <w:abstractNumId w:val="5"/>
  </w:num>
  <w:num w:numId="19">
    <w:abstractNumId w:val="13"/>
  </w:num>
  <w:num w:numId="20">
    <w:abstractNumId w:val="19"/>
  </w:num>
  <w:num w:numId="21">
    <w:abstractNumId w:val="20"/>
  </w:num>
  <w:num w:numId="22">
    <w:abstractNumId w:val="9"/>
  </w:num>
  <w:num w:numId="23">
    <w:abstractNumId w:val="3"/>
  </w:num>
  <w:num w:numId="24">
    <w:abstractNumId w:val="7"/>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73AA4"/>
    <w:rsid w:val="03CDD311"/>
    <w:rsid w:val="297F26C8"/>
    <w:rsid w:val="3E9D9CB5"/>
    <w:rsid w:val="3F651961"/>
    <w:rsid w:val="56B39E10"/>
    <w:rsid w:val="58EE705E"/>
    <w:rsid w:val="5BFD2081"/>
    <w:rsid w:val="5F55464C"/>
    <w:rsid w:val="6B6BDA27"/>
    <w:rsid w:val="6BFE2AC9"/>
    <w:rsid w:val="6DF696D8"/>
    <w:rsid w:val="6ECFF329"/>
    <w:rsid w:val="77DF9213"/>
    <w:rsid w:val="77F73AA4"/>
    <w:rsid w:val="79DBA185"/>
    <w:rsid w:val="7A7BE3F3"/>
    <w:rsid w:val="7EFB57EF"/>
    <w:rsid w:val="7EFFECFB"/>
    <w:rsid w:val="7FFFCF05"/>
    <w:rsid w:val="ADF9F551"/>
    <w:rsid w:val="B3F7283C"/>
    <w:rsid w:val="BBCFAC19"/>
    <w:rsid w:val="C977B313"/>
    <w:rsid w:val="CF350CF8"/>
    <w:rsid w:val="DFBB9368"/>
    <w:rsid w:val="EF7D6580"/>
    <w:rsid w:val="F1FB8F56"/>
    <w:rsid w:val="F4A34E0B"/>
    <w:rsid w:val="F4DF8208"/>
    <w:rsid w:val="F77A5CCA"/>
    <w:rsid w:val="F7BD8328"/>
    <w:rsid w:val="FEFE8F3F"/>
    <w:rsid w:val="FF71B61A"/>
    <w:rsid w:val="FFF9C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55</TotalTime>
  <ScaleCrop>false</ScaleCrop>
  <LinksUpToDate>false</LinksUpToDate>
  <CharactersWithSpaces>0</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2025-10-16T16:41:00Z</dcterms:created>
  <dc:creator>奇迹畅畅</dc:creator>
  <cp:lastModifiedBy>奇迹畅畅</cp:lastModifiedBy>
  <dcterms:modified xsi:type="dcterms:W3CDTF">2025-10-17T08:47:00Z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C832E95A31992C4DC4AFF0681BD8E55E_41</vt:lpwstr>
  </property>
</Properties>
</file>