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EF808C">
      <w:pPr>
        <w:bidi w:val="0"/>
        <w:jc w:val="center"/>
        <w:rPr>
          <w:rFonts w:hint="eastAsia" w:ascii="Kaiti SC Bold" w:hAnsi="Kaiti SC Bold" w:eastAsia="Kaiti SC Bold" w:cs="Kaiti SC Bold"/>
          <w:b/>
          <w:bCs/>
          <w:sz w:val="40"/>
          <w:szCs w:val="40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40"/>
          <w:szCs w:val="40"/>
        </w:rPr>
        <w:t>2024-2025年南美轮胎市场研</w:t>
      </w:r>
      <w:r>
        <w:rPr>
          <w:rFonts w:hint="eastAsia" w:ascii="Kaiti SC Bold" w:hAnsi="Kaiti SC Bold" w:eastAsia="Kaiti SC Bold" w:cs="Kaiti SC Bold"/>
          <w:b/>
          <w:bCs/>
          <w:sz w:val="40"/>
          <w:szCs w:val="40"/>
          <w:lang w:val="en-US" w:eastAsia="zh-CN"/>
        </w:rPr>
        <w:t>习</w:t>
      </w:r>
    </w:p>
    <w:p w14:paraId="17C012EC">
      <w:pPr>
        <w:bidi w:val="0"/>
        <w:jc w:val="both"/>
        <w:rPr>
          <w:rFonts w:hint="eastAsia" w:ascii="Times New Roman" w:hAnsi="Times New Roman" w:eastAsia="Kaiti SC"/>
          <w:sz w:val="28"/>
          <w:szCs w:val="28"/>
        </w:rPr>
      </w:pPr>
      <w:r>
        <w:rPr>
          <w:rFonts w:hint="eastAsia" w:ascii="Kaiti SC Bold" w:hAnsi="Kaiti SC Bold" w:eastAsia="Kaiti SC Bold" w:cs="Kaiti SC Bold"/>
          <w:b/>
          <w:bCs/>
          <w:sz w:val="28"/>
          <w:szCs w:val="28"/>
        </w:rPr>
        <w:t>一、调研概况</w:t>
      </w:r>
    </w:p>
    <w:p w14:paraId="4007FAE8">
      <w:pPr>
        <w:numPr>
          <w:ilvl w:val="0"/>
          <w:numId w:val="0"/>
        </w:numPr>
        <w:ind w:left="0" w:leftChars="0"/>
        <w:jc w:val="both"/>
        <w:rPr>
          <w:rFonts w:hint="eastAsia" w:ascii="Times New Roman" w:hAnsi="Times New Roman" w:eastAsia="Kaiti SC"/>
          <w:sz w:val="24"/>
        </w:rPr>
      </w:pPr>
      <w:r>
        <w:rPr>
          <w:rFonts w:hint="eastAsia" w:ascii="Times New Roman" w:hAnsi="Times New Roman" w:eastAsia="Kaiti SC"/>
          <w:sz w:val="24"/>
        </w:rPr>
        <w:t>本次调研聚焦2024</w:t>
      </w:r>
      <w:r>
        <w:rPr>
          <w:rFonts w:hint="eastAsia" w:ascii="Times New Roman" w:hAnsi="Times New Roman" w:eastAsia="Kaiti SC"/>
          <w:sz w:val="24"/>
          <w:lang w:val="en-US" w:eastAsia="zh-CN"/>
        </w:rPr>
        <w:t xml:space="preserve"> - </w:t>
      </w:r>
      <w:r>
        <w:rPr>
          <w:rFonts w:hint="eastAsia" w:ascii="Times New Roman" w:hAnsi="Times New Roman" w:eastAsia="Kaiti SC"/>
          <w:sz w:val="24"/>
        </w:rPr>
        <w:t>2025年南美轮胎核心市场，覆盖巴西、阿根廷、墨西哥、智利、哥伦比亚、秘鲁、厄瓜多尔、玻利维亚、乌拉圭、巴拉圭、哥斯达黎加</w:t>
      </w:r>
      <w:r>
        <w:rPr>
          <w:rFonts w:hint="eastAsia" w:ascii="Times New Roman" w:hAnsi="Times New Roman" w:eastAsia="Kaiti SC"/>
          <w:sz w:val="24"/>
          <w:lang w:eastAsia="zh-CN"/>
        </w:rPr>
        <w:t>、</w:t>
      </w:r>
      <w:r>
        <w:rPr>
          <w:rFonts w:hint="eastAsia" w:ascii="Times New Roman" w:hAnsi="Times New Roman" w:eastAsia="Kaiti SC"/>
          <w:sz w:val="24"/>
          <w:lang w:val="en-US" w:eastAsia="zh-CN"/>
        </w:rPr>
        <w:t>委内瑞拉</w:t>
      </w:r>
      <w:r>
        <w:rPr>
          <w:rFonts w:hint="eastAsia" w:ascii="Times New Roman" w:hAnsi="Times New Roman" w:eastAsia="Kaiti SC"/>
          <w:sz w:val="18"/>
          <w:szCs w:val="18"/>
          <w:lang w:val="en-US" w:eastAsia="zh-CN"/>
        </w:rPr>
        <w:fldChar w:fldCharType="begin"/>
      </w:r>
      <w:r>
        <w:rPr>
          <w:rFonts w:hint="eastAsia" w:ascii="Times New Roman" w:hAnsi="Times New Roman" w:eastAsia="Kaiti SC"/>
          <w:sz w:val="18"/>
          <w:szCs w:val="18"/>
          <w:lang w:val="en-US" w:eastAsia="zh-CN"/>
        </w:rPr>
        <w:instrText xml:space="preserve"> HYPERLINK "../Github/Marketing/委内瑞拉市场研究.docx" </w:instrText>
      </w:r>
      <w:r>
        <w:rPr>
          <w:rFonts w:hint="eastAsia" w:ascii="Times New Roman" w:hAnsi="Times New Roman" w:eastAsia="Kaiti SC"/>
          <w:sz w:val="18"/>
          <w:szCs w:val="18"/>
          <w:lang w:val="en-US" w:eastAsia="zh-CN"/>
        </w:rPr>
        <w:fldChar w:fldCharType="separate"/>
      </w:r>
      <w:r>
        <w:rPr>
          <w:rStyle w:val="10"/>
          <w:rFonts w:hint="eastAsia" w:ascii="Times New Roman" w:hAnsi="Times New Roman" w:eastAsia="Kaiti SC"/>
          <w:sz w:val="18"/>
          <w:szCs w:val="18"/>
          <w:lang w:val="en-US" w:eastAsia="zh-CN"/>
        </w:rPr>
        <w:t>（委内瑞拉国别概况）</w:t>
      </w:r>
      <w:r>
        <w:rPr>
          <w:rFonts w:hint="eastAsia" w:ascii="Times New Roman" w:hAnsi="Times New Roman" w:eastAsia="Kaiti SC"/>
          <w:sz w:val="18"/>
          <w:szCs w:val="18"/>
          <w:lang w:val="en-US" w:eastAsia="zh-CN"/>
        </w:rPr>
        <w:fldChar w:fldCharType="end"/>
      </w:r>
      <w:r>
        <w:rPr>
          <w:rFonts w:hint="eastAsia" w:ascii="Times New Roman" w:hAnsi="Times New Roman" w:eastAsia="Kaiti SC"/>
          <w:sz w:val="24"/>
          <w:lang w:val="en-US" w:eastAsia="zh-CN"/>
        </w:rPr>
        <w:t>及巴拿马</w:t>
      </w:r>
      <w:r>
        <w:rPr>
          <w:rFonts w:hint="eastAsia" w:ascii="Times New Roman" w:hAnsi="Times New Roman" w:eastAsia="Kaiti SC"/>
          <w:sz w:val="18"/>
          <w:szCs w:val="18"/>
          <w:lang w:val="en-US" w:eastAsia="zh-CN"/>
        </w:rPr>
        <w:fldChar w:fldCharType="begin"/>
      </w:r>
      <w:r>
        <w:rPr>
          <w:rFonts w:hint="eastAsia" w:ascii="Times New Roman" w:hAnsi="Times New Roman" w:eastAsia="Kaiti SC"/>
          <w:sz w:val="18"/>
          <w:szCs w:val="18"/>
          <w:lang w:val="en-US" w:eastAsia="zh-CN"/>
        </w:rPr>
        <w:instrText xml:space="preserve"> HYPERLINK "/Users/lucillesuen/Documents/Github/Marketing/巴拿马市场研究.docx" </w:instrText>
      </w:r>
      <w:r>
        <w:rPr>
          <w:rFonts w:hint="eastAsia" w:ascii="Times New Roman" w:hAnsi="Times New Roman" w:eastAsia="Kaiti SC"/>
          <w:sz w:val="18"/>
          <w:szCs w:val="18"/>
          <w:lang w:val="en-US" w:eastAsia="zh-CN"/>
        </w:rPr>
        <w:fldChar w:fldCharType="separate"/>
      </w:r>
      <w:r>
        <w:rPr>
          <w:rStyle w:val="10"/>
          <w:rFonts w:hint="eastAsia" w:ascii="Times New Roman" w:hAnsi="Times New Roman" w:eastAsia="Kaiti SC"/>
          <w:sz w:val="18"/>
          <w:szCs w:val="18"/>
          <w:lang w:val="en-US" w:eastAsia="zh-CN"/>
        </w:rPr>
        <w:t>（巴拿马国别概况）</w:t>
      </w:r>
      <w:r>
        <w:rPr>
          <w:rFonts w:hint="eastAsia" w:ascii="Times New Roman" w:hAnsi="Times New Roman" w:eastAsia="Kaiti SC"/>
          <w:sz w:val="18"/>
          <w:szCs w:val="18"/>
          <w:lang w:val="en-US" w:eastAsia="zh-CN"/>
        </w:rPr>
        <w:fldChar w:fldCharType="end"/>
      </w:r>
      <w:r>
        <w:rPr>
          <w:rFonts w:hint="eastAsia" w:ascii="Times New Roman" w:hAnsi="Times New Roman" w:eastAsia="Kaiti SC"/>
          <w:sz w:val="24"/>
        </w:rPr>
        <w:t>1</w:t>
      </w:r>
      <w:r>
        <w:rPr>
          <w:rFonts w:hint="eastAsia" w:ascii="Times New Roman" w:hAnsi="Times New Roman" w:eastAsia="Kaiti SC"/>
          <w:sz w:val="24"/>
          <w:lang w:val="en-US" w:eastAsia="zh-CN"/>
        </w:rPr>
        <w:t>3</w:t>
      </w:r>
      <w:r>
        <w:rPr>
          <w:rFonts w:hint="eastAsia" w:ascii="Times New Roman" w:hAnsi="Times New Roman" w:eastAsia="Kaiti SC"/>
          <w:sz w:val="24"/>
        </w:rPr>
        <w:t>个重点国家，核心围绕大轮主营的PCR、TBR及内胎/垫带展开。调研数据来源于2024年南美轮胎制造商协会（ALNeumáticos）年度报告、2025年1-9月南美各国海关进口统计数据、中企出海服务平台（Go Global）南美轮胎板块动态及玲珑、赛轮、韩泰等头部竞品2025年公开报价单与渠道政策。</w:t>
      </w:r>
    </w:p>
    <w:p w14:paraId="5B836824">
      <w:pPr>
        <w:numPr>
          <w:numId w:val="0"/>
        </w:numPr>
        <w:jc w:val="both"/>
        <w:rPr>
          <w:rFonts w:hint="eastAsia" w:ascii="Kaiti SC Bold" w:hAnsi="Kaiti SC Bold" w:eastAsia="Kaiti SC Bold" w:cs="Kaiti SC Bold"/>
          <w:b/>
          <w:bCs/>
          <w:sz w:val="24"/>
        </w:rPr>
      </w:pPr>
    </w:p>
    <w:p w14:paraId="0A3E8B91">
      <w:pPr>
        <w:numPr>
          <w:numId w:val="0"/>
        </w:numPr>
        <w:jc w:val="both"/>
        <w:rPr>
          <w:rFonts w:hint="eastAsia" w:ascii="Kaiti SC Bold" w:hAnsi="Kaiti SC Bold" w:eastAsia="Kaiti SC Bold" w:cs="Kaiti SC Bold"/>
          <w:b/>
          <w:bCs/>
          <w:sz w:val="24"/>
          <w:lang w:eastAsia="zh-CN"/>
        </w:rPr>
      </w:pPr>
      <w:r>
        <w:rPr>
          <w:rFonts w:hint="eastAsia" w:ascii="Kaiti SC Bold" w:hAnsi="Kaiti SC Bold" w:eastAsia="Kaiti SC Bold" w:cs="Kaiti SC Bold"/>
          <w:b/>
          <w:bCs/>
          <w:sz w:val="24"/>
          <w:lang w:eastAsia="zh-CN"/>
        </w:rPr>
        <w:t>【</w:t>
      </w:r>
      <w:r>
        <w:rPr>
          <w:rFonts w:hint="eastAsia" w:ascii="Kaiti SC Bold" w:hAnsi="Kaiti SC Bold" w:eastAsia="Kaiti SC Bold" w:cs="Kaiti SC Bold"/>
          <w:b/>
          <w:bCs/>
          <w:sz w:val="24"/>
        </w:rPr>
        <w:t>核心市场趋势</w:t>
      </w:r>
      <w:r>
        <w:rPr>
          <w:rFonts w:hint="eastAsia" w:ascii="Kaiti SC Bold" w:hAnsi="Kaiti SC Bold" w:eastAsia="Kaiti SC Bold" w:cs="Kaiti SC Bold"/>
          <w:b/>
          <w:bCs/>
          <w:sz w:val="24"/>
          <w:lang w:eastAsia="zh-CN"/>
        </w:rPr>
        <w:t>】</w:t>
      </w:r>
    </w:p>
    <w:p w14:paraId="6999EF22">
      <w:pPr>
        <w:numPr>
          <w:ilvl w:val="0"/>
          <w:numId w:val="1"/>
        </w:numPr>
        <w:ind w:left="425" w:leftChars="0" w:hanging="425" w:firstLineChars="0"/>
        <w:jc w:val="both"/>
        <w:rPr>
          <w:rFonts w:hint="eastAsia" w:ascii="Times New Roman" w:hAnsi="Times New Roman" w:eastAsia="Kaiti SC"/>
          <w:sz w:val="24"/>
        </w:rPr>
      </w:pPr>
      <w:r>
        <w:rPr>
          <w:rFonts w:hint="eastAsia" w:ascii="Times New Roman" w:hAnsi="Times New Roman" w:eastAsia="Kaiti SC"/>
          <w:sz w:val="24"/>
        </w:rPr>
        <w:t>2024年南美</w:t>
      </w:r>
      <w:r>
        <w:rPr>
          <w:rFonts w:hint="eastAsia" w:ascii="Times New Roman" w:hAnsi="Times New Roman" w:eastAsia="Kaiti SC"/>
          <w:sz w:val="24"/>
          <w:lang w:val="en-US" w:eastAsia="zh-CN"/>
        </w:rPr>
        <w:t>及中美洲</w:t>
      </w:r>
      <w:r>
        <w:rPr>
          <w:rFonts w:hint="eastAsia" w:ascii="Times New Roman" w:hAnsi="Times New Roman" w:eastAsia="Kaiti SC"/>
          <w:sz w:val="24"/>
        </w:rPr>
        <w:t>轮胎总消费量达1.</w:t>
      </w:r>
      <w:r>
        <w:rPr>
          <w:rFonts w:hint="eastAsia" w:ascii="Times New Roman" w:hAnsi="Times New Roman" w:eastAsia="Kaiti SC"/>
          <w:sz w:val="24"/>
          <w:lang w:val="en-US" w:eastAsia="zh-CN"/>
        </w:rPr>
        <w:t>9</w:t>
      </w:r>
      <w:r>
        <w:rPr>
          <w:rFonts w:hint="eastAsia" w:ascii="Times New Roman" w:hAnsi="Times New Roman" w:eastAsia="Kaiti SC"/>
          <w:sz w:val="24"/>
        </w:rPr>
        <w:t>亿条，其中基础款PCR占比6</w:t>
      </w:r>
      <w:r>
        <w:rPr>
          <w:rFonts w:hint="eastAsia" w:ascii="Times New Roman" w:hAnsi="Times New Roman" w:eastAsia="Kaiti SC"/>
          <w:sz w:val="24"/>
          <w:lang w:val="en-US" w:eastAsia="zh-CN"/>
        </w:rPr>
        <w:t>1</w:t>
      </w:r>
      <w:r>
        <w:rPr>
          <w:rFonts w:hint="eastAsia" w:ascii="Times New Roman" w:hAnsi="Times New Roman" w:eastAsia="Kaiti SC"/>
          <w:sz w:val="24"/>
        </w:rPr>
        <w:t>%（约1.1</w:t>
      </w:r>
      <w:r>
        <w:rPr>
          <w:rFonts w:hint="eastAsia" w:ascii="Times New Roman" w:hAnsi="Times New Roman" w:eastAsia="Kaiti SC"/>
          <w:sz w:val="24"/>
          <w:lang w:val="en-US" w:eastAsia="zh-CN"/>
        </w:rPr>
        <w:t>6</w:t>
      </w:r>
      <w:r>
        <w:rPr>
          <w:rFonts w:hint="eastAsia" w:ascii="Times New Roman" w:hAnsi="Times New Roman" w:eastAsia="Kaiti SC"/>
          <w:sz w:val="24"/>
        </w:rPr>
        <w:t>亿条）、基础款TBR占比2</w:t>
      </w:r>
      <w:r>
        <w:rPr>
          <w:rFonts w:hint="eastAsia" w:ascii="Times New Roman" w:hAnsi="Times New Roman" w:eastAsia="Kaiti SC"/>
          <w:sz w:val="24"/>
          <w:lang w:val="en-US" w:eastAsia="zh-CN"/>
        </w:rPr>
        <w:t>9</w:t>
      </w:r>
      <w:r>
        <w:rPr>
          <w:rFonts w:hint="eastAsia" w:ascii="Times New Roman" w:hAnsi="Times New Roman" w:eastAsia="Kaiti SC"/>
          <w:sz w:val="24"/>
        </w:rPr>
        <w:t>%（约5</w:t>
      </w:r>
      <w:r>
        <w:rPr>
          <w:rFonts w:hint="eastAsia" w:ascii="Times New Roman" w:hAnsi="Times New Roman" w:eastAsia="Kaiti SC"/>
          <w:sz w:val="24"/>
          <w:lang w:val="en-US" w:eastAsia="zh-CN"/>
        </w:rPr>
        <w:t>510</w:t>
      </w:r>
      <w:r>
        <w:rPr>
          <w:rFonts w:hint="eastAsia" w:ascii="Times New Roman" w:hAnsi="Times New Roman" w:eastAsia="Kaiti SC"/>
          <w:sz w:val="24"/>
        </w:rPr>
        <w:t>万条），内胎/垫带占比10%（约1</w:t>
      </w:r>
      <w:r>
        <w:rPr>
          <w:rFonts w:hint="eastAsia" w:ascii="Times New Roman" w:hAnsi="Times New Roman" w:eastAsia="Kaiti SC"/>
          <w:sz w:val="24"/>
          <w:lang w:val="en-US" w:eastAsia="zh-CN"/>
        </w:rPr>
        <w:t>90</w:t>
      </w:r>
      <w:r>
        <w:rPr>
          <w:rFonts w:hint="eastAsia" w:ascii="Times New Roman" w:hAnsi="Times New Roman" w:eastAsia="Kaiti SC"/>
          <w:sz w:val="24"/>
        </w:rPr>
        <w:t>0万套），基础款产品为市场消费主力；</w:t>
      </w:r>
    </w:p>
    <w:p w14:paraId="29BBA72E">
      <w:pPr>
        <w:numPr>
          <w:ilvl w:val="0"/>
          <w:numId w:val="1"/>
        </w:numPr>
        <w:ind w:left="425" w:leftChars="0" w:hanging="425" w:firstLineChars="0"/>
        <w:jc w:val="both"/>
        <w:rPr>
          <w:rFonts w:hint="eastAsia" w:ascii="Times New Roman" w:hAnsi="Times New Roman" w:eastAsia="Kaiti SC"/>
          <w:sz w:val="24"/>
        </w:rPr>
      </w:pPr>
      <w:r>
        <w:rPr>
          <w:rFonts w:hint="eastAsia" w:ascii="Times New Roman" w:hAnsi="Times New Roman" w:eastAsia="Kaiti SC"/>
          <w:sz w:val="24"/>
        </w:rPr>
        <w:t>2025年1-9月南美基础款轮胎进口量同比增长15%，客户对“高性价比 + 稳定质量”的需求远超特殊功能款（如热带专用胎、雪地胎），大轮（Lionload/Lionline）的基础款产品线与市场需求高度匹配；</w:t>
      </w:r>
    </w:p>
    <w:p w14:paraId="582A33FC">
      <w:pPr>
        <w:numPr>
          <w:ilvl w:val="0"/>
          <w:numId w:val="1"/>
        </w:numPr>
        <w:ind w:left="425" w:leftChars="0" w:hanging="425" w:firstLineChars="0"/>
        <w:jc w:val="both"/>
        <w:rPr>
          <w:rFonts w:hint="eastAsia" w:ascii="Times New Roman" w:hAnsi="Times New Roman" w:eastAsia="Kaiti SC"/>
          <w:sz w:val="24"/>
        </w:rPr>
      </w:pPr>
      <w:r>
        <w:rPr>
          <w:rFonts w:hint="eastAsia" w:ascii="Times New Roman" w:hAnsi="Times New Roman" w:eastAsia="Kaiti SC"/>
          <w:sz w:val="24"/>
        </w:rPr>
        <w:t>政策层面，巴西维持对华轮胎双反税率（1.25-1.77美元/千克），阿根廷2025年9月起将轮胎进口关税降至16%，秘鲁、厄瓜多尔、哥斯达黎加无特殊贸易壁垒，为基础款轮胎进口提供有利窗口。</w:t>
      </w:r>
    </w:p>
    <w:p w14:paraId="2AF5C23A">
      <w:pPr>
        <w:numPr>
          <w:ilvl w:val="0"/>
          <w:numId w:val="1"/>
        </w:numPr>
        <w:ind w:left="425" w:leftChars="0" w:hanging="425" w:firstLineChars="0"/>
        <w:jc w:val="both"/>
        <w:rPr>
          <w:rFonts w:hint="eastAsia" w:ascii="Times New Roman" w:hAnsi="Times New Roman" w:eastAsia="Kaiti SC"/>
          <w:sz w:val="24"/>
        </w:rPr>
      </w:pPr>
      <w:r>
        <w:rPr>
          <w:rFonts w:hint="eastAsia" w:ascii="Times New Roman" w:hAnsi="Times New Roman" w:eastAsia="Kaiti SC"/>
          <w:sz w:val="24"/>
        </w:rPr>
        <w:t>2025年1-9月巴拿马轮胎进口额达1.08亿美元，同比增长12%，其作为转口枢纽，经科隆自由贸易区转口的轮胎占进口总量的78%，转口目的地以巴西、秘鲁、哥斯达黎加为主，客户对 “现货供应 + 合规转口” 的需求尤为突出，</w:t>
      </w:r>
      <w:r>
        <w:rPr>
          <w:rFonts w:hint="eastAsia" w:ascii="Times New Roman" w:hAnsi="Times New Roman" w:eastAsia="Kaiti SC"/>
          <w:b/>
          <w:bCs/>
          <w:sz w:val="24"/>
        </w:rPr>
        <w:t>大轮基础款产品线</w:t>
      </w:r>
      <w:r>
        <w:rPr>
          <w:rFonts w:hint="eastAsia" w:ascii="Times New Roman" w:hAnsi="Times New Roman" w:eastAsia="Kaiti SC"/>
          <w:b/>
          <w:bCs/>
          <w:sz w:val="24"/>
          <w:lang w:val="en-US" w:eastAsia="zh-CN"/>
        </w:rPr>
        <w:t>&amp;</w:t>
      </w:r>
      <w:r>
        <w:rPr>
          <w:rFonts w:hint="eastAsia" w:ascii="Times New Roman" w:hAnsi="Times New Roman" w:eastAsia="Kaiti SC"/>
          <w:b/>
          <w:bCs/>
          <w:sz w:val="24"/>
        </w:rPr>
        <w:t>巴拿马仓储布局与市场需求高度匹配</w:t>
      </w:r>
      <w:r>
        <w:rPr>
          <w:rFonts w:hint="eastAsia" w:ascii="Times New Roman" w:hAnsi="Times New Roman" w:eastAsia="Kaiti SC"/>
          <w:sz w:val="24"/>
        </w:rPr>
        <w:t>；</w:t>
      </w:r>
    </w:p>
    <w:p w14:paraId="45A664C0">
      <w:pPr>
        <w:numPr>
          <w:ilvl w:val="0"/>
          <w:numId w:val="1"/>
        </w:numPr>
        <w:ind w:left="425" w:leftChars="0" w:hanging="425" w:firstLineChars="0"/>
        <w:jc w:val="both"/>
        <w:rPr>
          <w:rFonts w:hint="eastAsia" w:ascii="Times New Roman" w:hAnsi="Times New Roman" w:eastAsia="Kaiti SC"/>
          <w:sz w:val="24"/>
        </w:rPr>
      </w:pPr>
      <w:r>
        <w:rPr>
          <w:rFonts w:hint="eastAsia" w:ascii="Times New Roman" w:hAnsi="Times New Roman" w:eastAsia="Kaiti SC"/>
          <w:sz w:val="24"/>
        </w:rPr>
        <w:t>政策层面，巴拿马平均进口关税仅8.25%，普通轮胎关税低至5%-10%，科隆自由贸易区可实现货物免税进口、储存及再出口，且享有22国自贸协定网络，转口欧美可规避36%关税，为基础款轮胎的区域分销与转口贸易提供绝佳政策窗口。</w:t>
      </w:r>
    </w:p>
    <w:p w14:paraId="547E7046">
      <w:pPr>
        <w:numPr>
          <w:ilvl w:val="0"/>
          <w:numId w:val="0"/>
        </w:numPr>
        <w:ind w:left="0" w:leftChars="0"/>
        <w:jc w:val="both"/>
        <w:rPr>
          <w:rFonts w:hint="eastAsia" w:ascii="Times New Roman" w:hAnsi="Times New Roman" w:eastAsia="Kaiti SC"/>
          <w:sz w:val="24"/>
        </w:rPr>
      </w:pPr>
    </w:p>
    <w:p w14:paraId="12A0BCDE">
      <w:pPr>
        <w:numPr>
          <w:ilvl w:val="0"/>
          <w:numId w:val="2"/>
        </w:numPr>
        <w:bidi w:val="0"/>
        <w:jc w:val="both"/>
        <w:rPr>
          <w:rFonts w:hint="eastAsia" w:ascii="Kaiti SC Bold" w:hAnsi="Kaiti SC Bold" w:eastAsia="Kaiti SC Bold" w:cs="Kaiti SC Bold"/>
          <w:b/>
          <w:bCs/>
          <w:sz w:val="28"/>
          <w:szCs w:val="28"/>
        </w:rPr>
      </w:pPr>
      <w:r>
        <w:rPr>
          <w:rFonts w:hint="eastAsia" w:ascii="Kaiti SC Bold" w:hAnsi="Kaiti SC Bold" w:eastAsia="Kaiti SC Bold" w:cs="Kaiti SC Bold"/>
          <w:b/>
          <w:bCs/>
          <w:sz w:val="28"/>
          <w:szCs w:val="28"/>
        </w:rPr>
        <w:t>南美核心国家市场需求与用户痛点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967"/>
        <w:gridCol w:w="2480"/>
        <w:gridCol w:w="2110"/>
        <w:gridCol w:w="1730"/>
        <w:gridCol w:w="1235"/>
      </w:tblGrid>
      <w:tr w14:paraId="496CA2DC">
        <w:tc>
          <w:tcPr>
            <w:tcW w:w="967" w:type="dxa"/>
          </w:tcPr>
          <w:p w14:paraId="467B8CFD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 Bold" w:hAnsi="Kaiti SC Bold" w:eastAsia="Kaiti SC Bold" w:cs="Kaiti SC Bold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sz w:val="22"/>
                <w:szCs w:val="22"/>
                <w:vertAlign w:val="baseline"/>
                <w:lang w:val="en-US" w:eastAsia="zh-CN"/>
              </w:rPr>
              <w:t>国家</w:t>
            </w:r>
          </w:p>
        </w:tc>
        <w:tc>
          <w:tcPr>
            <w:tcW w:w="2480" w:type="dxa"/>
          </w:tcPr>
          <w:p w14:paraId="0C740B29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 Bold" w:hAnsi="Kaiti SC Bold" w:eastAsia="Kaiti SC Bold" w:cs="Kaiti SC Bold"/>
                <w:b/>
                <w:bCs/>
                <w:sz w:val="22"/>
                <w:szCs w:val="22"/>
                <w:vertAlign w:val="baseline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sz w:val="22"/>
                <w:szCs w:val="22"/>
                <w:vertAlign w:val="baseline"/>
              </w:rPr>
              <w:t>核心市场需求（基础款轮胎）</w:t>
            </w:r>
          </w:p>
        </w:tc>
        <w:tc>
          <w:tcPr>
            <w:tcW w:w="2110" w:type="dxa"/>
          </w:tcPr>
          <w:p w14:paraId="25FE81BB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 Bold" w:hAnsi="Kaiti SC Bold" w:eastAsia="Kaiti SC Bold" w:cs="Kaiti SC Bold"/>
                <w:b/>
                <w:bCs/>
                <w:sz w:val="22"/>
                <w:szCs w:val="22"/>
                <w:vertAlign w:val="baseline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sz w:val="22"/>
                <w:szCs w:val="22"/>
                <w:vertAlign w:val="baseline"/>
                <w:lang w:val="en-US" w:eastAsia="zh-CN"/>
              </w:rPr>
              <w:t>客</w:t>
            </w:r>
            <w:r>
              <w:rPr>
                <w:rFonts w:hint="eastAsia" w:ascii="Kaiti SC Bold" w:hAnsi="Kaiti SC Bold" w:eastAsia="Kaiti SC Bold" w:cs="Kaiti SC Bold"/>
                <w:b/>
                <w:bCs/>
                <w:sz w:val="22"/>
                <w:szCs w:val="22"/>
                <w:vertAlign w:val="baseline"/>
              </w:rPr>
              <w:t>户核心痛点（采购/使用端）</w:t>
            </w:r>
          </w:p>
        </w:tc>
        <w:tc>
          <w:tcPr>
            <w:tcW w:w="1730" w:type="dxa"/>
          </w:tcPr>
          <w:p w14:paraId="10EF4325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 Bold" w:hAnsi="Kaiti SC Bold" w:eastAsia="Kaiti SC Bold" w:cs="Kaiti SC Bold"/>
                <w:b/>
                <w:bCs/>
                <w:sz w:val="22"/>
                <w:szCs w:val="22"/>
                <w:vertAlign w:val="baseline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sz w:val="22"/>
                <w:szCs w:val="22"/>
                <w:vertAlign w:val="baseline"/>
              </w:rPr>
              <w:t>政策/认证要求</w:t>
            </w:r>
          </w:p>
        </w:tc>
        <w:tc>
          <w:tcPr>
            <w:tcW w:w="1235" w:type="dxa"/>
          </w:tcPr>
          <w:p w14:paraId="5850A809">
            <w:pPr>
              <w:widowControl w:val="0"/>
              <w:numPr>
                <w:numId w:val="0"/>
              </w:numPr>
              <w:bidi w:val="0"/>
              <w:jc w:val="both"/>
              <w:rPr>
                <w:rFonts w:hint="default" w:ascii="Kaiti SC Bold" w:hAnsi="Kaiti SC Bold" w:eastAsia="Kaiti SC Bold" w:cs="Kaiti SC Bold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sz w:val="22"/>
                <w:szCs w:val="22"/>
                <w:vertAlign w:val="baseline"/>
              </w:rPr>
              <w:t>适配产品</w:t>
            </w:r>
            <w:r>
              <w:rPr>
                <w:rFonts w:hint="eastAsia" w:ascii="Kaiti SC Bold" w:hAnsi="Kaiti SC Bold" w:eastAsia="Kaiti SC Bold" w:cs="Kaiti SC Bold"/>
                <w:b/>
                <w:bCs/>
                <w:sz w:val="22"/>
                <w:szCs w:val="22"/>
                <w:vertAlign w:val="baseline"/>
                <w:lang w:eastAsia="zh-CN"/>
              </w:rPr>
              <w:t>（</w:t>
            </w:r>
            <w:r>
              <w:rPr>
                <w:rFonts w:hint="eastAsia" w:ascii="Kaiti SC Bold" w:hAnsi="Kaiti SC Bold" w:eastAsia="Kaiti SC Bold" w:cs="Kaiti SC Bold"/>
                <w:b/>
                <w:bCs/>
                <w:sz w:val="22"/>
                <w:szCs w:val="22"/>
                <w:vertAlign w:val="baseline"/>
                <w:lang w:val="en-US" w:eastAsia="zh-CN"/>
              </w:rPr>
              <w:t>具体规格需区域销售数据反馈）</w:t>
            </w:r>
          </w:p>
        </w:tc>
      </w:tr>
      <w:tr w14:paraId="1F8CED4A">
        <w:tc>
          <w:tcPr>
            <w:tcW w:w="967" w:type="dxa"/>
          </w:tcPr>
          <w:p w14:paraId="3D748D2B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巴西</w:t>
            </w:r>
          </w:p>
        </w:tc>
        <w:tc>
          <w:tcPr>
            <w:tcW w:w="2480" w:type="dxa"/>
          </w:tcPr>
          <w:p w14:paraId="7D4655C7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1. 家用 PCR（185/65R15、205/55R16）需求占比70%；</w:t>
            </w:r>
          </w:p>
          <w:p w14:paraId="5C5EAC3E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2.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货运TBR（295/80R22.5）需求年增12%</w:t>
            </w:r>
          </w:p>
        </w:tc>
        <w:tc>
          <w:tcPr>
            <w:tcW w:w="2110" w:type="dxa"/>
          </w:tcPr>
          <w:p w14:paraId="5728F880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1. 本地品牌多掺再生胶，轮胎寿命仅6-8个月（期望12个月以上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耐磨产品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）；</w:t>
            </w:r>
          </w:p>
          <w:p w14:paraId="29B57115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2. 进口产品因双反税率导致终端价偏高</w:t>
            </w:r>
          </w:p>
        </w:tc>
        <w:tc>
          <w:tcPr>
            <w:tcW w:w="1730" w:type="dxa"/>
          </w:tcPr>
          <w:p w14:paraId="0453E016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需 INMETRO 认证（滚动阻力B级、噪声≤70分贝）</w:t>
            </w:r>
          </w:p>
        </w:tc>
        <w:tc>
          <w:tcPr>
            <w:tcW w:w="1235" w:type="dxa"/>
          </w:tcPr>
          <w:p w14:paraId="6DA34F38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PCR/TBR基础款</w:t>
            </w:r>
          </w:p>
        </w:tc>
      </w:tr>
      <w:tr w14:paraId="4716A1EC">
        <w:tc>
          <w:tcPr>
            <w:tcW w:w="967" w:type="dxa"/>
          </w:tcPr>
          <w:p w14:paraId="5A2B82BD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阿根廷</w:t>
            </w:r>
          </w:p>
        </w:tc>
        <w:tc>
          <w:tcPr>
            <w:tcW w:w="2480" w:type="dxa"/>
          </w:tcPr>
          <w:p w14:paraId="6F6BF023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1. 农业运输 TBR（11R22.5）需求激增（年增18%）；</w:t>
            </w:r>
          </w:p>
          <w:p w14:paraId="06A030C0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2. 内胎/垫带配套需求占比60%</w:t>
            </w:r>
          </w:p>
        </w:tc>
        <w:tc>
          <w:tcPr>
            <w:tcW w:w="2110" w:type="dxa"/>
          </w:tcPr>
          <w:p w14:paraId="5287B4F7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1. 二手胎禁令后，本土产能不足导致基础款供给缺口；</w:t>
            </w:r>
          </w:p>
          <w:p w14:paraId="4F88498E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2. 清关流程繁琐，平均耗时超20天（期望10天内）</w:t>
            </w:r>
          </w:p>
        </w:tc>
        <w:tc>
          <w:tcPr>
            <w:tcW w:w="1730" w:type="dxa"/>
          </w:tcPr>
          <w:p w14:paraId="5663E568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MERCOSUR认证+ IRAM-A安全标签，关税降至16%</w:t>
            </w:r>
          </w:p>
        </w:tc>
        <w:tc>
          <w:tcPr>
            <w:tcW w:w="1235" w:type="dxa"/>
          </w:tcPr>
          <w:p w14:paraId="2DA17A3D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TBR/内胎/垫带</w:t>
            </w:r>
          </w:p>
        </w:tc>
      </w:tr>
      <w:tr w14:paraId="197B58FA">
        <w:tc>
          <w:tcPr>
            <w:tcW w:w="967" w:type="dxa"/>
          </w:tcPr>
          <w:p w14:paraId="2AD9842D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墨西哥</w:t>
            </w:r>
          </w:p>
        </w:tc>
        <w:tc>
          <w:tcPr>
            <w:tcW w:w="2480" w:type="dxa"/>
          </w:tcPr>
          <w:p w14:paraId="5B59CEA4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1. SUV用PCR（205/55R16）需求占比40.7%；</w:t>
            </w:r>
          </w:p>
          <w:p w14:paraId="4B29ECB0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2. 新能源车企低滚阻基础款PCR需求年增25%</w:t>
            </w:r>
          </w:p>
        </w:tc>
        <w:tc>
          <w:tcPr>
            <w:tcW w:w="2110" w:type="dxa"/>
          </w:tcPr>
          <w:p w14:paraId="32BCC25A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1. 国际品牌低滚阻PCR价格超100美元（期望80-90美元）；</w:t>
            </w:r>
          </w:p>
          <w:p w14:paraId="61EF0407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2. 本地垫带耐老化性差，3个月内易开裂</w:t>
            </w:r>
          </w:p>
        </w:tc>
        <w:tc>
          <w:tcPr>
            <w:tcW w:w="1730" w:type="dxa"/>
          </w:tcPr>
          <w:p w14:paraId="3C6AF1D9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需NOM认证，无对华双反</w:t>
            </w:r>
          </w:p>
        </w:tc>
        <w:tc>
          <w:tcPr>
            <w:tcW w:w="1235" w:type="dxa"/>
          </w:tcPr>
          <w:p w14:paraId="052E7940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PCR/垫带</w:t>
            </w:r>
          </w:p>
        </w:tc>
      </w:tr>
      <w:tr w14:paraId="5B2B9AD4">
        <w:tc>
          <w:tcPr>
            <w:tcW w:w="967" w:type="dxa"/>
          </w:tcPr>
          <w:p w14:paraId="56026D39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智利</w:t>
            </w:r>
          </w:p>
        </w:tc>
        <w:tc>
          <w:tcPr>
            <w:tcW w:w="2480" w:type="dxa"/>
          </w:tcPr>
          <w:p w14:paraId="26BB59FA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1. 山路货运TBR（295/80R22.5）需求占比55%；</w:t>
            </w:r>
          </w:p>
          <w:p w14:paraId="599592A4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2. PCR/TBR内胎套装需求年增15%</w:t>
            </w:r>
          </w:p>
        </w:tc>
        <w:tc>
          <w:tcPr>
            <w:tcW w:w="2110" w:type="dxa"/>
          </w:tcPr>
          <w:p w14:paraId="223CF88F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1. 普通TBR胎肩磨损快，山路使用3个月需更换（期望6个月以上）；</w:t>
            </w:r>
          </w:p>
          <w:p w14:paraId="15C939E3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2. 售后响应慢，质量问题解决超7天</w:t>
            </w:r>
          </w:p>
        </w:tc>
        <w:tc>
          <w:tcPr>
            <w:tcW w:w="1730" w:type="dxa"/>
          </w:tcPr>
          <w:p w14:paraId="08FC7F2D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INN认证（需提交ISO 9001体系文件）</w:t>
            </w:r>
          </w:p>
        </w:tc>
        <w:tc>
          <w:tcPr>
            <w:tcW w:w="1235" w:type="dxa"/>
          </w:tcPr>
          <w:p w14:paraId="467C3E8F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TBR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/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内胎套装</w:t>
            </w:r>
          </w:p>
        </w:tc>
      </w:tr>
      <w:tr w14:paraId="57A45DF2">
        <w:tc>
          <w:tcPr>
            <w:tcW w:w="967" w:type="dxa"/>
          </w:tcPr>
          <w:p w14:paraId="5152858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秘鲁</w:t>
            </w:r>
          </w:p>
        </w:tc>
        <w:tc>
          <w:tcPr>
            <w:tcW w:w="2480" w:type="dxa"/>
          </w:tcPr>
          <w:p w14:paraId="601183B6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1. 基建项目拉动TBR（11R22.5）需求；</w:t>
            </w:r>
          </w:p>
          <w:p w14:paraId="506BCF7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2. 替换用PCR（195/65R15）需求占比60%</w:t>
            </w:r>
          </w:p>
        </w:tc>
        <w:tc>
          <w:tcPr>
            <w:tcW w:w="2110" w:type="dxa"/>
          </w:tcPr>
          <w:p w14:paraId="1578B71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1. 多数供应商无现货，交期超30天（期望15天内）；</w:t>
            </w:r>
          </w:p>
          <w:p w14:paraId="7D9323B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2. 产品标签无西班牙语，终端客户识别困难</w:t>
            </w:r>
          </w:p>
        </w:tc>
        <w:tc>
          <w:tcPr>
            <w:tcW w:w="1730" w:type="dxa"/>
          </w:tcPr>
          <w:p w14:paraId="1D747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无特殊双反，需西班牙语产品标签</w:t>
            </w:r>
          </w:p>
        </w:tc>
        <w:tc>
          <w:tcPr>
            <w:tcW w:w="1235" w:type="dxa"/>
          </w:tcPr>
          <w:p w14:paraId="649B714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PCR/TBR基础款</w:t>
            </w:r>
          </w:p>
        </w:tc>
      </w:tr>
      <w:tr w14:paraId="0946A391">
        <w:tc>
          <w:tcPr>
            <w:tcW w:w="967" w:type="dxa"/>
          </w:tcPr>
          <w:p w14:paraId="01793B7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厄瓜多尓</w:t>
            </w:r>
          </w:p>
        </w:tc>
        <w:tc>
          <w:tcPr>
            <w:tcW w:w="2480" w:type="dxa"/>
          </w:tcPr>
          <w:p w14:paraId="071CD4B3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1. 石油运输高载重TBR（275/80R22.5）需求占比45%；</w:t>
            </w:r>
          </w:p>
          <w:p w14:paraId="0EFA325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2. 耐用性内胎需求激增</w:t>
            </w:r>
          </w:p>
        </w:tc>
        <w:tc>
          <w:tcPr>
            <w:tcW w:w="2110" w:type="dxa"/>
          </w:tcPr>
          <w:p w14:paraId="2D04B2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1. 普通 TBR 抗爆性差，石油运输中爆胎率超5%（期望≤1%）；</w:t>
            </w:r>
          </w:p>
          <w:p w14:paraId="2F4AC0C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2. 内胎气密性差，7天漏气率超30%</w:t>
            </w:r>
          </w:p>
        </w:tc>
        <w:tc>
          <w:tcPr>
            <w:tcW w:w="1730" w:type="dxa"/>
          </w:tcPr>
          <w:p w14:paraId="65054A1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需符合南美统一质量标准（ASNOR）</w:t>
            </w:r>
          </w:p>
        </w:tc>
        <w:tc>
          <w:tcPr>
            <w:tcW w:w="1235" w:type="dxa"/>
          </w:tcPr>
          <w:p w14:paraId="0388A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TBR基础款</w:t>
            </w:r>
          </w:p>
        </w:tc>
      </w:tr>
      <w:tr w14:paraId="10AEDE1F">
        <w:tc>
          <w:tcPr>
            <w:tcW w:w="967" w:type="dxa"/>
          </w:tcPr>
          <w:p w14:paraId="14E601D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玻利维亚</w:t>
            </w:r>
          </w:p>
        </w:tc>
        <w:tc>
          <w:tcPr>
            <w:tcW w:w="2480" w:type="dxa"/>
          </w:tcPr>
          <w:p w14:paraId="4554D706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1. 农业用PCR（175/70R14）需求占比50%；</w:t>
            </w:r>
          </w:p>
          <w:p w14:paraId="4CD8E17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2. 低预算客户偏好单价50-60美元PCR</w:t>
            </w:r>
          </w:p>
        </w:tc>
        <w:tc>
          <w:tcPr>
            <w:tcW w:w="2110" w:type="dxa"/>
          </w:tcPr>
          <w:p w14:paraId="1F9DC1A6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1. 农田路况差，普通PCR胎体易破损（期望抗撕裂性提升）；</w:t>
            </w:r>
          </w:p>
          <w:p w14:paraId="5D12DE1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2. 国际品牌价格超70美元，超出预算</w:t>
            </w:r>
          </w:p>
        </w:tc>
        <w:tc>
          <w:tcPr>
            <w:tcW w:w="1730" w:type="dxa"/>
          </w:tcPr>
          <w:p w14:paraId="6244438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无强制进口认证，需提供质量检测报告</w:t>
            </w:r>
          </w:p>
        </w:tc>
        <w:tc>
          <w:tcPr>
            <w:tcW w:w="1235" w:type="dxa"/>
          </w:tcPr>
          <w:p w14:paraId="44A6263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PCR/内胎</w:t>
            </w:r>
          </w:p>
        </w:tc>
      </w:tr>
      <w:tr w14:paraId="0356557C">
        <w:tc>
          <w:tcPr>
            <w:tcW w:w="967" w:type="dxa"/>
          </w:tcPr>
          <w:p w14:paraId="42A23419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 Bold" w:hAnsi="Kaiti SC Bold" w:eastAsia="Kaiti SC Bold" w:cs="Kaiti SC Bold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 Bold" w:hAnsi="Kaiti SC Bold" w:eastAsia="Kaiti SC Bold" w:cs="Kaiti SC Bold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乌拉圭</w:t>
            </w:r>
          </w:p>
        </w:tc>
        <w:tc>
          <w:tcPr>
            <w:tcW w:w="2480" w:type="dxa"/>
          </w:tcPr>
          <w:p w14:paraId="3108C6BD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1. 老旧车辆替换PCR（185/65R14）需求占比60%；</w:t>
            </w:r>
          </w:p>
          <w:p w14:paraId="11743D4E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2. 耐老化垫带需求年增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eastAsia="zh-CN"/>
              </w:rPr>
              <w:t>、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12%</w:t>
            </w:r>
          </w:p>
        </w:tc>
        <w:tc>
          <w:tcPr>
            <w:tcW w:w="2110" w:type="dxa"/>
          </w:tcPr>
          <w:p w14:paraId="06CB4A30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1. 车辆老龄化导致轮胎更换频率高，客户期望寿命超18个月；</w:t>
            </w:r>
          </w:p>
          <w:p w14:paraId="4AD5A5E6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2. 本地垫带耐臭氧性差，1年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内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易老化</w:t>
            </w:r>
          </w:p>
        </w:tc>
        <w:tc>
          <w:tcPr>
            <w:tcW w:w="1730" w:type="dxa"/>
          </w:tcPr>
          <w:p w14:paraId="1D6EF3EC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需乌拉圭工业部备案，无高关税</w:t>
            </w:r>
          </w:p>
        </w:tc>
        <w:tc>
          <w:tcPr>
            <w:tcW w:w="1235" w:type="dxa"/>
          </w:tcPr>
          <w:p w14:paraId="6B6A9102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PCR/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垫带</w:t>
            </w:r>
          </w:p>
        </w:tc>
      </w:tr>
      <w:tr w14:paraId="55CF331D">
        <w:tc>
          <w:tcPr>
            <w:tcW w:w="967" w:type="dxa"/>
          </w:tcPr>
          <w:p w14:paraId="062CAD4A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 Bold" w:hAnsi="Kaiti SC Bold" w:eastAsia="Kaiti SC Bold" w:cs="Kaiti SC Bold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 Bold" w:hAnsi="Kaiti SC Bold" w:eastAsia="Kaiti SC Bold" w:cs="Kaiti SC Bold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巴拉圭</w:t>
            </w:r>
          </w:p>
        </w:tc>
        <w:tc>
          <w:tcPr>
            <w:tcW w:w="2480" w:type="dxa"/>
          </w:tcPr>
          <w:p w14:paraId="59065602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1. 转口巴西/阿根廷的TBR（11R22.5）需求占比70%；</w:t>
            </w:r>
          </w:p>
          <w:p w14:paraId="71DDA059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2. 内胎套装配套需求超50%</w:t>
            </w:r>
          </w:p>
        </w:tc>
        <w:tc>
          <w:tcPr>
            <w:tcW w:w="2110" w:type="dxa"/>
          </w:tcPr>
          <w:p w14:paraId="2C83B53A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1. 转口产品需符合巴西 INMETRO、阿根廷MERCOSUR双重认证（单一认证产品无法流通）；</w:t>
            </w:r>
          </w:p>
          <w:p w14:paraId="5E76B727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2. 转口关税成本高，期望降价5-8%</w:t>
            </w:r>
          </w:p>
        </w:tc>
        <w:tc>
          <w:tcPr>
            <w:tcW w:w="1730" w:type="dxa"/>
          </w:tcPr>
          <w:p w14:paraId="1BBD07A4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需MERCOSUR认证，转口可享关税优惠</w:t>
            </w:r>
          </w:p>
        </w:tc>
        <w:tc>
          <w:tcPr>
            <w:tcW w:w="1235" w:type="dxa"/>
          </w:tcPr>
          <w:p w14:paraId="2B2BA79F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TBR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/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内胎套装</w:t>
            </w:r>
          </w:p>
        </w:tc>
      </w:tr>
      <w:tr w14:paraId="6DA86CBE">
        <w:tc>
          <w:tcPr>
            <w:tcW w:w="967" w:type="dxa"/>
          </w:tcPr>
          <w:p w14:paraId="0964BD18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哥伦比亚</w:t>
            </w:r>
          </w:p>
        </w:tc>
        <w:tc>
          <w:tcPr>
            <w:tcW w:w="2480" w:type="dxa"/>
          </w:tcPr>
          <w:p w14:paraId="2CD993F3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1. 小型运输公司TBR（295/80R22.5）需求年增10%；</w:t>
            </w:r>
          </w:p>
          <w:p w14:paraId="1B7CE2F6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2. 家用PCR（185/65R15）需求占比55%</w:t>
            </w:r>
          </w:p>
        </w:tc>
        <w:tc>
          <w:tcPr>
            <w:tcW w:w="2110" w:type="dxa"/>
          </w:tcPr>
          <w:p w14:paraId="36CC0748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1. 小型公司预算有限，期望TBR单价低于280美元；</w:t>
            </w:r>
          </w:p>
          <w:p w14:paraId="4C996312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2. 普通PCR耐磨指数低（350以下），更换周期短</w:t>
            </w:r>
          </w:p>
        </w:tc>
        <w:tc>
          <w:tcPr>
            <w:tcW w:w="1730" w:type="dxa"/>
          </w:tcPr>
          <w:p w14:paraId="2BC3F703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需进口许可证，关税19%（TBR）、16%（PCR）</w:t>
            </w:r>
          </w:p>
        </w:tc>
        <w:tc>
          <w:tcPr>
            <w:tcW w:w="1235" w:type="dxa"/>
          </w:tcPr>
          <w:p w14:paraId="5C77EC76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PCR/TBR基础款</w:t>
            </w:r>
          </w:p>
        </w:tc>
      </w:tr>
      <w:tr w14:paraId="4F13E802">
        <w:tc>
          <w:tcPr>
            <w:tcW w:w="967" w:type="dxa"/>
          </w:tcPr>
          <w:p w14:paraId="7FF804AC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哥斯达黎加</w:t>
            </w:r>
          </w:p>
        </w:tc>
        <w:tc>
          <w:tcPr>
            <w:tcW w:w="2480" w:type="dxa"/>
          </w:tcPr>
          <w:p w14:paraId="42CFB1B7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1. 旅游租车PCR（195/65R15、185/65R14）需求年增20%；</w:t>
            </w:r>
          </w:p>
          <w:p w14:paraId="2C3C1B67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2. 内胎高频替换需求占比40%</w:t>
            </w:r>
          </w:p>
        </w:tc>
        <w:tc>
          <w:tcPr>
            <w:tcW w:w="2110" w:type="dxa"/>
          </w:tcPr>
          <w:p w14:paraId="1820C304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1. 租车fleet需耐磨 PCR，期望使用寿命超12个月（普通款仅8个月）；</w:t>
            </w:r>
          </w:p>
          <w:p w14:paraId="6DFD0E0A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2. 无本土轮胎生产，依赖进口导致交货周期长</w:t>
            </w:r>
          </w:p>
        </w:tc>
        <w:tc>
          <w:tcPr>
            <w:tcW w:w="1730" w:type="dxa"/>
          </w:tcPr>
          <w:p w14:paraId="77AD6BE7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需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COSTA RICA INDUSTRY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认证，关税15%（PCR）、18%（TBR）</w:t>
            </w:r>
          </w:p>
        </w:tc>
        <w:tc>
          <w:tcPr>
            <w:tcW w:w="1235" w:type="dxa"/>
          </w:tcPr>
          <w:p w14:paraId="1CA43E2A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PCR/内胎</w:t>
            </w:r>
          </w:p>
        </w:tc>
      </w:tr>
      <w:tr w14:paraId="588F32C0">
        <w:tc>
          <w:tcPr>
            <w:tcW w:w="967" w:type="dxa"/>
          </w:tcPr>
          <w:p w14:paraId="52163384">
            <w:pPr>
              <w:widowControl w:val="0"/>
              <w:numPr>
                <w:numId w:val="0"/>
              </w:numPr>
              <w:bidi w:val="0"/>
              <w:jc w:val="both"/>
              <w:rPr>
                <w:rFonts w:hint="default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巴拿马</w:t>
            </w:r>
          </w:p>
        </w:tc>
        <w:tc>
          <w:tcPr>
            <w:tcW w:w="2480" w:type="dxa"/>
          </w:tcPr>
          <w:p w14:paraId="50674A46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1. 转口用PCR</w:t>
            </w:r>
            <w:r>
              <w:rPr>
                <w:rFonts w:hint="default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(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185/65R15</w:t>
            </w:r>
            <w:r>
              <w:rPr>
                <w:rFonts w:hint="default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, 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205/55R16</w:t>
            </w:r>
            <w:r>
              <w:rPr>
                <w:rFonts w:hint="default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/>
              </w:rPr>
              <w:t>)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需求占比 55%，主要流向巴西、秘鲁；</w:t>
            </w:r>
          </w:p>
          <w:p w14:paraId="7D76691F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2. 本地物流TBR</w:t>
            </w:r>
            <w:r>
              <w:rPr>
                <w:rFonts w:hint="default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(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11R22.5</w:t>
            </w:r>
            <w:r>
              <w:rPr>
                <w:rFonts w:hint="default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/>
              </w:rPr>
              <w:t>)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需求年增14%；</w:t>
            </w:r>
          </w:p>
          <w:p w14:paraId="10972C63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3. 内胎/垫带配套需求占转口订单的65%</w:t>
            </w:r>
          </w:p>
        </w:tc>
        <w:tc>
          <w:tcPr>
            <w:tcW w:w="2110" w:type="dxa"/>
          </w:tcPr>
          <w:p w14:paraId="56D82129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1. 玲珑等竞品现货储备集中于高端款，基础款库存缺口达 30%；</w:t>
            </w:r>
          </w:p>
          <w:p w14:paraId="6ABFBAC8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2. 转口贸易商需快速切换目标市场，单一认证产品流通受限；</w:t>
            </w:r>
          </w:p>
          <w:p w14:paraId="5967E143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3. 清关税号归类错误易导致成本增加（税率或从 5% 升至 20%）</w:t>
            </w:r>
          </w:p>
        </w:tc>
        <w:tc>
          <w:tcPr>
            <w:tcW w:w="1730" w:type="dxa"/>
          </w:tcPr>
          <w:p w14:paraId="5ADA3A29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需DOT认证或欧盟ECE法规，需提供FORM A原产地证书（享自贸协定红利）；科隆自贸区可免税存储再出口</w:t>
            </w:r>
          </w:p>
        </w:tc>
        <w:tc>
          <w:tcPr>
            <w:tcW w:w="1235" w:type="dxa"/>
          </w:tcPr>
          <w:p w14:paraId="6D1B9440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PCR/TBR基础款</w:t>
            </w:r>
          </w:p>
          <w:p w14:paraId="574F641C">
            <w:pPr>
              <w:widowControl w:val="0"/>
              <w:numPr>
                <w:numId w:val="0"/>
              </w:numPr>
              <w:bidi w:val="0"/>
              <w:jc w:val="both"/>
              <w:rPr>
                <w:rFonts w:hint="default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内胎/垫带套装</w:t>
            </w:r>
          </w:p>
        </w:tc>
      </w:tr>
      <w:tr w14:paraId="03426FC8">
        <w:tc>
          <w:tcPr>
            <w:tcW w:w="967" w:type="dxa"/>
          </w:tcPr>
          <w:p w14:paraId="4202172F">
            <w:pPr>
              <w:widowControl w:val="0"/>
              <w:numPr>
                <w:numId w:val="0"/>
              </w:numPr>
              <w:bidi w:val="0"/>
              <w:jc w:val="both"/>
              <w:rPr>
                <w:rFonts w:hint="default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委内瑞拉</w:t>
            </w:r>
          </w:p>
        </w:tc>
        <w:tc>
          <w:tcPr>
            <w:tcW w:w="2480" w:type="dxa"/>
          </w:tcPr>
          <w:p w14:paraId="7FFA8AD0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1. 替换用PCR（185/65R15、195/65R15）需求占比72%，适配老旧乘用车；</w:t>
            </w:r>
          </w:p>
          <w:p w14:paraId="0B1987B3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2. 石油运输TBR（275/80R22.5）需求年增16%；</w:t>
            </w:r>
          </w:p>
          <w:p w14:paraId="4B55C0AE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3. 热带气候适配型内胎需求占比58%</w:t>
            </w:r>
          </w:p>
        </w:tc>
        <w:tc>
          <w:tcPr>
            <w:tcW w:w="2110" w:type="dxa"/>
          </w:tcPr>
          <w:p w14:paraId="1CC6E0AC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1. 进口轮胎因外汇审批延迟，交期常超45天（期望30天内）；</w:t>
            </w:r>
          </w:p>
          <w:p w14:paraId="02927E0F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2. 多数供应商产品仅达DOT标准，未通过INLAC 347认证导致清关受阻；</w:t>
            </w:r>
          </w:p>
          <w:p w14:paraId="264D7111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3. 普通轮胎在28℃高温下易软化，磨耗周期缩短至6个月（期望9个月以上）</w:t>
            </w:r>
          </w:p>
        </w:tc>
        <w:tc>
          <w:tcPr>
            <w:tcW w:w="1730" w:type="dxa"/>
          </w:tcPr>
          <w:p w14:paraId="1E29DFF7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1. 强制SENCAMER认证，需同时符合DOT FMVSS No.13与INLAC 347:2018标准，胎侧需模压认证标识；</w:t>
            </w:r>
          </w:p>
          <w:p w14:paraId="2518895A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2. 需通过VUCEM电子系统申报，进口商需提前申请CACEX外汇额度；</w:t>
            </w:r>
          </w:p>
          <w:p w14:paraId="2BC7E76D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3. 标签需含西班牙语说明及"热带气候适用性"图标</w:t>
            </w:r>
          </w:p>
        </w:tc>
        <w:tc>
          <w:tcPr>
            <w:tcW w:w="1235" w:type="dxa"/>
          </w:tcPr>
          <w:p w14:paraId="70D7297F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PCR/TBR（热带适配款）</w:t>
            </w:r>
          </w:p>
          <w:p w14:paraId="40D63A51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丁基胶内胎</w:t>
            </w:r>
          </w:p>
        </w:tc>
      </w:tr>
    </w:tbl>
    <w:p w14:paraId="70AC8FD6">
      <w:pPr>
        <w:widowControl w:val="0"/>
        <w:numPr>
          <w:numId w:val="0"/>
        </w:numPr>
        <w:bidi w:val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</w:rPr>
      </w:pPr>
    </w:p>
    <w:p w14:paraId="14C370C2">
      <w:pPr>
        <w:widowControl w:val="0"/>
        <w:numPr>
          <w:numId w:val="0"/>
        </w:numPr>
        <w:bidi w:val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</w:rPr>
      </w:pPr>
      <w:r>
        <w:rPr>
          <w:rFonts w:hint="eastAsia" w:ascii="Kaiti SC Bold" w:hAnsi="Kaiti SC Bold" w:eastAsia="Kaiti SC Bold" w:cs="Kaiti SC Bold"/>
          <w:b/>
          <w:bCs/>
          <w:sz w:val="28"/>
          <w:szCs w:val="28"/>
        </w:rPr>
        <w:t>三、客户核心诉求及应对话术（</w:t>
      </w:r>
      <w:r>
        <w:rPr>
          <w:rFonts w:hint="eastAsia" w:ascii="Kaiti SC Bold" w:hAnsi="Kaiti SC Bold" w:eastAsia="Kaiti SC Bold" w:cs="Kaiti SC Bold"/>
          <w:b/>
          <w:bCs/>
          <w:sz w:val="28"/>
          <w:szCs w:val="28"/>
          <w:lang w:val="en-US" w:eastAsia="zh-CN"/>
        </w:rPr>
        <w:t xml:space="preserve">译文 </w:t>
      </w:r>
      <w:r>
        <w:rPr>
          <w:rFonts w:hint="eastAsia" w:ascii="Kaiti SC Bold" w:hAnsi="Kaiti SC Bold" w:eastAsia="Kaiti SC Bold" w:cs="Kaiti SC Bold"/>
          <w:b/>
          <w:bCs/>
          <w:sz w:val="28"/>
          <w:szCs w:val="28"/>
        </w:rPr>
        <w:t>+</w:t>
      </w:r>
      <w:r>
        <w:rPr>
          <w:rFonts w:hint="eastAsia" w:ascii="Kaiti SC Bold" w:hAnsi="Kaiti SC Bold" w:eastAsia="Kaiti SC Bold" w:cs="Kaiti SC Bold"/>
          <w:b/>
          <w:bCs/>
          <w:sz w:val="28"/>
          <w:szCs w:val="28"/>
          <w:lang w:val="en-US" w:eastAsia="zh-CN"/>
        </w:rPr>
        <w:t xml:space="preserve"> 话术</w:t>
      </w:r>
      <w:r>
        <w:rPr>
          <w:rFonts w:hint="eastAsia" w:ascii="Kaiti SC Bold" w:hAnsi="Kaiti SC Bold" w:eastAsia="Kaiti SC Bold" w:cs="Kaiti SC Bold"/>
          <w:b/>
          <w:bCs/>
          <w:sz w:val="28"/>
          <w:szCs w:val="28"/>
        </w:rPr>
        <w:t>导向）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17"/>
        <w:gridCol w:w="1790"/>
        <w:gridCol w:w="3484"/>
        <w:gridCol w:w="2131"/>
      </w:tblGrid>
      <w:tr w14:paraId="14ABC667">
        <w:tc>
          <w:tcPr>
            <w:tcW w:w="1117" w:type="dxa"/>
          </w:tcPr>
          <w:p w14:paraId="117B3CB5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sz w:val="22"/>
                <w:szCs w:val="22"/>
                <w:vertAlign w:val="baseline"/>
                <w:lang w:val="en-US" w:eastAsia="zh-CN"/>
              </w:rPr>
              <w:t>客户类型</w:t>
            </w:r>
          </w:p>
        </w:tc>
        <w:tc>
          <w:tcPr>
            <w:tcW w:w="1790" w:type="dxa"/>
          </w:tcPr>
          <w:p w14:paraId="51740231">
            <w:pPr>
              <w:widowControl w:val="0"/>
              <w:numPr>
                <w:numId w:val="0"/>
              </w:numPr>
              <w:bidi w:val="0"/>
              <w:jc w:val="both"/>
              <w:rPr>
                <w:rFonts w:hint="default" w:ascii="Kaiti SC Bold" w:hAnsi="Kaiti SC Bold" w:eastAsia="Kaiti SC Bold" w:cs="Kaiti SC Bold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sz w:val="22"/>
                <w:szCs w:val="22"/>
                <w:vertAlign w:val="baseline"/>
                <w:lang w:val="en-US" w:eastAsia="zh-CN"/>
              </w:rPr>
              <w:t>客户诉求（当地真实case）</w:t>
            </w:r>
          </w:p>
        </w:tc>
        <w:tc>
          <w:tcPr>
            <w:tcW w:w="3484" w:type="dxa"/>
          </w:tcPr>
          <w:p w14:paraId="3E42EF36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 Bold" w:hAnsi="Kaiti SC Bold" w:eastAsia="Kaiti SC Bold" w:cs="Kaiti SC Bold"/>
                <w:b/>
                <w:bCs/>
                <w:sz w:val="22"/>
                <w:szCs w:val="22"/>
                <w:vertAlign w:val="baseline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sz w:val="22"/>
                <w:szCs w:val="22"/>
                <w:vertAlign w:val="baseline"/>
              </w:rPr>
              <w:t>应对话术</w:t>
            </w:r>
          </w:p>
        </w:tc>
        <w:tc>
          <w:tcPr>
            <w:tcW w:w="2131" w:type="dxa"/>
          </w:tcPr>
          <w:p w14:paraId="5FA3F9D4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 Bold" w:hAnsi="Kaiti SC Bold" w:eastAsia="Kaiti SC Bold" w:cs="Kaiti SC Bold"/>
                <w:b/>
                <w:bCs/>
                <w:sz w:val="22"/>
                <w:szCs w:val="22"/>
                <w:vertAlign w:val="baseline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sz w:val="22"/>
                <w:szCs w:val="22"/>
                <w:vertAlign w:val="baseline"/>
              </w:rPr>
              <w:t>核心逻辑（贴合大轮优势）</w:t>
            </w:r>
          </w:p>
        </w:tc>
      </w:tr>
      <w:tr w14:paraId="3ECABC9A">
        <w:tc>
          <w:tcPr>
            <w:tcW w:w="1117" w:type="dxa"/>
          </w:tcPr>
          <w:p w14:paraId="55BD10B6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巴西汽配批发商</w:t>
            </w:r>
          </w:p>
        </w:tc>
        <w:tc>
          <w:tcPr>
            <w:tcW w:w="1790" w:type="dxa"/>
          </w:tcPr>
          <w:p w14:paraId="2B37FDB5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“本地PCR寿命才8个月，你们的基础款能用到12个月以上吗？价格还比本地贵8美元，值在哪？”</w:t>
            </w:r>
          </w:p>
        </w:tc>
        <w:tc>
          <w:tcPr>
            <w:tcW w:w="3484" w:type="dxa"/>
          </w:tcPr>
          <w:p w14:paraId="4918BD69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英文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：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"Our Lionload PCR uses 100% Thai RSS3 natural rubber (no reclaimed rubber) and 12mm thick tread rubber—service life is over 15 months (50% longer than local brands). Though $8 more, the cost per month is lower.</w:t>
            </w:r>
          </w:p>
          <w:p w14:paraId="4103811D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西语："Nuestro PCR Lionload usa caucho natural Thai RSS3 100% (sin caucho reciclado) y caucho de rodadura de 12mm de grosor—vida útil superior a 15 meses (50% más larga que las marcas locales). Aunque cuesta $8 más, el costo por mes es menor."</w:t>
            </w:r>
          </w:p>
        </w:tc>
        <w:tc>
          <w:tcPr>
            <w:tcW w:w="2131" w:type="dxa"/>
          </w:tcPr>
          <w:p w14:paraId="03C69A6A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针对“寿命短”痛点，强调基础款“高纯度天然橡胶+厚胎面”，用“月均成本更低”回应价格顾虑</w:t>
            </w:r>
          </w:p>
        </w:tc>
      </w:tr>
      <w:tr w14:paraId="4E0F5DEC">
        <w:tc>
          <w:tcPr>
            <w:tcW w:w="1117" w:type="dxa"/>
          </w:tcPr>
          <w:p w14:paraId="24A5E879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阿根廷农业运输公司</w:t>
            </w:r>
          </w:p>
        </w:tc>
        <w:tc>
          <w:tcPr>
            <w:tcW w:w="1790" w:type="dxa"/>
          </w:tcPr>
          <w:p w14:paraId="19B34DF3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“二手胎禁了后，我们找不到足量TBR，你们能保证供货吗？清关能快点吗？”</w:t>
            </w:r>
          </w:p>
        </w:tc>
        <w:tc>
          <w:tcPr>
            <w:tcW w:w="3484" w:type="dxa"/>
          </w:tcPr>
          <w:p w14:paraId="2839721D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英文："We have 3,000 units of Lionline TBR (11R22.5) in Panama warehouse—can ship within 3 days. We cooperate with local customs brokers, so clearance takes only 8-10 days (faster than your expectation).</w:t>
            </w:r>
          </w:p>
          <w:p w14:paraId="5760E4E3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西语："Tenemos 3.000 unidades de TBR Lionline (11R22.5) en el almacén de Panamá—podemos enviar dentro de 3 días. Cooperamos con corredores aduanales locales, por lo que la declaración aduanal tarda solo 8-10 días (más rápido que esperabas)."</w:t>
            </w:r>
          </w:p>
        </w:tc>
        <w:tc>
          <w:tcPr>
            <w:tcW w:w="2131" w:type="dxa"/>
          </w:tcPr>
          <w:p w14:paraId="0B280920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针对 “供给缺口 + 清关慢” 痛点，用 “巴拿马现货 + 本地清关合作” 保障供货与时效</w:t>
            </w:r>
          </w:p>
        </w:tc>
      </w:tr>
      <w:tr w14:paraId="463DEFA5">
        <w:tc>
          <w:tcPr>
            <w:tcW w:w="1117" w:type="dxa"/>
          </w:tcPr>
          <w:p w14:paraId="3273A717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墨西哥新能源车企</w:t>
            </w:r>
          </w:p>
        </w:tc>
        <w:tc>
          <w:tcPr>
            <w:tcW w:w="1790" w:type="dxa"/>
          </w:tcPr>
          <w:p w14:paraId="539D7D79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“我们需要低滚阻PCR，但米其林要110美元，你们的基础款能控制在90美元内吗？性能达标吗？”</w:t>
            </w:r>
          </w:p>
        </w:tc>
        <w:tc>
          <w:tcPr>
            <w:tcW w:w="3484" w:type="dxa"/>
          </w:tcPr>
          <w:p w14:paraId="00C3A79C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英文："Our Lionload PCR uses 30% silica compound (low rolling resistance, EU Class B) and costs only $88—30% cheaper than Michelin. We can provide SGS test reports to prove performance.</w:t>
            </w:r>
          </w:p>
          <w:p w14:paraId="0C537F80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西语："Nuestro PCR Lionload usa mezcla de sílice 30% (baja resistencia a la rodadura, Clase B de la UE) y cuesta solo $88—30% menos que Michelin. Podemos proporcionar informes de prueba de SGS para probar el rendimiento."</w:t>
            </w:r>
          </w:p>
        </w:tc>
        <w:tc>
          <w:tcPr>
            <w:tcW w:w="2131" w:type="dxa"/>
          </w:tcPr>
          <w:p w14:paraId="664E5E14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针对 “高价格 + 性能顾虑” 痛点，用 “含硅配方降滚阻 + 低价 + 第三方检测” 满足需求</w:t>
            </w:r>
          </w:p>
        </w:tc>
      </w:tr>
      <w:tr w14:paraId="3769AF84">
        <w:tc>
          <w:tcPr>
            <w:tcW w:w="1117" w:type="dxa"/>
          </w:tcPr>
          <w:p w14:paraId="026E2563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智利货运合作社</w:t>
            </w:r>
          </w:p>
        </w:tc>
        <w:tc>
          <w:tcPr>
            <w:tcW w:w="1790" w:type="dxa"/>
          </w:tcPr>
          <w:p w14:paraId="5DDA70F9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“我们的TBR在山路跑3个月胎肩就磨平了，你们的能用到6个月吗？售后出问题能快点解决吗？”</w:t>
            </w:r>
          </w:p>
        </w:tc>
        <w:tc>
          <w:tcPr>
            <w:tcW w:w="3484" w:type="dxa"/>
          </w:tcPr>
          <w:p w14:paraId="2951F758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英文："Our Lionload TBR’s shoulder has 65A reinforced rubber and 2 extra steel belts—wear life is over 6 months on mountain roads. We have a Spanish-speaking after-sales team—solve issues within 48 hours.</w:t>
            </w:r>
          </w:p>
          <w:p w14:paraId="18F3928F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西语："El hombro de nuestro TBR Lionload tiene caucho reforzado 65A y 2 correas de acero extra—vida útil de desgaste superior a 6 meses en carreteras de montaña. Tenemos un equipo de posventa que habla español—resuelve problemas en 48 horas."</w:t>
            </w:r>
          </w:p>
        </w:tc>
        <w:tc>
          <w:tcPr>
            <w:tcW w:w="2131" w:type="dxa"/>
          </w:tcPr>
          <w:p w14:paraId="3304A820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针对 “胎肩磨损快 + 售后慢” 痛点，用 “胎肩强化设计 + 西语售后团队” 回应</w:t>
            </w:r>
          </w:p>
        </w:tc>
      </w:tr>
      <w:tr w14:paraId="1DF1DD25">
        <w:tc>
          <w:tcPr>
            <w:tcW w:w="1117" w:type="dxa"/>
          </w:tcPr>
          <w:p w14:paraId="45740F48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秘鲁基建五金店</w:t>
            </w:r>
          </w:p>
        </w:tc>
        <w:tc>
          <w:tcPr>
            <w:tcW w:w="1790" w:type="dxa"/>
          </w:tcPr>
          <w:p w14:paraId="5B1FEEB7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“我们要PCR和TBR现货，交期超15天就没法合作，你们能保证吗？标签能做西班牙语吗？”</w:t>
            </w:r>
          </w:p>
        </w:tc>
        <w:tc>
          <w:tcPr>
            <w:tcW w:w="3484" w:type="dxa"/>
          </w:tcPr>
          <w:p w14:paraId="143F9454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英文："We stock 5,000 units of Lionline PCR (195/65R15) and 2,000 units of TBR (11R22.5) in Panama—total delivery time 10-12 days. All products have Spanish labels (including specifications and warnings).</w:t>
            </w:r>
          </w:p>
          <w:p w14:paraId="41E17847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西语："Tenemos en stock 5.000 unidades de PCR Lionline (195/65R15) y 2.000 unidades de TBR (11R22.5) en Panamá—tiempo total de entrega 10-12 días. Todos los productos tienen etiquetas en español (incluyendo especificaciones y advertencias)."</w:t>
            </w:r>
          </w:p>
        </w:tc>
        <w:tc>
          <w:tcPr>
            <w:tcW w:w="2131" w:type="dxa"/>
          </w:tcPr>
          <w:p w14:paraId="1BB73700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针对 “无现货 + 标签语言” 痛点，用 “巴拿马库存 + 西班牙语标签” 解决</w:t>
            </w:r>
          </w:p>
        </w:tc>
      </w:tr>
      <w:tr w14:paraId="504F4E30">
        <w:tc>
          <w:tcPr>
            <w:tcW w:w="1117" w:type="dxa"/>
          </w:tcPr>
          <w:p w14:paraId="755611E9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厄瓜多尔石油运输公司</w:t>
            </w:r>
          </w:p>
        </w:tc>
        <w:tc>
          <w:tcPr>
            <w:tcW w:w="1790" w:type="dxa"/>
          </w:tcPr>
          <w:p w14:paraId="68FF50DC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“我们的TBR在运输中总爆胎，你们的基础款抗爆性怎么样？内胎漏气也频繁，能改进吗？”</w:t>
            </w:r>
          </w:p>
        </w:tc>
        <w:tc>
          <w:tcPr>
            <w:tcW w:w="3484" w:type="dxa"/>
          </w:tcPr>
          <w:p w14:paraId="0915C2E3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英文："Our Lionload TBR has 8-ply carcass and high-carbon steel cords (tensile strength ≥1800MPa)—blowout rate ≤0.5%. Lionline inner tube is 100% butyl rubber—air retention rate 95% after 7 days.</w:t>
            </w:r>
          </w:p>
          <w:p w14:paraId="2954236F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西语："Nuestro TBR Lionload tiene carcasa de 8 capas y cordones de acero de alto carbono (resistencia a la tracción≥1800MPa)—tasa de pinchazos≤0.5%. La cámara interior Lionline es caucho butílico 100%—tasa de retención de aire 95% después de 7 días."</w:t>
            </w:r>
          </w:p>
        </w:tc>
        <w:tc>
          <w:tcPr>
            <w:tcW w:w="2131" w:type="dxa"/>
          </w:tcPr>
          <w:p w14:paraId="7AA91965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针对 “爆胎率高 + 内胎漏气” 痛点，用 “8层胎体 + 100% 丁基胶内胎” 强化质量</w:t>
            </w:r>
          </w:p>
        </w:tc>
      </w:tr>
      <w:tr w14:paraId="748511B8">
        <w:tc>
          <w:tcPr>
            <w:tcW w:w="1117" w:type="dxa"/>
          </w:tcPr>
          <w:p w14:paraId="64AFBFD1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玻利维亚农场主</w:t>
            </w:r>
          </w:p>
        </w:tc>
        <w:tc>
          <w:tcPr>
            <w:tcW w:w="1790" w:type="dxa"/>
          </w:tcPr>
          <w:p w14:paraId="69C4E886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“农田石头多，普通PCR压到就破，你们的能扛住吗？预算有限，单价能控制在6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0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美元内吗？”</w:t>
            </w:r>
          </w:p>
        </w:tc>
        <w:tc>
          <w:tcPr>
            <w:tcW w:w="3484" w:type="dxa"/>
          </w:tcPr>
          <w:p w14:paraId="5E33890C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英文："Our Lionline PCR has 5mm thick sidewall (anti-tear styrene-butadiene rubber)—no cracks when pressing 5cm stones. The price is $58 per unit—fits your budget.</w:t>
            </w:r>
          </w:p>
          <w:p w14:paraId="30CEF5B8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西语："Nuestro PCR Lionline tiene pared lateral de 5mm de grosor (caucho estireno-butadieno anti-rotura)—sin grietas al presionar piedras de 5cm. El precio es $58 por unidad—se adapta a tu presupuesto."</w:t>
            </w:r>
          </w:p>
        </w:tc>
        <w:tc>
          <w:tcPr>
            <w:tcW w:w="2131" w:type="dxa"/>
          </w:tcPr>
          <w:p w14:paraId="5BE10176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针对 “胎体易破 + 预算有限” 痛点，用 “厚胎侧抗撕裂 + 低价” 匹配需求</w:t>
            </w:r>
          </w:p>
        </w:tc>
      </w:tr>
      <w:tr w14:paraId="79A65168">
        <w:tc>
          <w:tcPr>
            <w:tcW w:w="1117" w:type="dxa"/>
          </w:tcPr>
          <w:p w14:paraId="4C31CDDA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乌拉圭汽修连锁店</w:t>
            </w:r>
          </w:p>
        </w:tc>
        <w:tc>
          <w:tcPr>
            <w:tcW w:w="1790" w:type="dxa"/>
          </w:tcPr>
          <w:p w14:paraId="4279B07C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“客户车龄老，需要寿命超18个月的PCR，你们的能做到吗？垫带用3个月就裂，有耐用的吗？”</w:t>
            </w:r>
          </w:p>
        </w:tc>
        <w:tc>
          <w:tcPr>
            <w:tcW w:w="3484" w:type="dxa"/>
          </w:tcPr>
          <w:p w14:paraId="7C9B3923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 xml:space="preserve">英文："Our Lionload PCR has wear index 420—service life over 20 months. Lionline 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/>
              </w:rPr>
              <w:t>Cushion Belt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垫带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 xml:space="preserve"> uses EPDM rubber—ozone resistance test ≥500h (no cracking within 1 year).</w:t>
            </w:r>
          </w:p>
          <w:p w14:paraId="551A0B9B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西语："Nuestro PCR Lionload tiene índice de desgaste 420—vida útil superior a 20 meses. La goma de apoyo Lionline usa caucho EPDM—prueba de resistencia al ozono ≥500h (sin grietas en 1 año)."</w:t>
            </w:r>
          </w:p>
        </w:tc>
        <w:tc>
          <w:tcPr>
            <w:tcW w:w="2131" w:type="dxa"/>
          </w:tcPr>
          <w:p w14:paraId="6ECD4D11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针对 “寿命短 + 垫带老化” 痛点，用 “高耐磨指数 + EPDM 耐老化垫带” 回应</w:t>
            </w:r>
          </w:p>
        </w:tc>
      </w:tr>
      <w:tr w14:paraId="31F30A89">
        <w:tc>
          <w:tcPr>
            <w:tcW w:w="1117" w:type="dxa"/>
          </w:tcPr>
          <w:p w14:paraId="3E51AD82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巴拉圭转口贸易商</w:t>
            </w:r>
          </w:p>
        </w:tc>
        <w:tc>
          <w:tcPr>
            <w:tcW w:w="1790" w:type="dxa"/>
          </w:tcPr>
          <w:p w14:paraId="60055F21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“我们要转口巴西和阿根廷，需要INMETRO和MERCOSUR双重认证，你们的TBR有吗？能降点价吗？”</w:t>
            </w:r>
          </w:p>
        </w:tc>
        <w:tc>
          <w:tcPr>
            <w:tcW w:w="3484" w:type="dxa"/>
          </w:tcPr>
          <w:p w14:paraId="38AACEDD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英文："All Lionload TBR models have INMETRO and MERCOSUR certifications</w:t>
            </w:r>
            <w:r>
              <w:rPr>
                <w:rFonts w:hint="default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(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cert No.: INM-2025-TY-0876, MER-2025-0321). For bulk orders over 1,000 units, we offer 3% price discount.</w:t>
            </w:r>
          </w:p>
          <w:p w14:paraId="167F0A29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西语："Todos los modelos de TBR Lionload tienen certificaciones INMETRO y MERCOSUR (nº de cert: INM-2025-TY-0876, MER-2025-0321). Para pedidos al por mayor superiores a 1.000 unidades, ofrecemos un descuento de precio del 3%."</w:t>
            </w:r>
          </w:p>
        </w:tc>
        <w:tc>
          <w:tcPr>
            <w:tcW w:w="2131" w:type="dxa"/>
          </w:tcPr>
          <w:p w14:paraId="42F4546F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针对 “双重认证 + 降价” 需求，用 “双认证齐全 + 批量折扣” 促成合作</w:t>
            </w:r>
          </w:p>
        </w:tc>
      </w:tr>
      <w:tr w14:paraId="5F6959CA">
        <w:tc>
          <w:tcPr>
            <w:tcW w:w="1117" w:type="dxa"/>
          </w:tcPr>
          <w:p w14:paraId="1F1ADADC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哥伦比亚小型运输公司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ab/>
            </w:r>
          </w:p>
        </w:tc>
        <w:tc>
          <w:tcPr>
            <w:tcW w:w="1790" w:type="dxa"/>
          </w:tcPr>
          <w:p w14:paraId="6FE0EB25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“我们预算有限，TBR单价想控制在280美元内，又怕质量差，你们的基础款怎么保证？”</w:t>
            </w:r>
          </w:p>
        </w:tc>
        <w:tc>
          <w:tcPr>
            <w:tcW w:w="3484" w:type="dxa"/>
          </w:tcPr>
          <w:p w14:paraId="01BA7379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英文："Our Lionload TBR is $275 per unit (under your budget) and uses the same high-carbon steel cords as Linglong. Tread wear index 420—meets mid-range industry standards. No quality cuts.</w:t>
            </w:r>
          </w:p>
          <w:p w14:paraId="6A3F0F94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西语："Nuestro TBR Lionload cuesta $275 por unidad (bajo tu presupuesto) y usa los mismos cordones de acero de alto carbono que Linglong. Índice de desgaste de la rodadura 420—cumple con estándares de la industria de rango medio. Sin recortes de calidad."</w:t>
            </w:r>
          </w:p>
        </w:tc>
        <w:tc>
          <w:tcPr>
            <w:tcW w:w="2131" w:type="dxa"/>
          </w:tcPr>
          <w:p w14:paraId="220FE3F2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针对 “低价 + 质量顾虑” 痛点，用 “低于预算 + 对标竞品材质” 保障信任</w:t>
            </w:r>
          </w:p>
        </w:tc>
      </w:tr>
      <w:tr w14:paraId="002A82CF">
        <w:tc>
          <w:tcPr>
            <w:tcW w:w="1117" w:type="dxa"/>
          </w:tcPr>
          <w:p w14:paraId="2C2889B9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哥斯达黎加旅游租车公司</w:t>
            </w:r>
          </w:p>
        </w:tc>
        <w:tc>
          <w:tcPr>
            <w:tcW w:w="1790" w:type="dxa"/>
          </w:tcPr>
          <w:p w14:paraId="08A63923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“我们的租车fleet每月要换50条PCR，你们的基础款能保证耐磨且价格合适吗？”</w:t>
            </w:r>
          </w:p>
        </w:tc>
        <w:tc>
          <w:tcPr>
            <w:tcW w:w="3484" w:type="dxa"/>
          </w:tcPr>
          <w:p w14:paraId="2A2AC11B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英文："Our Lionline PCR has a wear index of 420 (meets industry mid-range standard) and uses 100% Thai natural rubber. For rental fleets, we offer a bulk price: $72 per unit for orders over 500 units/month (12% lower than local distributors). We also provide free tire pressure check tools to extend service life.</w:t>
            </w:r>
          </w:p>
          <w:p w14:paraId="5BF96139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西语："Nuestro PCR Lionline tiene un índice de desgaste de 420 (cumple con el estándar de rango medio de la industria) y usa caucho natural tailandés 100%. Para flotas de alquiler, ofrecemos un precio por volumen: $72 por unidad para pedidos superiores a 500 unidades/mes (12% menos que los distribuidores locales). También proporcionamos herramientas gratuitas para verificar la presión de los neumáticos para extender la vida útil."</w:t>
            </w:r>
          </w:p>
        </w:tc>
        <w:tc>
          <w:tcPr>
            <w:tcW w:w="2131" w:type="dxa"/>
          </w:tcPr>
          <w:p w14:paraId="1584C813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针对旅游租车高频替换需求，强调基础款 “耐磨指数 + 批量价格优势”，附加实用工具提升合作吸引力</w:t>
            </w:r>
          </w:p>
        </w:tc>
      </w:tr>
      <w:tr w14:paraId="06F82B79">
        <w:tc>
          <w:tcPr>
            <w:tcW w:w="1117" w:type="dxa"/>
          </w:tcPr>
          <w:p w14:paraId="364AC8B0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巴拿马转口贸易商</w:t>
            </w:r>
          </w:p>
        </w:tc>
        <w:tc>
          <w:tcPr>
            <w:tcW w:w="1790" w:type="dxa"/>
          </w:tcPr>
          <w:p w14:paraId="391BF4C5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“我们想拓展委内瑞拉转口业务，但那边认证要求复杂，你们的轮胎能符合SENCAMER标准吗？清关文件能协助准备吗？”</w:t>
            </w:r>
          </w:p>
        </w:tc>
        <w:tc>
          <w:tcPr>
            <w:tcW w:w="3484" w:type="dxa"/>
          </w:tcPr>
          <w:p w14:paraId="64BFFC38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英文："Our Lionload PCR/TBR have passed both DOT and INLAC 347:2018 tests, with SENCAMER certification (Reg. No.: SEN-2025-TY-0418). We provide full document package—e-COO, lab reports and Spanish labels, which fits VUCEM system requirements.</w:t>
            </w:r>
          </w:p>
          <w:p w14:paraId="2BD9B99F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西语："Nuestros PCR/TBR Lionload han aprobado las pruebas DOT e INLAC 347:2018, con certificación SENCAMER (Nº de Registro: SEN-2025-TY-0418). Proporcionamos un paquete completo de documentos: e-COO, informes de laboratorio y etiquetas en español, que cumple con los requisitos del sistema VUCEM."</w:t>
            </w:r>
          </w:p>
        </w:tc>
        <w:tc>
          <w:tcPr>
            <w:tcW w:w="2131" w:type="dxa"/>
          </w:tcPr>
          <w:p w14:paraId="2399933E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针对 “认证复杂 + 文件繁琐” 痛点，用 “双标认证齐全 + 全套文件支持” 适配委内瑞拉市场准入，强化转口竞争力</w:t>
            </w:r>
          </w:p>
        </w:tc>
      </w:tr>
      <w:tr w14:paraId="730FEDB9">
        <w:tc>
          <w:tcPr>
            <w:tcW w:w="1117" w:type="dxa"/>
          </w:tcPr>
          <w:p w14:paraId="52C55FCD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巴拿马本地零售商</w:t>
            </w:r>
          </w:p>
        </w:tc>
        <w:tc>
          <w:tcPr>
            <w:tcW w:w="1790" w:type="dxa"/>
          </w:tcPr>
          <w:p w14:paraId="40619573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“我们的客户经常问轮胎是否适配南美多路况，你们能提供具体测试数据吗？补货能保证时效吗？”</w:t>
            </w:r>
          </w:p>
        </w:tc>
        <w:tc>
          <w:tcPr>
            <w:tcW w:w="3484" w:type="dxa"/>
          </w:tcPr>
          <w:p w14:paraId="7F43BF59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英文："Our Lionload TBR passed 120km/h high-speed test (meets INLAC standard) and 500km mountain road wear test—wear index 420. We have 5,000 units in Colon warehouse, and can replenish within 3 days after order.</w:t>
            </w:r>
          </w:p>
          <w:p w14:paraId="0A0D6F9B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西语："Nuestro TBR Lionload aprobó la prueba de alta velocidad de 120km/h (cumple con el estándar INLAC) y la prueba de desgaste en carreteras de montaña de 500km—índice de desgaste 420. Tenemos 5.000 unidades en el almacén de Colón y podemos reabastecer dentro de 3 días después del pedido."</w:t>
            </w:r>
          </w:p>
        </w:tc>
        <w:tc>
          <w:tcPr>
            <w:tcW w:w="2131" w:type="dxa"/>
          </w:tcPr>
          <w:p w14:paraId="0F269321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针对 “性能顾虑 + 补货时效” 痛点，用 “多路况测试数据 + 本地库存” 建立信任，贴合零售端需求</w:t>
            </w:r>
          </w:p>
        </w:tc>
      </w:tr>
      <w:tr w14:paraId="7AE11FFC">
        <w:tc>
          <w:tcPr>
            <w:tcW w:w="1117" w:type="dxa"/>
          </w:tcPr>
          <w:p w14:paraId="4D205218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委内瑞拉汽配批发商</w:t>
            </w:r>
          </w:p>
        </w:tc>
        <w:tc>
          <w:tcPr>
            <w:tcW w:w="1790" w:type="dxa"/>
          </w:tcPr>
          <w:p w14:paraId="761B6856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“外汇审批要 20 天，你们能缩短交货周期吗？轮胎在高温下容易坏，质量有保障吗？”</w:t>
            </w:r>
          </w:p>
        </w:tc>
        <w:tc>
          <w:tcPr>
            <w:tcW w:w="3484" w:type="dxa"/>
          </w:tcPr>
          <w:p w14:paraId="0E95EB11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英文："We stock 3,000 units of Lionload PCR/TBR in Panama—can ship immediately after your CACEX approval, cutting total lead time to 25-30 days. Our tires use high-temperature resistant rubber compound, with tropical climate certification—wear life over 9 months in 28℃ environment.</w:t>
            </w:r>
          </w:p>
          <w:p w14:paraId="3E066C6A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西语："Tenemos 3.000 unidades de PCR/TBR Lionload en Panamá—podemos enviar inmediatamente después de su aprobación CACEX, reduciendo el plazo total de entrega a 25-30 días. Nuestros neumáticos usan mezcla de caucho resistente a altas temperaturas, con certificación para clima tropical—vida útil de desgaste superior a 9 meses en entorno de 28℃."</w:t>
            </w:r>
          </w:p>
        </w:tc>
        <w:tc>
          <w:tcPr>
            <w:tcW w:w="2131" w:type="dxa"/>
          </w:tcPr>
          <w:p w14:paraId="51F37A4C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2"/>
                <w:szCs w:val="22"/>
                <w:vertAlign w:val="baseline"/>
              </w:rPr>
              <w:t>针对 “交期长 + 高温耐用性” 痛点，用 “巴拿马现货 + 耐高温配方” 双重保障，适配本地气候与贸易环境</w:t>
            </w:r>
          </w:p>
        </w:tc>
      </w:tr>
    </w:tbl>
    <w:p w14:paraId="63DAC611">
      <w:pPr>
        <w:widowControl w:val="0"/>
        <w:numPr>
          <w:numId w:val="0"/>
        </w:numPr>
        <w:bidi w:val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</w:rPr>
      </w:pPr>
    </w:p>
    <w:p w14:paraId="6BB9632A">
      <w:pPr>
        <w:widowControl w:val="0"/>
        <w:numPr>
          <w:ilvl w:val="0"/>
          <w:numId w:val="0"/>
        </w:numPr>
        <w:bidi w:val="0"/>
        <w:jc w:val="both"/>
        <w:rPr>
          <w:rFonts w:hint="default" w:ascii="Kaiti SC Bold" w:hAnsi="Kaiti SC Bold" w:eastAsia="Kaiti SC Bold" w:cs="Kaiti SC Bold"/>
          <w:b/>
          <w:bCs/>
          <w:sz w:val="28"/>
          <w:szCs w:val="28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8"/>
          <w:szCs w:val="28"/>
        </w:rPr>
        <w:t>四、南美市场竞品对标矩阵</w:t>
      </w:r>
      <w:r>
        <w:rPr>
          <w:rFonts w:hint="eastAsia" w:ascii="Kaiti SC Bold" w:hAnsi="Kaiti SC Bold" w:eastAsia="Kaiti SC Bold" w:cs="Kaiti SC Bold"/>
          <w:b/>
          <w:bCs/>
          <w:sz w:val="28"/>
          <w:szCs w:val="28"/>
          <w:lang w:eastAsia="zh-CN"/>
        </w:rPr>
        <w:t>（</w:t>
      </w:r>
      <w:r>
        <w:rPr>
          <w:rFonts w:hint="eastAsia" w:ascii="Kaiti SC Bold" w:hAnsi="Kaiti SC Bold" w:eastAsia="Kaiti SC Bold" w:cs="Kaiti SC Bold"/>
          <w:b/>
          <w:bCs/>
          <w:sz w:val="28"/>
          <w:szCs w:val="28"/>
          <w:lang w:val="en-US" w:eastAsia="zh-CN"/>
        </w:rPr>
        <w:t>2025.10）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59"/>
        <w:gridCol w:w="737"/>
        <w:gridCol w:w="1820"/>
        <w:gridCol w:w="661"/>
        <w:gridCol w:w="469"/>
        <w:gridCol w:w="500"/>
        <w:gridCol w:w="1471"/>
        <w:gridCol w:w="1259"/>
        <w:gridCol w:w="1246"/>
      </w:tblGrid>
      <w:tr w14:paraId="60CE5429">
        <w:tc>
          <w:tcPr>
            <w:tcW w:w="359" w:type="dxa"/>
          </w:tcPr>
          <w:p w14:paraId="13C50C08">
            <w:pPr>
              <w:widowControl w:val="0"/>
              <w:numPr>
                <w:numId w:val="0"/>
              </w:numPr>
              <w:bidi w:val="0"/>
              <w:jc w:val="both"/>
              <w:rPr>
                <w:rFonts w:hint="default" w:ascii="Kaiti SC Bold" w:hAnsi="Kaiti SC Bold" w:eastAsia="Kaiti SC Bold" w:cs="Kaiti SC Bold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sz w:val="21"/>
                <w:szCs w:val="21"/>
                <w:vertAlign w:val="baseline"/>
                <w:lang w:val="en-US" w:eastAsia="zh-CN"/>
              </w:rPr>
              <w:t>竞品类型</w:t>
            </w:r>
          </w:p>
        </w:tc>
        <w:tc>
          <w:tcPr>
            <w:tcW w:w="737" w:type="dxa"/>
          </w:tcPr>
          <w:p w14:paraId="410D4733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 Bold" w:hAnsi="Kaiti SC Bold" w:eastAsia="Kaiti SC Bold" w:cs="Kaiti SC Bold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sz w:val="21"/>
                <w:szCs w:val="21"/>
                <w:vertAlign w:val="baseline"/>
                <w:lang w:val="en-US" w:eastAsia="zh-CN"/>
              </w:rPr>
              <w:t>品牌</w:t>
            </w:r>
          </w:p>
        </w:tc>
        <w:tc>
          <w:tcPr>
            <w:tcW w:w="1820" w:type="dxa"/>
          </w:tcPr>
          <w:p w14:paraId="5BDB6735">
            <w:pPr>
              <w:widowControl w:val="0"/>
              <w:numPr>
                <w:numId w:val="0"/>
              </w:numPr>
              <w:bidi w:val="0"/>
              <w:jc w:val="both"/>
              <w:rPr>
                <w:rFonts w:hint="default" w:ascii="Kaiti SC Bold" w:hAnsi="Kaiti SC Bold" w:eastAsia="Kaiti SC Bold" w:cs="Kaiti SC Bold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sz w:val="21"/>
                <w:szCs w:val="21"/>
                <w:vertAlign w:val="baseline"/>
                <w:lang w:val="en-US" w:eastAsia="zh-CN"/>
              </w:rPr>
              <w:t>核心产品</w:t>
            </w:r>
          </w:p>
        </w:tc>
        <w:tc>
          <w:tcPr>
            <w:tcW w:w="661" w:type="dxa"/>
          </w:tcPr>
          <w:p w14:paraId="775B347A">
            <w:pPr>
              <w:widowControl w:val="0"/>
              <w:numPr>
                <w:numId w:val="0"/>
              </w:numPr>
              <w:bidi w:val="0"/>
              <w:jc w:val="both"/>
              <w:rPr>
                <w:rFonts w:hint="default" w:ascii="Kaiti SC Bold" w:hAnsi="Kaiti SC Bold" w:eastAsia="Kaiti SC Bold" w:cs="Kaiti SC Bold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sz w:val="21"/>
                <w:szCs w:val="21"/>
                <w:vertAlign w:val="baseline"/>
                <w:lang w:val="en-US" w:eastAsia="zh-CN"/>
              </w:rPr>
              <w:t>价格</w:t>
            </w:r>
            <w:r>
              <w:rPr>
                <w:rFonts w:hint="default" w:ascii="Kaiti SC Bold" w:hAnsi="Kaiti SC Bold" w:eastAsia="Kaiti SC Bold" w:cs="Kaiti SC Bold"/>
                <w:b/>
                <w:bCs/>
                <w:sz w:val="21"/>
                <w:szCs w:val="21"/>
                <w:vertAlign w:val="baseline"/>
                <w:lang w:val="en-US" w:eastAsia="zh-CN"/>
              </w:rPr>
              <w:t>$</w:t>
            </w:r>
          </w:p>
        </w:tc>
        <w:tc>
          <w:tcPr>
            <w:tcW w:w="469" w:type="dxa"/>
          </w:tcPr>
          <w:p w14:paraId="655D39BC">
            <w:pPr>
              <w:widowControl w:val="0"/>
              <w:numPr>
                <w:numId w:val="0"/>
              </w:numPr>
              <w:bidi w:val="0"/>
              <w:jc w:val="both"/>
              <w:rPr>
                <w:rFonts w:hint="default" w:ascii="Kaiti SC Bold" w:hAnsi="Kaiti SC Bold" w:eastAsia="Kaiti SC Bold" w:cs="Kaiti SC Bold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sz w:val="21"/>
                <w:szCs w:val="21"/>
                <w:vertAlign w:val="baseline"/>
                <w:lang w:val="en-US" w:eastAsia="zh-CN"/>
              </w:rPr>
              <w:t>交期</w:t>
            </w:r>
            <w:r>
              <w:rPr>
                <w:rFonts w:hint="default" w:ascii="Kaiti SC Bold" w:hAnsi="Kaiti SC Bold" w:eastAsia="Kaiti SC Bold" w:cs="Kaiti SC Bold"/>
                <w:b/>
                <w:bCs/>
                <w:sz w:val="21"/>
                <w:szCs w:val="21"/>
                <w:vertAlign w:val="baseline"/>
                <w:lang w:val="en-US" w:eastAsia="zh-CN"/>
              </w:rPr>
              <w:t>/d</w:t>
            </w:r>
          </w:p>
        </w:tc>
        <w:tc>
          <w:tcPr>
            <w:tcW w:w="500" w:type="dxa"/>
          </w:tcPr>
          <w:p w14:paraId="45065F87">
            <w:pPr>
              <w:widowControl w:val="0"/>
              <w:numPr>
                <w:numId w:val="0"/>
              </w:numPr>
              <w:bidi w:val="0"/>
              <w:jc w:val="both"/>
              <w:rPr>
                <w:rFonts w:hint="default" w:ascii="Kaiti SC Bold" w:hAnsi="Kaiti SC Bold" w:eastAsia="Kaiti SC Bold" w:cs="Kaiti SC Bold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sz w:val="21"/>
                <w:szCs w:val="21"/>
                <w:vertAlign w:val="baseline"/>
                <w:lang w:val="en-US" w:eastAsia="zh-CN"/>
              </w:rPr>
              <w:t>质保期</w:t>
            </w:r>
          </w:p>
        </w:tc>
        <w:tc>
          <w:tcPr>
            <w:tcW w:w="1471" w:type="dxa"/>
          </w:tcPr>
          <w:p w14:paraId="3710C29A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 Bold" w:hAnsi="Kaiti SC Bold" w:eastAsia="Kaiti SC Bold" w:cs="Kaiti SC Bold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sz w:val="21"/>
                <w:szCs w:val="21"/>
                <w:vertAlign w:val="baseline"/>
                <w:lang w:val="en-US" w:eastAsia="zh-CN"/>
              </w:rPr>
              <w:t>核心优势</w:t>
            </w:r>
          </w:p>
        </w:tc>
        <w:tc>
          <w:tcPr>
            <w:tcW w:w="1259" w:type="dxa"/>
          </w:tcPr>
          <w:p w14:paraId="1F8BA738">
            <w:pPr>
              <w:widowControl w:val="0"/>
              <w:numPr>
                <w:numId w:val="0"/>
              </w:numPr>
              <w:bidi w:val="0"/>
              <w:jc w:val="both"/>
              <w:rPr>
                <w:rFonts w:hint="default" w:ascii="Kaiti SC Bold" w:hAnsi="Kaiti SC Bold" w:eastAsia="Kaiti SC Bold" w:cs="Kaiti SC Bold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sz w:val="21"/>
                <w:szCs w:val="21"/>
                <w:vertAlign w:val="baseline"/>
                <w:lang w:val="en-US" w:eastAsia="zh-CN"/>
              </w:rPr>
              <w:t>明显短板</w:t>
            </w:r>
          </w:p>
        </w:tc>
        <w:tc>
          <w:tcPr>
            <w:tcW w:w="1246" w:type="dxa"/>
          </w:tcPr>
          <w:p w14:paraId="25717DD0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 Bold" w:hAnsi="Kaiti SC Bold" w:eastAsia="Kaiti SC Bold" w:cs="Kaiti SC Bold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sz w:val="21"/>
                <w:szCs w:val="21"/>
                <w:vertAlign w:val="baseline"/>
                <w:lang w:val="en-US" w:eastAsia="zh-CN"/>
              </w:rPr>
              <w:t>数据来源</w:t>
            </w:r>
          </w:p>
        </w:tc>
      </w:tr>
      <w:tr w14:paraId="0002E6C1">
        <w:tc>
          <w:tcPr>
            <w:tcW w:w="359" w:type="dxa"/>
          </w:tcPr>
          <w:p w14:paraId="68BD2670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中国出口</w:t>
            </w:r>
          </w:p>
        </w:tc>
        <w:tc>
          <w:tcPr>
            <w:tcW w:w="737" w:type="dxa"/>
          </w:tcPr>
          <w:p w14:paraId="0455A905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玲珑</w:t>
            </w:r>
          </w:p>
        </w:tc>
        <w:tc>
          <w:tcPr>
            <w:tcW w:w="1820" w:type="dxa"/>
          </w:tcPr>
          <w:p w14:paraId="42A3AC93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PCR</w:t>
            </w:r>
            <w:r>
              <w:rPr>
                <w:rFonts w:hint="default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/>
              </w:rPr>
              <w:t xml:space="preserve"> 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185/65R15</w:t>
            </w:r>
          </w:p>
          <w:p w14:paraId="1ADDC493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TBR</w:t>
            </w:r>
            <w:r>
              <w:rPr>
                <w:rFonts w:hint="default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/>
              </w:rPr>
              <w:t xml:space="preserve"> 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11R22.5</w:t>
            </w:r>
          </w:p>
        </w:tc>
        <w:tc>
          <w:tcPr>
            <w:tcW w:w="661" w:type="dxa"/>
          </w:tcPr>
          <w:p w14:paraId="467B844C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85、290</w:t>
            </w:r>
          </w:p>
        </w:tc>
        <w:tc>
          <w:tcPr>
            <w:tcW w:w="469" w:type="dxa"/>
          </w:tcPr>
          <w:p w14:paraId="3C3A9FC0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30</w:t>
            </w:r>
          </w:p>
        </w:tc>
        <w:tc>
          <w:tcPr>
            <w:tcW w:w="500" w:type="dxa"/>
          </w:tcPr>
          <w:p w14:paraId="15A50F06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36</w:t>
            </w:r>
          </w:p>
        </w:tc>
        <w:tc>
          <w:tcPr>
            <w:tcW w:w="1471" w:type="dxa"/>
          </w:tcPr>
          <w:p w14:paraId="04E84A8B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认证全</w:t>
            </w:r>
            <w:r>
              <w:rPr>
                <w:rFonts w:hint="default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/>
              </w:rPr>
              <w:t>(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INMETRO/MERCOSUR</w:t>
            </w:r>
            <w:r>
              <w:rPr>
                <w:rFonts w:hint="default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/>
              </w:rPr>
              <w:t>)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、渠道广</w:t>
            </w:r>
          </w:p>
        </w:tc>
        <w:tc>
          <w:tcPr>
            <w:tcW w:w="1259" w:type="dxa"/>
          </w:tcPr>
          <w:p w14:paraId="16B77875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价格偏高、部分型号无现货</w:t>
            </w:r>
          </w:p>
        </w:tc>
        <w:tc>
          <w:tcPr>
            <w:tcW w:w="1246" w:type="dxa"/>
          </w:tcPr>
          <w:p w14:paraId="0D50FC13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阿里巴巴国际站（2025.10）</w:t>
            </w:r>
          </w:p>
        </w:tc>
      </w:tr>
      <w:tr w14:paraId="77D8725D">
        <w:tc>
          <w:tcPr>
            <w:tcW w:w="359" w:type="dxa"/>
          </w:tcPr>
          <w:p w14:paraId="0240D171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中国出口</w:t>
            </w:r>
          </w:p>
        </w:tc>
        <w:tc>
          <w:tcPr>
            <w:tcW w:w="737" w:type="dxa"/>
          </w:tcPr>
          <w:p w14:paraId="3A8C239D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赛轮</w:t>
            </w:r>
          </w:p>
        </w:tc>
        <w:tc>
          <w:tcPr>
            <w:tcW w:w="1820" w:type="dxa"/>
          </w:tcPr>
          <w:p w14:paraId="73657654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PCR</w:t>
            </w:r>
            <w:r>
              <w:rPr>
                <w:rFonts w:hint="default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/>
              </w:rPr>
              <w:t xml:space="preserve"> 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195/65R15</w:t>
            </w:r>
          </w:p>
        </w:tc>
        <w:tc>
          <w:tcPr>
            <w:tcW w:w="661" w:type="dxa"/>
          </w:tcPr>
          <w:p w14:paraId="52374630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78</w:t>
            </w:r>
          </w:p>
        </w:tc>
        <w:tc>
          <w:tcPr>
            <w:tcW w:w="469" w:type="dxa"/>
          </w:tcPr>
          <w:p w14:paraId="4B7D1378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35</w:t>
            </w:r>
          </w:p>
        </w:tc>
        <w:tc>
          <w:tcPr>
            <w:tcW w:w="500" w:type="dxa"/>
          </w:tcPr>
          <w:p w14:paraId="1DDB5750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30</w:t>
            </w:r>
          </w:p>
        </w:tc>
        <w:tc>
          <w:tcPr>
            <w:tcW w:w="1471" w:type="dxa"/>
          </w:tcPr>
          <w:p w14:paraId="6E87C6A7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价格低、内胎套装性价比高</w:t>
            </w:r>
          </w:p>
        </w:tc>
        <w:tc>
          <w:tcPr>
            <w:tcW w:w="1259" w:type="dxa"/>
          </w:tcPr>
          <w:p w14:paraId="1409AB67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质保期短、胎体仅6层</w:t>
            </w:r>
          </w:p>
        </w:tc>
        <w:tc>
          <w:tcPr>
            <w:tcW w:w="1246" w:type="dxa"/>
          </w:tcPr>
          <w:p w14:paraId="049C4DC7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赛轮南美官网（2025.9）</w:t>
            </w:r>
          </w:p>
        </w:tc>
      </w:tr>
      <w:tr w14:paraId="2990497D">
        <w:tc>
          <w:tcPr>
            <w:tcW w:w="359" w:type="dxa"/>
          </w:tcPr>
          <w:p w14:paraId="32EE31E8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中国出口</w:t>
            </w:r>
          </w:p>
        </w:tc>
        <w:tc>
          <w:tcPr>
            <w:tcW w:w="737" w:type="dxa"/>
          </w:tcPr>
          <w:p w14:paraId="140BA564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中策chaoyang</w:t>
            </w:r>
          </w:p>
        </w:tc>
        <w:tc>
          <w:tcPr>
            <w:tcW w:w="1820" w:type="dxa"/>
          </w:tcPr>
          <w:p w14:paraId="3BD864DD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TBR 295/80R22.5</w:t>
            </w:r>
          </w:p>
        </w:tc>
        <w:tc>
          <w:tcPr>
            <w:tcW w:w="661" w:type="dxa"/>
          </w:tcPr>
          <w:p w14:paraId="24E69871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270</w:t>
            </w:r>
          </w:p>
        </w:tc>
        <w:tc>
          <w:tcPr>
            <w:tcW w:w="469" w:type="dxa"/>
          </w:tcPr>
          <w:p w14:paraId="4FF7E872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28</w:t>
            </w:r>
          </w:p>
        </w:tc>
        <w:tc>
          <w:tcPr>
            <w:tcW w:w="500" w:type="dxa"/>
          </w:tcPr>
          <w:p w14:paraId="32540917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36</w:t>
            </w:r>
          </w:p>
        </w:tc>
        <w:tc>
          <w:tcPr>
            <w:tcW w:w="1471" w:type="dxa"/>
          </w:tcPr>
          <w:p w14:paraId="04864D76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交期快、耐磨指数450</w:t>
            </w:r>
          </w:p>
        </w:tc>
        <w:tc>
          <w:tcPr>
            <w:tcW w:w="1259" w:type="dxa"/>
          </w:tcPr>
          <w:p w14:paraId="7F7CA100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胎肩无强化、山路适配差</w:t>
            </w:r>
          </w:p>
        </w:tc>
        <w:tc>
          <w:tcPr>
            <w:tcW w:w="1246" w:type="dxa"/>
          </w:tcPr>
          <w:p w14:paraId="5B0FC2A9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中策海外经销商报价单（2025.10）</w:t>
            </w:r>
          </w:p>
        </w:tc>
      </w:tr>
      <w:tr w14:paraId="216BC85C">
        <w:tc>
          <w:tcPr>
            <w:tcW w:w="359" w:type="dxa"/>
          </w:tcPr>
          <w:p w14:paraId="7D374729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韩泰</w:t>
            </w:r>
          </w:p>
        </w:tc>
        <w:tc>
          <w:tcPr>
            <w:tcW w:w="737" w:type="dxa"/>
          </w:tcPr>
          <w:p w14:paraId="5016266E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韩泰Hankook</w:t>
            </w:r>
          </w:p>
        </w:tc>
        <w:tc>
          <w:tcPr>
            <w:tcW w:w="1820" w:type="dxa"/>
          </w:tcPr>
          <w:p w14:paraId="33024A4F">
            <w:pPr>
              <w:widowControl w:val="0"/>
              <w:numPr>
                <w:numId w:val="0"/>
              </w:numPr>
              <w:bidi w:val="0"/>
              <w:jc w:val="both"/>
              <w:rPr>
                <w:rFonts w:hint="default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PCR</w:t>
            </w:r>
            <w:r>
              <w:rPr>
                <w:rFonts w:hint="default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/>
              </w:rPr>
              <w:t xml:space="preserve"> 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205/55R16</w:t>
            </w:r>
          </w:p>
          <w:p w14:paraId="06DE1AD5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TBR</w:t>
            </w:r>
            <w:r>
              <w:rPr>
                <w:rFonts w:hint="default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/>
              </w:rPr>
              <w:t xml:space="preserve"> </w:t>
            </w: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11R22.5</w:t>
            </w:r>
          </w:p>
        </w:tc>
        <w:tc>
          <w:tcPr>
            <w:tcW w:w="661" w:type="dxa"/>
          </w:tcPr>
          <w:p w14:paraId="65BF0921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105、320</w:t>
            </w:r>
          </w:p>
        </w:tc>
        <w:tc>
          <w:tcPr>
            <w:tcW w:w="469" w:type="dxa"/>
          </w:tcPr>
          <w:p w14:paraId="78260F4E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30</w:t>
            </w:r>
          </w:p>
        </w:tc>
        <w:tc>
          <w:tcPr>
            <w:tcW w:w="500" w:type="dxa"/>
          </w:tcPr>
          <w:p w14:paraId="526BADD1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48</w:t>
            </w:r>
          </w:p>
        </w:tc>
        <w:tc>
          <w:tcPr>
            <w:tcW w:w="1471" w:type="dxa"/>
          </w:tcPr>
          <w:p w14:paraId="178D9930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质量稳定、低滚阻性能好</w:t>
            </w:r>
          </w:p>
        </w:tc>
        <w:tc>
          <w:tcPr>
            <w:tcW w:w="1259" w:type="dxa"/>
          </w:tcPr>
          <w:p w14:paraId="3C7E3F5B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价格高、无内胎产品</w:t>
            </w:r>
          </w:p>
        </w:tc>
        <w:tc>
          <w:tcPr>
            <w:tcW w:w="1246" w:type="dxa"/>
          </w:tcPr>
          <w:p w14:paraId="0190D036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韩泰南美区报价（2025.9）</w:t>
            </w:r>
          </w:p>
        </w:tc>
      </w:tr>
      <w:tr w14:paraId="28833B53">
        <w:tc>
          <w:tcPr>
            <w:tcW w:w="359" w:type="dxa"/>
          </w:tcPr>
          <w:p w14:paraId="29724102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韩泰</w:t>
            </w:r>
          </w:p>
        </w:tc>
        <w:tc>
          <w:tcPr>
            <w:tcW w:w="737" w:type="dxa"/>
          </w:tcPr>
          <w:p w14:paraId="5C4D42C2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锦湖Kumho</w:t>
            </w:r>
          </w:p>
        </w:tc>
        <w:tc>
          <w:tcPr>
            <w:tcW w:w="1820" w:type="dxa"/>
          </w:tcPr>
          <w:p w14:paraId="1D74EB28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TBR 11R22.5</w:t>
            </w:r>
          </w:p>
        </w:tc>
        <w:tc>
          <w:tcPr>
            <w:tcW w:w="661" w:type="dxa"/>
          </w:tcPr>
          <w:p w14:paraId="0FA03EE2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290</w:t>
            </w:r>
          </w:p>
        </w:tc>
        <w:tc>
          <w:tcPr>
            <w:tcW w:w="469" w:type="dxa"/>
          </w:tcPr>
          <w:p w14:paraId="55A40F20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38</w:t>
            </w:r>
          </w:p>
        </w:tc>
        <w:tc>
          <w:tcPr>
            <w:tcW w:w="500" w:type="dxa"/>
          </w:tcPr>
          <w:p w14:paraId="179734B0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42</w:t>
            </w:r>
          </w:p>
        </w:tc>
        <w:tc>
          <w:tcPr>
            <w:tcW w:w="1471" w:type="dxa"/>
          </w:tcPr>
          <w:p w14:paraId="282C2CDD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抗爆性强、售后体系完善</w:t>
            </w:r>
          </w:p>
        </w:tc>
        <w:tc>
          <w:tcPr>
            <w:tcW w:w="1259" w:type="dxa"/>
          </w:tcPr>
          <w:p w14:paraId="770AC6A5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交期长、本地无库存</w:t>
            </w:r>
          </w:p>
        </w:tc>
        <w:tc>
          <w:tcPr>
            <w:tcW w:w="1246" w:type="dxa"/>
          </w:tcPr>
          <w:p w14:paraId="7F7599B0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锦湖海外官网（2025.10）</w:t>
            </w:r>
          </w:p>
        </w:tc>
      </w:tr>
      <w:tr w14:paraId="749DBEDD">
        <w:tc>
          <w:tcPr>
            <w:tcW w:w="359" w:type="dxa"/>
          </w:tcPr>
          <w:p w14:paraId="4F6C91D7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南美本土</w:t>
            </w:r>
          </w:p>
        </w:tc>
        <w:tc>
          <w:tcPr>
            <w:tcW w:w="737" w:type="dxa"/>
          </w:tcPr>
          <w:p w14:paraId="010D2EB3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巴西Rinaldi</w:t>
            </w:r>
          </w:p>
        </w:tc>
        <w:tc>
          <w:tcPr>
            <w:tcW w:w="1820" w:type="dxa"/>
          </w:tcPr>
          <w:p w14:paraId="4BCBB86E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PCR 185/65R15</w:t>
            </w:r>
          </w:p>
        </w:tc>
        <w:tc>
          <w:tcPr>
            <w:tcW w:w="661" w:type="dxa"/>
          </w:tcPr>
          <w:p w14:paraId="254F27C4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65</w:t>
            </w:r>
          </w:p>
        </w:tc>
        <w:tc>
          <w:tcPr>
            <w:tcW w:w="469" w:type="dxa"/>
          </w:tcPr>
          <w:p w14:paraId="44E63831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25</w:t>
            </w:r>
          </w:p>
        </w:tc>
        <w:tc>
          <w:tcPr>
            <w:tcW w:w="500" w:type="dxa"/>
          </w:tcPr>
          <w:p w14:paraId="43AD26B6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24</w:t>
            </w:r>
          </w:p>
        </w:tc>
        <w:tc>
          <w:tcPr>
            <w:tcW w:w="1471" w:type="dxa"/>
          </w:tcPr>
          <w:p w14:paraId="35108CA0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关税低、交货快</w:t>
            </w:r>
          </w:p>
        </w:tc>
        <w:tc>
          <w:tcPr>
            <w:tcW w:w="1259" w:type="dxa"/>
          </w:tcPr>
          <w:p w14:paraId="3E177B66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掺再生胶、胎面薄（8mm）</w:t>
            </w:r>
          </w:p>
        </w:tc>
        <w:tc>
          <w:tcPr>
            <w:tcW w:w="1246" w:type="dxa"/>
          </w:tcPr>
          <w:p w14:paraId="71C926F5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南美轮胎协会报告（2025.9）</w:t>
            </w:r>
          </w:p>
        </w:tc>
      </w:tr>
      <w:tr w14:paraId="02E09265">
        <w:tc>
          <w:tcPr>
            <w:tcW w:w="359" w:type="dxa"/>
          </w:tcPr>
          <w:p w14:paraId="5D89AC1F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南美本土</w:t>
            </w:r>
          </w:p>
        </w:tc>
        <w:tc>
          <w:tcPr>
            <w:tcW w:w="737" w:type="dxa"/>
          </w:tcPr>
          <w:p w14:paraId="4F21BE6C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阿根廷Pirelli</w:t>
            </w:r>
          </w:p>
        </w:tc>
        <w:tc>
          <w:tcPr>
            <w:tcW w:w="1820" w:type="dxa"/>
          </w:tcPr>
          <w:p w14:paraId="01304D34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TBR 275/80R22.5</w:t>
            </w:r>
          </w:p>
        </w:tc>
        <w:tc>
          <w:tcPr>
            <w:tcW w:w="661" w:type="dxa"/>
          </w:tcPr>
          <w:p w14:paraId="20E4580A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250</w:t>
            </w:r>
          </w:p>
        </w:tc>
        <w:tc>
          <w:tcPr>
            <w:tcW w:w="469" w:type="dxa"/>
          </w:tcPr>
          <w:p w14:paraId="502A0989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22</w:t>
            </w:r>
          </w:p>
        </w:tc>
        <w:tc>
          <w:tcPr>
            <w:tcW w:w="500" w:type="dxa"/>
          </w:tcPr>
          <w:p w14:paraId="3A84F9C2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30</w:t>
            </w:r>
          </w:p>
        </w:tc>
        <w:tc>
          <w:tcPr>
            <w:tcW w:w="1471" w:type="dxa"/>
          </w:tcPr>
          <w:p w14:paraId="5AF912A5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本地适配性好、清关快</w:t>
            </w:r>
          </w:p>
        </w:tc>
        <w:tc>
          <w:tcPr>
            <w:tcW w:w="1259" w:type="dxa"/>
          </w:tcPr>
          <w:p w14:paraId="2006E0B7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耐磨指数低（380）、载重有限</w:t>
            </w:r>
          </w:p>
        </w:tc>
        <w:tc>
          <w:tcPr>
            <w:tcW w:w="1246" w:type="dxa"/>
          </w:tcPr>
          <w:p w14:paraId="4179878A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</w:rPr>
              <w:t>阿根廷汽配平台（2025.10）</w:t>
            </w:r>
          </w:p>
        </w:tc>
      </w:tr>
      <w:tr w14:paraId="38E535C7">
        <w:tc>
          <w:tcPr>
            <w:tcW w:w="359" w:type="dxa"/>
          </w:tcPr>
          <w:p w14:paraId="5862B048">
            <w:pPr>
              <w:widowControl w:val="0"/>
              <w:numPr>
                <w:numId w:val="0"/>
              </w:numPr>
              <w:bidi w:val="0"/>
              <w:jc w:val="both"/>
              <w:rPr>
                <w:rFonts w:hint="default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国际</w:t>
            </w:r>
          </w:p>
        </w:tc>
        <w:tc>
          <w:tcPr>
            <w:tcW w:w="737" w:type="dxa"/>
          </w:tcPr>
          <w:p w14:paraId="63CA0EA1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米其林</w:t>
            </w:r>
          </w:p>
        </w:tc>
        <w:tc>
          <w:tcPr>
            <w:tcW w:w="1820" w:type="dxa"/>
          </w:tcPr>
          <w:p w14:paraId="623AB8FB">
            <w:pPr>
              <w:widowControl w:val="0"/>
              <w:numPr>
                <w:numId w:val="0"/>
              </w:numPr>
              <w:bidi w:val="0"/>
              <w:jc w:val="both"/>
              <w:rPr>
                <w:rFonts w:hint="default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/>
              </w:rPr>
              <w:t>PCR 185/65R15</w:t>
            </w:r>
          </w:p>
          <w:p w14:paraId="3F51C322">
            <w:pPr>
              <w:widowControl w:val="0"/>
              <w:numPr>
                <w:numId w:val="0"/>
              </w:numPr>
              <w:bidi w:val="0"/>
              <w:jc w:val="both"/>
              <w:rPr>
                <w:rFonts w:hint="default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/>
              </w:rPr>
              <w:t>TBR 275/80R22.5</w:t>
            </w:r>
          </w:p>
        </w:tc>
        <w:tc>
          <w:tcPr>
            <w:tcW w:w="661" w:type="dxa"/>
          </w:tcPr>
          <w:p w14:paraId="1CD8A3F3">
            <w:pPr>
              <w:widowControl w:val="0"/>
              <w:numPr>
                <w:numId w:val="0"/>
              </w:numPr>
              <w:bidi w:val="0"/>
              <w:jc w:val="both"/>
              <w:rPr>
                <w:rFonts w:hint="default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130、380</w:t>
            </w:r>
          </w:p>
        </w:tc>
        <w:tc>
          <w:tcPr>
            <w:tcW w:w="469" w:type="dxa"/>
          </w:tcPr>
          <w:p w14:paraId="57E47E00">
            <w:pPr>
              <w:widowControl w:val="0"/>
              <w:numPr>
                <w:numId w:val="0"/>
              </w:numPr>
              <w:bidi w:val="0"/>
              <w:jc w:val="both"/>
              <w:rPr>
                <w:rFonts w:hint="default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30-40</w:t>
            </w:r>
          </w:p>
        </w:tc>
        <w:tc>
          <w:tcPr>
            <w:tcW w:w="500" w:type="dxa"/>
          </w:tcPr>
          <w:p w14:paraId="050B4386">
            <w:pPr>
              <w:widowControl w:val="0"/>
              <w:numPr>
                <w:numId w:val="0"/>
              </w:numPr>
              <w:bidi w:val="0"/>
              <w:jc w:val="both"/>
              <w:rPr>
                <w:rFonts w:hint="default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48</w:t>
            </w:r>
          </w:p>
        </w:tc>
        <w:tc>
          <w:tcPr>
            <w:tcW w:w="1471" w:type="dxa"/>
          </w:tcPr>
          <w:p w14:paraId="39580E0C">
            <w:pPr>
              <w:widowControl w:val="0"/>
              <w:numPr>
                <w:numId w:val="0"/>
              </w:numPr>
              <w:bidi w:val="0"/>
              <w:jc w:val="both"/>
              <w:rPr>
                <w:rFonts w:hint="default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/>
              </w:rPr>
              <w:t>高端市场认可度高</w:t>
            </w:r>
          </w:p>
        </w:tc>
        <w:tc>
          <w:tcPr>
            <w:tcW w:w="1259" w:type="dxa"/>
          </w:tcPr>
          <w:p w14:paraId="4E847499">
            <w:pPr>
              <w:widowControl w:val="0"/>
              <w:numPr>
                <w:numId w:val="0"/>
              </w:numPr>
              <w:bidi w:val="0"/>
              <w:jc w:val="both"/>
              <w:rPr>
                <w:rFonts w:hint="default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对南美市场而言价格过高</w:t>
            </w:r>
          </w:p>
        </w:tc>
        <w:tc>
          <w:tcPr>
            <w:tcW w:w="1246" w:type="dxa"/>
          </w:tcPr>
          <w:p w14:paraId="2821F00A">
            <w:pPr>
              <w:widowControl w:val="0"/>
              <w:numPr>
                <w:numId w:val="0"/>
              </w:numPr>
              <w:bidi w:val="0"/>
              <w:jc w:val="both"/>
              <w:rPr>
                <w:rFonts w:hint="default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Kaiti SC" w:hAnsi="Kaiti SC" w:eastAsia="Kaiti SC" w:cs="Kaiti SC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米其林官网</w:t>
            </w:r>
          </w:p>
        </w:tc>
      </w:tr>
    </w:tbl>
    <w:p w14:paraId="4F0FC097">
      <w:pPr>
        <w:widowControl w:val="0"/>
        <w:numPr>
          <w:numId w:val="0"/>
        </w:numPr>
        <w:bidi w:val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</w:rPr>
      </w:pPr>
    </w:p>
    <w:p w14:paraId="41D278E8">
      <w:pPr>
        <w:widowControl w:val="0"/>
        <w:numPr>
          <w:numId w:val="0"/>
        </w:numPr>
        <w:bidi w:val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</w:rPr>
      </w:pPr>
    </w:p>
    <w:p w14:paraId="49F78CF8">
      <w:pPr>
        <w:widowControl w:val="0"/>
        <w:numPr>
          <w:ilvl w:val="0"/>
          <w:numId w:val="3"/>
        </w:numPr>
        <w:bidi w:val="0"/>
        <w:jc w:val="both"/>
        <w:rPr>
          <w:rFonts w:hint="default" w:ascii="Kaiti SC Bold" w:hAnsi="Kaiti SC Bold" w:eastAsia="Kaiti SC Bold" w:cs="Kaiti SC Bold"/>
          <w:b/>
          <w:bCs/>
          <w:sz w:val="28"/>
          <w:szCs w:val="28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8"/>
          <w:szCs w:val="28"/>
        </w:rPr>
        <w:t>市场</w:t>
      </w:r>
      <w:r>
        <w:rPr>
          <w:rFonts w:hint="eastAsia" w:ascii="Kaiti SC Bold" w:hAnsi="Kaiti SC Bold" w:eastAsia="Kaiti SC Bold" w:cs="Kaiti SC Bold"/>
          <w:b/>
          <w:bCs/>
          <w:sz w:val="28"/>
          <w:szCs w:val="28"/>
          <w:lang w:val="en-US" w:eastAsia="zh-CN"/>
        </w:rPr>
        <w:t>进入核心策略</w:t>
      </w:r>
    </w:p>
    <w:p w14:paraId="51C4FC46">
      <w:pPr>
        <w:widowControl w:val="0"/>
        <w:numPr>
          <w:ilvl w:val="0"/>
          <w:numId w:val="4"/>
        </w:numPr>
        <w:bidi w:val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</w:rPr>
      </w:pPr>
      <w:r>
        <w:rPr>
          <w:rFonts w:hint="eastAsia" w:ascii="Kaiti SC Bold" w:hAnsi="Kaiti SC Bold" w:eastAsia="Kaiti SC Bold" w:cs="Kaiti SC Bold"/>
          <w:b/>
          <w:bCs/>
          <w:sz w:val="24"/>
          <w:szCs w:val="24"/>
        </w:rPr>
        <w:t>产品定位：聚焦 “基础款质量升级”，避开特殊功能</w:t>
      </w:r>
    </w:p>
    <w:p w14:paraId="31292CD6">
      <w:pPr>
        <w:widowControl w:val="0"/>
        <w:numPr>
          <w:ilvl w:val="0"/>
          <w:numId w:val="5"/>
        </w:numPr>
        <w:bidi w:val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</w:rPr>
      </w:pPr>
      <w:r>
        <w:rPr>
          <w:rFonts w:hint="eastAsia" w:ascii="Kaiti SC Bold" w:hAnsi="Kaiti SC Bold" w:eastAsia="Kaiti SC Bold" w:cs="Kaiti SC Bold"/>
          <w:b/>
          <w:bCs/>
          <w:sz w:val="24"/>
          <w:szCs w:val="24"/>
        </w:rPr>
        <w:t>PCR基础款：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主打 “高纯度天然橡胶（泰国RSS3级）+8层胎体”，耐磨指数420-450，适配南美90%以上家用车型（185/65R15、195/65R15、205/55R16），不开发热带/雪地专用款，通过 “原材料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  <w:lang w:val="en-US" w:eastAsia="zh-CN"/>
        </w:rPr>
        <w:t xml:space="preserve"> 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+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  <w:lang w:val="en-US" w:eastAsia="zh-CN"/>
        </w:rPr>
        <w:t xml:space="preserve"> 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结构” 提升基础性能。</w:t>
      </w:r>
    </w:p>
    <w:p w14:paraId="445F20CC">
      <w:pPr>
        <w:widowControl w:val="0"/>
        <w:numPr>
          <w:ilvl w:val="0"/>
          <w:numId w:val="5"/>
        </w:numPr>
        <w:bidi w:val="0"/>
        <w:ind w:left="0" w:leftChars="0" w:firstLine="0" w:firstLineChars="0"/>
        <w:jc w:val="both"/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</w:pPr>
      <w:r>
        <w:rPr>
          <w:rFonts w:hint="eastAsia" w:ascii="Kaiti SC Bold" w:hAnsi="Kaiti SC Bold" w:eastAsia="Kaiti SC Bold" w:cs="Kaiti SC Bold"/>
          <w:b/>
          <w:bCs/>
          <w:sz w:val="24"/>
          <w:szCs w:val="24"/>
        </w:rPr>
        <w:t>TBR基础款：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强化 “高碳钢帘线（抗拉强度≥1800MPa）+ 胎肩加固胶”，载重指数符合行业mid-range标准（如295/80R22.5额定载重3500kg），重点适配货运、公交等通用场景，不涉及矿山、超大号等复杂型号。</w:t>
      </w:r>
    </w:p>
    <w:p w14:paraId="21A40661">
      <w:pPr>
        <w:widowControl w:val="0"/>
        <w:numPr>
          <w:ilvl w:val="0"/>
          <w:numId w:val="5"/>
        </w:numPr>
        <w:bidi w:val="0"/>
        <w:ind w:left="0" w:leftChars="0" w:firstLine="0" w:firstLineChars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</w:rPr>
      </w:pPr>
      <w:r>
        <w:rPr>
          <w:rFonts w:hint="eastAsia" w:ascii="Kaiti SC Bold" w:hAnsi="Kaiti SC Bold" w:eastAsia="Kaiti SC Bold" w:cs="Kaiti SC Bold"/>
          <w:b/>
          <w:bCs/>
          <w:sz w:val="24"/>
          <w:szCs w:val="24"/>
        </w:rPr>
        <w:t>内胎/垫带：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内胎用100%丁基胶（气密性≥95%/7 天），垫带用EPDM耐老化橡胶（耐臭氧测试≥500h），主打 “配套销售”（TBR + 内胎 + 垫带套装，比单独购买便宜5%），提升客单价。</w:t>
      </w:r>
    </w:p>
    <w:p w14:paraId="08426C11">
      <w:pPr>
        <w:widowControl w:val="0"/>
        <w:numPr>
          <w:numId w:val="0"/>
        </w:numPr>
        <w:bidi w:val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</w:rPr>
      </w:pPr>
      <w:r>
        <w:rPr>
          <w:rFonts w:hint="eastAsia" w:ascii="Kaiti SC Bold" w:hAnsi="Kaiti SC Bold" w:eastAsia="Kaiti SC Bold" w:cs="Kaiti SC Bold"/>
          <w:b/>
          <w:bCs/>
          <w:sz w:val="24"/>
          <w:szCs w:val="24"/>
          <w:lang w:eastAsia="zh-CN"/>
        </w:rPr>
        <w:t>（</w:t>
      </w:r>
      <w:r>
        <w:rPr>
          <w:rFonts w:hint="eastAsia" w:ascii="Kaiti SC Bold" w:hAnsi="Kaiti SC Bold" w:eastAsia="Kaiti SC Bold" w:cs="Kaiti SC Bold"/>
          <w:b/>
          <w:bCs/>
          <w:sz w:val="24"/>
          <w:szCs w:val="24"/>
          <w:lang w:val="en-US" w:eastAsia="zh-CN"/>
        </w:rPr>
        <w:t>二）渠道布局：轻资产模式，依托中转仓 + 本地经销商</w:t>
      </w:r>
      <w:r>
        <w:rPr>
          <w:rFonts w:hint="eastAsia" w:ascii="Kaiti SC Bold" w:hAnsi="Kaiti SC Bold" w:eastAsia="Kaiti SC Bold" w:cs="Kaiti SC Bold"/>
          <w:b/>
          <w:bCs/>
          <w:sz w:val="24"/>
          <w:szCs w:val="24"/>
        </w:rPr>
        <w:t>：</w:t>
      </w:r>
    </w:p>
    <w:p w14:paraId="26E6DDCD">
      <w:pPr>
        <w:widowControl w:val="0"/>
        <w:numPr>
          <w:numId w:val="0"/>
        </w:numPr>
        <w:bidi w:val="0"/>
        <w:jc w:val="both"/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</w:pPr>
      <w:r>
        <w:rPr>
          <w:rFonts w:hint="eastAsia" w:ascii="Kaiti SC Bold" w:hAnsi="Kaiti SC Bold" w:eastAsia="Kaiti SC Bold" w:cs="Kaiti SC Bold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 w:ascii="Kaiti SC Bold" w:hAnsi="Kaiti SC Bold" w:eastAsia="Kaiti SC Bold" w:cs="Kaiti SC Bold"/>
          <w:b/>
          <w:bCs/>
          <w:sz w:val="24"/>
          <w:szCs w:val="24"/>
        </w:rPr>
        <w:t>核心中转仓：</w:t>
      </w:r>
      <w:r>
        <w:rPr>
          <w:rFonts w:hint="eastAsia" w:ascii="Kaiti SC Bold" w:hAnsi="Kaiti SC Bold" w:eastAsia="Kaiti SC Bold" w:cs="Kaiti SC Bold"/>
          <w:b/>
          <w:bCs/>
          <w:color w:val="auto"/>
          <w:sz w:val="21"/>
          <w:szCs w:val="21"/>
        </w:rPr>
        <w:t>巴拿马共享中转仓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（租赁模式，无需自建），储备5000条PCR、3000条TBR及2000套内胎垫带（2025年Q4完成备货），覆盖南美东、西海岸市场，缩短交期至10-15天（比竞品快10-20天）。</w:t>
      </w:r>
    </w:p>
    <w:p w14:paraId="20097FD1">
      <w:pPr>
        <w:widowControl w:val="0"/>
        <w:numPr>
          <w:numId w:val="0"/>
        </w:numPr>
        <w:bidi w:val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</w:rPr>
      </w:pPr>
      <w:r>
        <w:rPr>
          <w:rFonts w:hint="eastAsia" w:ascii="Kaiti SC Bold" w:hAnsi="Kaiti SC Bold" w:eastAsia="Kaiti SC Bold" w:cs="Kaiti SC Bold"/>
          <w:b/>
          <w:bCs/>
          <w:sz w:val="24"/>
          <w:szCs w:val="24"/>
          <w:lang w:val="en-US" w:eastAsia="zh-CN"/>
        </w:rPr>
        <w:t xml:space="preserve">2. </w:t>
      </w:r>
      <w:r>
        <w:rPr>
          <w:rFonts w:hint="eastAsia" w:ascii="Kaiti SC Bold" w:hAnsi="Kaiti SC Bold" w:eastAsia="Kaiti SC Bold" w:cs="Kaiti SC Bold"/>
          <w:b/>
          <w:bCs/>
          <w:sz w:val="24"/>
          <w:szCs w:val="24"/>
        </w:rPr>
        <w:t>经销商合作：</w:t>
      </w:r>
    </w:p>
    <w:p w14:paraId="383FB014">
      <w:pPr>
        <w:widowControl w:val="0"/>
        <w:numPr>
          <w:ilvl w:val="0"/>
          <w:numId w:val="6"/>
        </w:numPr>
        <w:bidi w:val="0"/>
        <w:ind w:left="420" w:leftChars="0" w:hanging="420" w:firstLineChars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</w:rPr>
      </w:pPr>
      <w:r>
        <w:rPr>
          <w:rFonts w:hint="eastAsia" w:ascii="Kaiti SC Bold" w:hAnsi="Kaiti SC Bold" w:eastAsia="Kaiti SC Bold" w:cs="Kaiti SC Bold"/>
          <w:b/>
          <w:bCs/>
          <w:sz w:val="24"/>
          <w:szCs w:val="24"/>
        </w:rPr>
        <w:t>巴西、阿根廷：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选择TOP5汽配经销商（如巴西AutoParts、阿根廷MotorShop），提供“30%预付 + 70%货到付款”结算，给予年销量超1万条5%返利。</w:t>
      </w:r>
    </w:p>
    <w:p w14:paraId="23A821C8">
      <w:pPr>
        <w:widowControl w:val="0"/>
        <w:numPr>
          <w:ilvl w:val="0"/>
          <w:numId w:val="6"/>
        </w:numPr>
        <w:bidi w:val="0"/>
        <w:ind w:left="420" w:leftChars="0" w:hanging="420" w:firstLineChars="0"/>
        <w:jc w:val="both"/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</w:pPr>
      <w:r>
        <w:rPr>
          <w:rFonts w:hint="eastAsia" w:ascii="Kaiti SC Bold" w:hAnsi="Kaiti SC Bold" w:eastAsia="Kaiti SC Bold" w:cs="Kaiti SC Bold"/>
          <w:b/>
          <w:bCs/>
          <w:sz w:val="24"/>
          <w:szCs w:val="24"/>
        </w:rPr>
        <w:t>秘鲁、厄瓜多尔：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发展中小型经销商，提供免费样品（每型号2条）及西班牙语产品手册，帮助经销商快速铺市。</w:t>
      </w:r>
    </w:p>
    <w:p w14:paraId="45BCD6D3">
      <w:pPr>
        <w:widowControl w:val="0"/>
        <w:numPr>
          <w:numId w:val="0"/>
        </w:numPr>
        <w:bidi w:val="0"/>
        <w:ind w:leftChars="0"/>
        <w:jc w:val="both"/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</w:pPr>
      <w:r>
        <w:rPr>
          <w:rFonts w:hint="eastAsia" w:ascii="Kaiti SC Bold" w:hAnsi="Kaiti SC Bold" w:eastAsia="Kaiti SC Bold" w:cs="Kaiti SC Bold"/>
          <w:b/>
          <w:bCs/>
          <w:sz w:val="24"/>
          <w:szCs w:val="24"/>
          <w:lang w:val="en-US" w:eastAsia="zh-CN"/>
        </w:rPr>
        <w:t>3.</w:t>
      </w:r>
      <w:r>
        <w:rPr>
          <w:rFonts w:hint="eastAsia" w:ascii="Kaiti SC Bold" w:hAnsi="Kaiti SC Bold" w:eastAsia="Kaiti SC Bold" w:cs="Kaiti SC Bold"/>
          <w:b/>
          <w:bCs/>
          <w:sz w:val="24"/>
          <w:szCs w:val="24"/>
        </w:rPr>
        <w:t>展会获客：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2026年3月参与</w:t>
      </w:r>
      <w:r>
        <w:rPr>
          <w:rFonts w:hint="eastAsia" w:ascii="Kaiti SC Bold" w:hAnsi="Kaiti SC Bold" w:eastAsia="Kaiti SC Bold" w:cs="Kaiti SC Bold"/>
          <w:b/>
          <w:bCs/>
          <w:color w:val="auto"/>
          <w:sz w:val="21"/>
          <w:szCs w:val="21"/>
        </w:rPr>
        <w:t>巴拿马汽配及轮胎展览会（Expocomer）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，重点展示：</w:t>
      </w:r>
    </w:p>
    <w:p w14:paraId="23D28CD4">
      <w:pPr>
        <w:widowControl w:val="0"/>
        <w:numPr>
          <w:ilvl w:val="0"/>
          <w:numId w:val="6"/>
        </w:numPr>
        <w:bidi w:val="0"/>
        <w:ind w:left="420" w:leftChars="0" w:hanging="420" w:firstLineChars="0"/>
        <w:jc w:val="both"/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</w:pP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基础款PCR/TBR的原材料样品（泰国天然橡胶块、高碳钢帘线），现场对比本地品牌的再生胶样品；</w:t>
      </w:r>
    </w:p>
    <w:p w14:paraId="74D3181C">
      <w:pPr>
        <w:widowControl w:val="0"/>
        <w:numPr>
          <w:ilvl w:val="0"/>
          <w:numId w:val="6"/>
        </w:numPr>
        <w:bidi w:val="0"/>
        <w:ind w:left="420" w:leftChars="0" w:hanging="420" w:firstLineChars="0"/>
        <w:jc w:val="both"/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</w:pP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胎体结构剖面模型（展示8层胎体 vs 竞品6层胎体）；</w:t>
      </w:r>
    </w:p>
    <w:p w14:paraId="1AD5F00F">
      <w:pPr>
        <w:widowControl w:val="0"/>
        <w:numPr>
          <w:ilvl w:val="0"/>
          <w:numId w:val="6"/>
        </w:numPr>
        <w:bidi w:val="0"/>
        <w:ind w:left="420" w:leftChars="0" w:hanging="420" w:firstLineChars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</w:rPr>
      </w:pP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实测数据海报（如“Lionload TBR山路6个月无爆胎”“内胎7天气密性95%”），不宣传热带/特殊功能，聚焦质量可视化。</w:t>
      </w:r>
    </w:p>
    <w:p w14:paraId="3A542444">
      <w:pPr>
        <w:widowControl w:val="0"/>
        <w:numPr>
          <w:numId w:val="0"/>
        </w:numPr>
        <w:bidi w:val="0"/>
        <w:jc w:val="both"/>
        <w:rPr>
          <w:rFonts w:hint="default" w:ascii="Kaiti SC Bold" w:hAnsi="Kaiti SC Bold" w:eastAsia="Kaiti SC Bold" w:cs="Kaiti SC Bold"/>
          <w:b/>
          <w:bCs/>
          <w:sz w:val="24"/>
          <w:szCs w:val="24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4"/>
          <w:szCs w:val="24"/>
          <w:lang w:eastAsia="zh-CN"/>
        </w:rPr>
        <w:t>（</w:t>
      </w:r>
      <w:r>
        <w:rPr>
          <w:rFonts w:hint="eastAsia" w:ascii="Kaiti SC Bold" w:hAnsi="Kaiti SC Bold" w:eastAsia="Kaiti SC Bold" w:cs="Kaiti SC Bold"/>
          <w:b/>
          <w:bCs/>
          <w:sz w:val="24"/>
          <w:szCs w:val="24"/>
          <w:lang w:val="en-US" w:eastAsia="zh-CN"/>
        </w:rPr>
        <w:t>三）政策合规：提前搞定核心认证，降低清关风险</w:t>
      </w:r>
    </w:p>
    <w:p w14:paraId="2429351F">
      <w:pPr>
        <w:widowControl w:val="0"/>
        <w:numPr>
          <w:numId w:val="0"/>
        </w:numPr>
        <w:bidi w:val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</w:rPr>
      </w:pPr>
      <w:r>
        <w:rPr>
          <w:rFonts w:hint="eastAsia" w:ascii="Kaiti SC Bold" w:hAnsi="Kaiti SC Bold" w:eastAsia="Kaiti SC Bold" w:cs="Kaiti SC Bold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 w:ascii="Kaiti SC Bold" w:hAnsi="Kaiti SC Bold" w:eastAsia="Kaiti SC Bold" w:cs="Kaiti SC Bold"/>
          <w:b/>
          <w:bCs/>
          <w:sz w:val="24"/>
          <w:szCs w:val="24"/>
        </w:rPr>
        <w:t>优先认证：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2025年Q4前完成巴西INMETRO（PCR/TBR）、阿根廷MERCOSUR（TBR/内胎）认证，2026年Q1完成智利INN认证，确保核心市场 “持证入场”，避免因认证延误订单。</w:t>
      </w:r>
    </w:p>
    <w:p w14:paraId="58B1DA34">
      <w:pPr>
        <w:widowControl w:val="0"/>
        <w:numPr>
          <w:numId w:val="0"/>
        </w:numPr>
        <w:bidi w:val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</w:rPr>
      </w:pPr>
      <w:r>
        <w:rPr>
          <w:rFonts w:hint="eastAsia" w:ascii="Kaiti SC Bold" w:hAnsi="Kaiti SC Bold" w:eastAsia="Kaiti SC Bold" w:cs="Kaiti SC Bold"/>
          <w:b/>
          <w:bCs/>
          <w:sz w:val="24"/>
          <w:szCs w:val="24"/>
          <w:lang w:val="en-US" w:eastAsia="zh-CN"/>
        </w:rPr>
        <w:t xml:space="preserve">2. </w:t>
      </w:r>
      <w:r>
        <w:rPr>
          <w:rFonts w:hint="eastAsia" w:ascii="Kaiti SC Bold" w:hAnsi="Kaiti SC Bold" w:eastAsia="Kaiti SC Bold" w:cs="Kaiti SC Bold"/>
          <w:b/>
          <w:bCs/>
          <w:sz w:val="24"/>
          <w:szCs w:val="24"/>
        </w:rPr>
        <w:t>关税应对：</w:t>
      </w:r>
      <w:r>
        <w:rPr>
          <w:rFonts w:hint="eastAsia" w:ascii="Kaiti SC Bold" w:hAnsi="Kaiti SC Bold" w:eastAsia="Kaiti SC Bold" w:cs="Kaiti SC Bold"/>
          <w:b/>
          <w:bCs/>
          <w:color w:val="auto"/>
          <w:sz w:val="21"/>
          <w:szCs w:val="21"/>
        </w:rPr>
        <w:t>针对巴西双反政策，通过巴拿马中转仓“转口模式”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（巴拿马至巴西关税低于中国直邮12%），降低终端售价；利用阿根廷2025年9月起16%低关税窗口，批量备货至布宜诺斯艾利斯保税仓。</w:t>
      </w:r>
    </w:p>
    <w:p w14:paraId="7D3574B4">
      <w:pPr>
        <w:widowControl w:val="0"/>
        <w:numPr>
          <w:ilvl w:val="0"/>
          <w:numId w:val="3"/>
        </w:numPr>
        <w:bidi w:val="0"/>
        <w:jc w:val="both"/>
        <w:rPr>
          <w:rFonts w:hint="default" w:ascii="Kaiti SC Bold" w:hAnsi="Kaiti SC Bold" w:eastAsia="Kaiti SC Bold" w:cs="Kaiti SC Bold"/>
          <w:b/>
          <w:bCs/>
          <w:sz w:val="28"/>
          <w:szCs w:val="28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8"/>
          <w:szCs w:val="28"/>
          <w:lang w:val="en-US" w:eastAsia="zh-CN"/>
        </w:rPr>
        <w:t>内部能力提升方案</w:t>
      </w:r>
    </w:p>
    <w:p w14:paraId="56C0DE5C">
      <w:pPr>
        <w:widowControl w:val="0"/>
        <w:numPr>
          <w:ilvl w:val="0"/>
          <w:numId w:val="7"/>
        </w:numPr>
        <w:bidi w:val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</w:rPr>
      </w:pPr>
      <w:r>
        <w:rPr>
          <w:rFonts w:hint="eastAsia" w:ascii="Kaiti SC Bold" w:hAnsi="Kaiti SC Bold" w:eastAsia="Kaiti SC Bold" w:cs="Kaiti SC Bold"/>
          <w:b/>
          <w:bCs/>
          <w:sz w:val="24"/>
          <w:szCs w:val="24"/>
        </w:rPr>
        <w:t>销售响应机制：解决 “放假不回信” 问题</w:t>
      </w:r>
    </w:p>
    <w:p w14:paraId="7770EA66">
      <w:pPr>
        <w:widowControl w:val="0"/>
        <w:numPr>
          <w:ilvl w:val="0"/>
          <w:numId w:val="7"/>
        </w:numPr>
        <w:bidi w:val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</w:rPr>
      </w:pPr>
      <w:r>
        <w:rPr>
          <w:rFonts w:hint="eastAsia" w:ascii="Kaiti SC Bold" w:hAnsi="Kaiti SC Bold" w:eastAsia="Kaiti SC Bold" w:cs="Kaiti SC Bold"/>
          <w:b/>
          <w:bCs/>
          <w:sz w:val="24"/>
          <w:szCs w:val="24"/>
        </w:rPr>
        <w:t>售后能力强化：解决 “不会解释问题” 痛点</w:t>
      </w:r>
    </w:p>
    <w:p w14:paraId="50F6252F">
      <w:pPr>
        <w:widowControl w:val="0"/>
        <w:numPr>
          <w:ilvl w:val="0"/>
          <w:numId w:val="8"/>
        </w:numPr>
        <w:bidi w:val="0"/>
        <w:jc w:val="both"/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</w:pPr>
      <w:r>
        <w:rPr>
          <w:rFonts w:hint="eastAsia" w:ascii="Kaiti SC Bold" w:hAnsi="Kaiti SC Bold" w:eastAsia="Kaiti SC Bold" w:cs="Kaiti SC Bold"/>
          <w:b/>
          <w:bCs/>
          <w:sz w:val="24"/>
          <w:szCs w:val="24"/>
        </w:rPr>
        <w:t>常见问题手册（中英西）：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整理 10 类高频问题（如 “胎面磨损快原因”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  <w:lang w:val="en-US" w:eastAsia="zh-CN"/>
        </w:rPr>
        <w:t xml:space="preserve"> 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“内胎漏气处理”“质保范围界定”），每类问题附 “原因 + 解决方案 + 配图”，例如：</w:t>
      </w:r>
    </w:p>
    <w:p w14:paraId="73D838A9">
      <w:pPr>
        <w:widowControl w:val="0"/>
        <w:numPr>
          <w:ilvl w:val="0"/>
          <w:numId w:val="0"/>
        </w:numPr>
        <w:bidi w:val="0"/>
        <w:jc w:val="both"/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</w:pP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问题：“TBR 胎肩磨损快”</w:t>
      </w:r>
      <w:r>
        <w:rPr>
          <w:rFonts w:hint="eastAsia" w:ascii="Kaiti SC" w:hAnsi="Kaiti SC" w:eastAsia="Kaiti SC" w:cs="Kaiti SC"/>
          <w:b w:val="0"/>
          <w:bCs w:val="0"/>
          <w:color w:val="auto"/>
          <w:sz w:val="21"/>
          <w:szCs w:val="21"/>
        </w:rPr>
        <w:t>→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原因：“山路行驶胎压过高 / 胎肩胶硬度不足”</w:t>
      </w:r>
      <w:r>
        <w:rPr>
          <w:rFonts w:hint="eastAsia" w:ascii="Kaiti SC" w:hAnsi="Kaiti SC" w:eastAsia="Kaiti SC" w:cs="Kaiti SC"/>
          <w:b w:val="0"/>
          <w:bCs w:val="0"/>
          <w:color w:val="auto"/>
          <w:sz w:val="21"/>
          <w:szCs w:val="21"/>
        </w:rPr>
        <w:t>→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解决方案：“建议胎压降至8bar + 推荐 Lionload TBR（胎肩硬度65A）”；</w:t>
      </w:r>
    </w:p>
    <w:p w14:paraId="2879DD02">
      <w:pPr>
        <w:widowControl w:val="0"/>
        <w:numPr>
          <w:ilvl w:val="0"/>
          <w:numId w:val="0"/>
        </w:numPr>
        <w:bidi w:val="0"/>
        <w:jc w:val="both"/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</w:pP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手册下发至所有销售/售后，每月更新1次（新增客户反馈问题）。</w:t>
      </w:r>
    </w:p>
    <w:p w14:paraId="2B1F1F16">
      <w:pPr>
        <w:widowControl w:val="0"/>
        <w:numPr>
          <w:ilvl w:val="0"/>
          <w:numId w:val="8"/>
        </w:numPr>
        <w:bidi w:val="0"/>
        <w:ind w:left="0" w:leftChars="0" w:firstLine="0" w:firstLineChars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</w:rPr>
      </w:pPr>
      <w:r>
        <w:rPr>
          <w:rFonts w:hint="eastAsia" w:ascii="Kaiti SC Bold" w:hAnsi="Kaiti SC Bold" w:eastAsia="Kaiti SC Bold" w:cs="Kaiti SC Bold"/>
          <w:b/>
          <w:bCs/>
          <w:sz w:val="24"/>
          <w:szCs w:val="24"/>
        </w:rPr>
        <w:t>月度售后培训：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每月组织1次1小时线上培训，邀请生产部技术员讲解 “基础款轮胎结构”“常见质量问题判断”，培训后进行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  <w:lang w:val="en-US" w:eastAsia="zh-CN"/>
        </w:rPr>
        <w:t>试题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小测（如 “丁基胶内胎与天然胶内胎的区别”），确保售后能准确解答客户疑问。</w:t>
      </w:r>
    </w:p>
    <w:p w14:paraId="7A95356A">
      <w:pPr>
        <w:widowControl w:val="0"/>
        <w:numPr>
          <w:numId w:val="0"/>
        </w:numPr>
        <w:bidi w:val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</w:rPr>
      </w:pPr>
      <w:r>
        <w:rPr>
          <w:rFonts w:hint="eastAsia" w:ascii="Kaiti SC Bold" w:hAnsi="Kaiti SC Bold" w:eastAsia="Kaiti SC Bold" w:cs="Kaiti SC Bold"/>
          <w:b/>
          <w:bCs/>
          <w:sz w:val="24"/>
          <w:szCs w:val="24"/>
        </w:rPr>
        <w:t>（三）销售专业度提升：聚焦 “基础款知识 + 本地化沟通”</w:t>
      </w:r>
    </w:p>
    <w:p w14:paraId="3DA7E279">
      <w:pPr>
        <w:widowControl w:val="0"/>
        <w:numPr>
          <w:numId w:val="0"/>
        </w:numPr>
        <w:bidi w:val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</w:rPr>
      </w:pPr>
      <w:r>
        <w:rPr>
          <w:rFonts w:hint="eastAsia" w:ascii="Kaiti SC Bold" w:hAnsi="Kaiti SC Bold" w:eastAsia="Kaiti SC Bold" w:cs="Kaiti SC Bold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 w:ascii="Kaiti SC Bold" w:hAnsi="Kaiti SC Bold" w:eastAsia="Kaiti SC Bold" w:cs="Kaiti SC Bold"/>
          <w:b/>
          <w:bCs/>
          <w:sz w:val="24"/>
          <w:szCs w:val="24"/>
        </w:rPr>
        <w:t>产品知识考核：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每周1次“基础款参数考核”（如“PCR 185/65R15的载重指数、速度级别”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  <w:lang w:val="en-US" w:eastAsia="zh-CN"/>
        </w:rPr>
        <w:t xml:space="preserve"> 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“TBR的胎体层数、帘线材质”），考核不达标者需重学产品手册，确保销售能熟练介绍产品优势。</w:t>
      </w:r>
    </w:p>
    <w:p w14:paraId="15A4E460">
      <w:pPr>
        <w:widowControl w:val="0"/>
        <w:numPr>
          <w:numId w:val="0"/>
        </w:numPr>
        <w:bidi w:val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</w:rPr>
      </w:pPr>
      <w:r>
        <w:rPr>
          <w:rFonts w:hint="eastAsia" w:ascii="Kaiti SC Bold" w:hAnsi="Kaiti SC Bold" w:eastAsia="Kaiti SC Bold" w:cs="Kaiti SC Bold"/>
          <w:b/>
          <w:bCs/>
          <w:sz w:val="24"/>
          <w:szCs w:val="24"/>
          <w:lang w:val="en-US" w:eastAsia="zh-CN"/>
        </w:rPr>
        <w:t xml:space="preserve">2. </w:t>
      </w:r>
      <w:r>
        <w:rPr>
          <w:rFonts w:hint="eastAsia" w:ascii="Kaiti SC Bold" w:hAnsi="Kaiti SC Bold" w:eastAsia="Kaiti SC Bold" w:cs="Kaiti SC Bold"/>
          <w:b/>
          <w:bCs/>
          <w:sz w:val="24"/>
          <w:szCs w:val="24"/>
        </w:rPr>
        <w:t>本地化话术演练：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每季度组织2次模拟沟通（销售扮演客户，售后扮演销售），场景包括“客户讲价”“质疑质量”“要求认证”，重点演练之前整理的10条客户诉求应对话术，确保销售能自然使用中英西双语沟通。</w:t>
      </w:r>
    </w:p>
    <w:p w14:paraId="5F9ED7CD">
      <w:pPr>
        <w:widowControl w:val="0"/>
        <w:numPr>
          <w:numId w:val="0"/>
        </w:numPr>
        <w:bidi w:val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</w:rPr>
      </w:pPr>
      <w:r>
        <w:rPr>
          <w:rFonts w:hint="eastAsia" w:ascii="Kaiti SC Bold" w:hAnsi="Kaiti SC Bold" w:eastAsia="Kaiti SC Bold" w:cs="Kaiti SC Bold"/>
          <w:b/>
          <w:bCs/>
          <w:sz w:val="24"/>
          <w:szCs w:val="24"/>
          <w:lang w:val="en-US" w:eastAsia="zh-CN"/>
        </w:rPr>
        <w:t xml:space="preserve">3. </w:t>
      </w:r>
      <w:r>
        <w:rPr>
          <w:rFonts w:hint="eastAsia" w:ascii="Kaiti SC Bold" w:hAnsi="Kaiti SC Bold" w:eastAsia="Kaiti SC Bold" w:cs="Kaiti SC Bold"/>
          <w:b/>
          <w:bCs/>
          <w:sz w:val="24"/>
          <w:szCs w:val="24"/>
        </w:rPr>
        <w:t>市场</w:t>
      </w:r>
      <w:r>
        <w:rPr>
          <w:rFonts w:hint="eastAsia" w:ascii="Kaiti SC Bold" w:hAnsi="Kaiti SC Bold" w:eastAsia="Kaiti SC Bold" w:cs="Kaiti SC Bold"/>
          <w:b/>
          <w:bCs/>
          <w:sz w:val="24"/>
          <w:szCs w:val="24"/>
          <w:lang w:val="en-US" w:eastAsia="zh-CN"/>
        </w:rPr>
        <w:t>调研与</w:t>
      </w:r>
      <w:r>
        <w:rPr>
          <w:rFonts w:hint="eastAsia" w:ascii="Kaiti SC Bold" w:hAnsi="Kaiti SC Bold" w:eastAsia="Kaiti SC Bold" w:cs="Kaiti SC Bold"/>
          <w:b/>
          <w:bCs/>
          <w:sz w:val="24"/>
          <w:szCs w:val="24"/>
        </w:rPr>
        <w:t>信息同步：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整理《南美市场月报》（含竞品价格变动、政策调整、客户反馈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  <w:lang w:val="en-US" w:eastAsia="zh-CN"/>
        </w:rPr>
        <w:t>等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），下发至销售团队，例如 “2025年10月玲珑PCR在巴西涨价5美元”“阿根廷关税降至16%”，帮助销售及时调整沟通策略。</w:t>
      </w:r>
    </w:p>
    <w:p w14:paraId="574894B4">
      <w:pPr>
        <w:widowControl w:val="0"/>
        <w:numPr>
          <w:numId w:val="0"/>
        </w:numPr>
        <w:bidi w:val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</w:rPr>
      </w:pPr>
      <w:r>
        <w:rPr>
          <w:rFonts w:hint="eastAsia" w:ascii="Kaiti SC Bold" w:hAnsi="Kaiti SC Bold" w:eastAsia="Kaiti SC Bold" w:cs="Kaiti SC Bold"/>
          <w:b/>
          <w:bCs/>
          <w:sz w:val="24"/>
          <w:szCs w:val="24"/>
        </w:rPr>
        <w:t>（四）供应链保障：确保基础款现货与交期</w:t>
      </w:r>
    </w:p>
    <w:p w14:paraId="075AD291">
      <w:pPr>
        <w:widowControl w:val="0"/>
        <w:numPr>
          <w:numId w:val="0"/>
        </w:numPr>
        <w:bidi w:val="0"/>
        <w:jc w:val="both"/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</w:pPr>
      <w:r>
        <w:rPr>
          <w:rFonts w:hint="eastAsia" w:ascii="Kaiti SC Bold" w:hAnsi="Kaiti SC Bold" w:eastAsia="Kaiti SC Bold" w:cs="Kaiti SC Bold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 w:ascii="Kaiti SC Bold" w:hAnsi="Kaiti SC Bold" w:eastAsia="Kaiti SC Bold" w:cs="Kaiti SC Bold"/>
          <w:b/>
          <w:bCs/>
          <w:sz w:val="24"/>
          <w:szCs w:val="24"/>
        </w:rPr>
        <w:t>库存预警机制：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对巴拿马中转仓的核心型号（如PCR 185/65R15、TBR 295/80R22.5）设置库存预警线（低于1000条触发预警），预警后3天内启动国内生产，确保现货率≥90%。</w:t>
      </w:r>
    </w:p>
    <w:p w14:paraId="5ECBC54A">
      <w:pPr>
        <w:widowControl w:val="0"/>
        <w:numPr>
          <w:numId w:val="0"/>
        </w:numPr>
        <w:bidi w:val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</w:rPr>
      </w:pPr>
      <w:r>
        <w:rPr>
          <w:rFonts w:hint="eastAsia" w:ascii="Kaiti SC Bold" w:hAnsi="Kaiti SC Bold" w:eastAsia="Kaiti SC Bold" w:cs="Kaiti SC Bold"/>
          <w:b/>
          <w:bCs/>
          <w:sz w:val="24"/>
          <w:szCs w:val="24"/>
          <w:lang w:val="en-US" w:eastAsia="zh-CN"/>
        </w:rPr>
        <w:t xml:space="preserve">2. </w:t>
      </w:r>
      <w:r>
        <w:rPr>
          <w:rFonts w:hint="eastAsia" w:ascii="Kaiti SC Bold" w:hAnsi="Kaiti SC Bold" w:eastAsia="Kaiti SC Bold" w:cs="Kaiti SC Bold"/>
          <w:b/>
          <w:bCs/>
          <w:sz w:val="24"/>
          <w:szCs w:val="24"/>
        </w:rPr>
        <w:t>物流合作优化：</w:t>
      </w: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</w:rPr>
        <w:t>与中远海运签订长期协议，固定 “大连港 - 巴拿马港” 航线（每周1班），清关委托巴拿马本地代理（如 DHL Global Forwarding），确保国内生产完成后25天内送达中转仓，保障交期稳定。</w:t>
      </w:r>
    </w:p>
    <w:p w14:paraId="4652300F">
      <w:pPr>
        <w:widowControl w:val="0"/>
        <w:numPr>
          <w:numId w:val="0"/>
        </w:numPr>
        <w:bidi w:val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4"/>
          <w:szCs w:val="24"/>
          <w:lang w:eastAsia="zh-CN"/>
        </w:rPr>
        <w:t>（</w:t>
      </w:r>
      <w:r>
        <w:rPr>
          <w:rFonts w:hint="eastAsia" w:ascii="Kaiti SC Bold" w:hAnsi="Kaiti SC Bold" w:eastAsia="Kaiti SC Bold" w:cs="Kaiti SC Bold"/>
          <w:b/>
          <w:bCs/>
          <w:sz w:val="24"/>
          <w:szCs w:val="24"/>
          <w:lang w:val="en-US" w:eastAsia="zh-CN"/>
        </w:rPr>
        <w:t>五）重点渠道开发</w:t>
      </w:r>
    </w:p>
    <w:p w14:paraId="73735B53">
      <w:pPr>
        <w:widowControl w:val="0"/>
        <w:numPr>
          <w:numId w:val="0"/>
        </w:numPr>
        <w:bidi w:val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4"/>
          <w:szCs w:val="24"/>
          <w:lang w:val="en-US" w:eastAsia="zh-CN"/>
        </w:rPr>
        <w:t>1. 委内瑞拉市场专项开发：</w:t>
      </w:r>
    </w:p>
    <w:p w14:paraId="1BA7A790">
      <w:pPr>
        <w:widowControl w:val="0"/>
        <w:numPr>
          <w:numId w:val="0"/>
        </w:numPr>
        <w:bidi w:val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  <w:lang w:val="en-US" w:eastAsia="zh-CN"/>
        </w:rPr>
      </w:pPr>
      <w:r>
        <w:rPr>
          <w:rFonts w:hint="eastAsia" w:ascii="Kaiti SC" w:hAnsi="Kaiti SC" w:eastAsia="Kaiti SC" w:cs="Kaiti SC"/>
          <w:b w:val="0"/>
          <w:bCs w:val="0"/>
          <w:color w:val="808080" w:themeColor="background1" w:themeShade="80"/>
          <w:sz w:val="21"/>
          <w:szCs w:val="21"/>
          <w:lang w:val="en-US" w:eastAsia="zh-CN"/>
        </w:rPr>
        <w:t>参照巴拿马本土具备委内瑞拉清关资质的贸易商（如Panama-Venezuela Logistics）推出 “巴拿马中转 + 合规清关” 打包方案，协助客户完成CACEX外汇额度申请与VUCEM系统文件上传，缩短清关周期至7-10天。</w:t>
      </w:r>
    </w:p>
    <w:p w14:paraId="00EC1E3F">
      <w:pPr>
        <w:widowControl w:val="0"/>
        <w:numPr>
          <w:numId w:val="0"/>
        </w:numPr>
        <w:bidi w:val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  <w:lang w:val="en-US" w:eastAsia="zh-CN"/>
        </w:rPr>
      </w:pPr>
    </w:p>
    <w:p w14:paraId="2A5F19AE">
      <w:pPr>
        <w:widowControl w:val="0"/>
        <w:numPr>
          <w:numId w:val="0"/>
        </w:numPr>
        <w:bidi w:val="0"/>
        <w:jc w:val="both"/>
        <w:rPr>
          <w:rFonts w:hint="eastAsia" w:ascii="Kaiti SC Bold" w:hAnsi="Kaiti SC Bold" w:eastAsia="Kaiti SC Bold" w:cs="Kaiti SC Bold"/>
          <w:b/>
          <w:bCs/>
          <w:sz w:val="24"/>
          <w:szCs w:val="24"/>
          <w:lang w:val="en-US" w:eastAsia="zh-CN"/>
        </w:rPr>
      </w:pPr>
    </w:p>
    <w:p w14:paraId="68400880">
      <w:pPr>
        <w:widowControl w:val="0"/>
        <w:numPr>
          <w:ilvl w:val="0"/>
          <w:numId w:val="3"/>
        </w:numPr>
        <w:bidi w:val="0"/>
        <w:jc w:val="both"/>
        <w:rPr>
          <w:rFonts w:hint="default" w:ascii="Kaiti SC Bold" w:hAnsi="Kaiti SC Bold" w:eastAsia="Kaiti SC Bold" w:cs="Kaiti SC Bold"/>
          <w:b/>
          <w:bCs/>
          <w:sz w:val="28"/>
          <w:szCs w:val="28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8"/>
          <w:szCs w:val="28"/>
          <w:lang w:val="en-US" w:eastAsia="zh-CN"/>
        </w:rPr>
        <w:t>国别研究</w:t>
      </w:r>
    </w:p>
    <w:p w14:paraId="1C8FE9BF">
      <w:pPr>
        <w:widowControl w:val="0"/>
        <w:numPr>
          <w:numId w:val="0"/>
        </w:numPr>
        <w:bidi w:val="0"/>
        <w:jc w:val="both"/>
        <w:rPr>
          <w:rFonts w:hint="eastAsia" w:ascii="Kaiti SC" w:hAnsi="Kaiti SC" w:eastAsia="Kaiti SC" w:cs="Kaiti SC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Kaiti SC" w:hAnsi="Kaiti SC" w:eastAsia="Kaiti SC" w:cs="Kaiti SC"/>
          <w:b w:val="0"/>
          <w:bCs w:val="0"/>
          <w:sz w:val="24"/>
          <w:szCs w:val="24"/>
          <w:lang w:val="en-US" w:eastAsia="zh-CN"/>
        </w:rPr>
        <w:t>对特定国家/区域进行全方位研究。在了解各国政治经济人文之外，调研其物流、税收、退税政策与机制，轮胎行业政策与发展环境，从而规划区域发展方向。</w:t>
      </w:r>
    </w:p>
    <w:p w14:paraId="7142D443">
      <w:pPr>
        <w:widowControl w:val="0"/>
        <w:numPr>
          <w:ilvl w:val="0"/>
          <w:numId w:val="9"/>
        </w:numPr>
        <w:bidi w:val="0"/>
        <w:jc w:val="both"/>
        <w:rPr>
          <w:rFonts w:hint="eastAsia" w:ascii="Kaiti SC" w:hAnsi="Kaiti SC" w:eastAsia="Kaiti SC" w:cs="Kaiti SC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Kaiti SC" w:hAnsi="Kaiti SC" w:eastAsia="Kaiti SC" w:cs="Kaiti SC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eastAsia" w:ascii="Kaiti SC" w:hAnsi="Kaiti SC" w:eastAsia="Kaiti SC" w:cs="Kaiti SC"/>
          <w:b w:val="0"/>
          <w:bCs w:val="0"/>
          <w:sz w:val="24"/>
          <w:szCs w:val="24"/>
          <w:lang w:val="en-US" w:eastAsia="zh-CN"/>
        </w:rPr>
        <w:instrText xml:space="preserve"> HYPERLINK "/Users/lucillesuen/Documents/Github/Marketing/巴拿马市场研究.docx" </w:instrText>
      </w:r>
      <w:r>
        <w:rPr>
          <w:rFonts w:hint="eastAsia" w:ascii="Kaiti SC" w:hAnsi="Kaiti SC" w:eastAsia="Kaiti SC" w:cs="Kaiti SC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eastAsia" w:ascii="Kaiti SC" w:hAnsi="Kaiti SC" w:eastAsia="Kaiti SC" w:cs="Kaiti SC"/>
          <w:b w:val="0"/>
          <w:bCs w:val="0"/>
          <w:sz w:val="24"/>
          <w:szCs w:val="24"/>
          <w:lang w:val="en-US" w:eastAsia="zh-CN"/>
        </w:rPr>
        <w:t>巴拿马</w:t>
      </w:r>
      <w:r>
        <w:rPr>
          <w:rFonts w:hint="eastAsia" w:ascii="Kaiti SC" w:hAnsi="Kaiti SC" w:eastAsia="Kaiti SC" w:cs="Kaiti SC"/>
          <w:b w:val="0"/>
          <w:bCs w:val="0"/>
          <w:sz w:val="24"/>
          <w:szCs w:val="24"/>
          <w:lang w:val="en-US" w:eastAsia="zh-CN"/>
        </w:rPr>
        <w:fldChar w:fldCharType="end"/>
      </w:r>
    </w:p>
    <w:p w14:paraId="2E3AD400">
      <w:pPr>
        <w:widowControl w:val="0"/>
        <w:numPr>
          <w:ilvl w:val="2"/>
          <w:numId w:val="9"/>
        </w:numPr>
        <w:bidi w:val="0"/>
        <w:ind w:left="420" w:leftChars="0" w:firstLine="0" w:firstLineChars="0"/>
        <w:jc w:val="both"/>
        <w:rPr>
          <w:rFonts w:hint="eastAsia" w:ascii="Kaiti SC" w:hAnsi="Kaiti SC" w:eastAsia="Kaiti SC" w:cs="Kaiti SC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Kaiti SC" w:hAnsi="Kaiti SC" w:eastAsia="Kaiti SC" w:cs="Kaiti SC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eastAsia" w:ascii="Kaiti SC" w:hAnsi="Kaiti SC" w:eastAsia="Kaiti SC" w:cs="Kaiti SC"/>
          <w:b w:val="0"/>
          <w:bCs w:val="0"/>
          <w:sz w:val="24"/>
          <w:szCs w:val="24"/>
          <w:lang w:val="en-US" w:eastAsia="zh-CN"/>
        </w:rPr>
        <w:instrText xml:space="preserve"> HYPERLINK "/Users/lucillesuen/Documents/Github/Marketing/巴拿马公司创建流程.docx" </w:instrText>
      </w:r>
      <w:r>
        <w:rPr>
          <w:rFonts w:hint="eastAsia" w:ascii="Kaiti SC" w:hAnsi="Kaiti SC" w:eastAsia="Kaiti SC" w:cs="Kaiti SC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eastAsia" w:ascii="Kaiti SC" w:hAnsi="Kaiti SC" w:eastAsia="Kaiti SC" w:cs="Kaiti SC"/>
          <w:b w:val="0"/>
          <w:bCs w:val="0"/>
          <w:sz w:val="24"/>
          <w:szCs w:val="24"/>
          <w:lang w:val="en-US" w:eastAsia="zh-CN"/>
        </w:rPr>
        <w:t>巴拿马当地公司创建流程</w:t>
      </w:r>
      <w:r>
        <w:rPr>
          <w:rFonts w:hint="eastAsia" w:ascii="Kaiti SC" w:hAnsi="Kaiti SC" w:eastAsia="Kaiti SC" w:cs="Kaiti SC"/>
          <w:b w:val="0"/>
          <w:bCs w:val="0"/>
          <w:sz w:val="24"/>
          <w:szCs w:val="24"/>
          <w:lang w:val="en-US" w:eastAsia="zh-CN"/>
        </w:rPr>
        <w:fldChar w:fldCharType="end"/>
      </w:r>
      <w:bookmarkStart w:id="0" w:name="_GoBack"/>
      <w:bookmarkEnd w:id="0"/>
    </w:p>
    <w:p w14:paraId="542F55E7">
      <w:pPr>
        <w:widowControl w:val="0"/>
        <w:numPr>
          <w:ilvl w:val="0"/>
          <w:numId w:val="9"/>
        </w:numPr>
        <w:bidi w:val="0"/>
        <w:jc w:val="both"/>
        <w:rPr>
          <w:rFonts w:hint="default" w:ascii="Kaiti SC" w:hAnsi="Kaiti SC" w:eastAsia="Kaiti SC" w:cs="Kaiti SC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Kaiti SC" w:hAnsi="Kaiti SC" w:eastAsia="Kaiti SC" w:cs="Kaiti SC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eastAsia" w:ascii="Kaiti SC" w:hAnsi="Kaiti SC" w:eastAsia="Kaiti SC" w:cs="Kaiti SC"/>
          <w:b w:val="0"/>
          <w:bCs w:val="0"/>
          <w:sz w:val="24"/>
          <w:szCs w:val="24"/>
          <w:lang w:val="en-US" w:eastAsia="zh-CN"/>
        </w:rPr>
        <w:instrText xml:space="preserve"> HYPERLINK "/Users/lucillesuen/Documents/Github/Marketing/委内瑞拉市场研究.docx" </w:instrText>
      </w:r>
      <w:r>
        <w:rPr>
          <w:rFonts w:hint="eastAsia" w:ascii="Kaiti SC" w:hAnsi="Kaiti SC" w:eastAsia="Kaiti SC" w:cs="Kaiti SC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eastAsia" w:ascii="Kaiti SC" w:hAnsi="Kaiti SC" w:eastAsia="Kaiti SC" w:cs="Kaiti SC"/>
          <w:b w:val="0"/>
          <w:bCs w:val="0"/>
          <w:sz w:val="24"/>
          <w:szCs w:val="24"/>
          <w:lang w:val="en-US" w:eastAsia="zh-CN"/>
        </w:rPr>
        <w:t>委内瑞拉</w:t>
      </w:r>
      <w:r>
        <w:rPr>
          <w:rFonts w:hint="eastAsia" w:ascii="Kaiti SC" w:hAnsi="Kaiti SC" w:eastAsia="Kaiti SC" w:cs="Kaiti SC"/>
          <w:b w:val="0"/>
          <w:bCs w:val="0"/>
          <w:sz w:val="24"/>
          <w:szCs w:val="24"/>
          <w:lang w:val="en-US" w:eastAsia="zh-CN"/>
        </w:rPr>
        <w:fldChar w:fldCharType="end"/>
      </w:r>
    </w:p>
    <w:p w14:paraId="1F229099">
      <w:pPr>
        <w:widowControl w:val="0"/>
        <w:numPr>
          <w:numId w:val="0"/>
        </w:numPr>
        <w:bidi w:val="0"/>
        <w:jc w:val="both"/>
        <w:rPr>
          <w:rFonts w:hint="eastAsia" w:ascii="Kaiti SC" w:hAnsi="Kaiti SC" w:eastAsia="Kaiti SC" w:cs="Kaiti SC"/>
          <w:b w:val="0"/>
          <w:bCs w:val="0"/>
          <w:sz w:val="24"/>
          <w:szCs w:val="24"/>
          <w:lang w:val="en-US" w:eastAsia="zh-CN"/>
        </w:rPr>
      </w:pPr>
    </w:p>
    <w:p w14:paraId="56F63E50">
      <w:pPr>
        <w:widowControl w:val="0"/>
        <w:numPr>
          <w:numId w:val="0"/>
        </w:numPr>
        <w:bidi w:val="0"/>
        <w:jc w:val="both"/>
        <w:rPr>
          <w:rFonts w:hint="default" w:ascii="Kaiti SC" w:hAnsi="Kaiti SC" w:eastAsia="Kaiti SC" w:cs="Kaiti SC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ontserra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aiti S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aiti SC Bold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FB8AC"/>
    <w:multiLevelType w:val="singleLevel"/>
    <w:tmpl w:val="9FFFB8AC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BDE36BF"/>
    <w:multiLevelType w:val="singleLevel"/>
    <w:tmpl w:val="BBDE36BF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BFBE15FF"/>
    <w:multiLevelType w:val="singleLevel"/>
    <w:tmpl w:val="BFBE15F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97BCB93"/>
    <w:multiLevelType w:val="singleLevel"/>
    <w:tmpl w:val="E97BCB93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7F2ADE6"/>
    <w:multiLevelType w:val="singleLevel"/>
    <w:tmpl w:val="F7F2ADE6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47EC2370"/>
    <w:multiLevelType w:val="singleLevel"/>
    <w:tmpl w:val="47EC23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B1A27C4"/>
    <w:multiLevelType w:val="singleLevel"/>
    <w:tmpl w:val="6B1A27C4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7">
    <w:nsid w:val="7FEF6A7C"/>
    <w:multiLevelType w:val="singleLevel"/>
    <w:tmpl w:val="7FEF6A7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7FF3B16B"/>
    <w:multiLevelType w:val="multilevel"/>
    <w:tmpl w:val="7FF3B16B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6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EEFE0A"/>
    <w:rsid w:val="35FB374B"/>
    <w:rsid w:val="3FFC8A84"/>
    <w:rsid w:val="5DED0D61"/>
    <w:rsid w:val="5FCFC9D3"/>
    <w:rsid w:val="5FFFB354"/>
    <w:rsid w:val="69BF4A27"/>
    <w:rsid w:val="6AB64919"/>
    <w:rsid w:val="6FEEFE0A"/>
    <w:rsid w:val="77FF4011"/>
    <w:rsid w:val="7EEFEC73"/>
    <w:rsid w:val="7F95A039"/>
    <w:rsid w:val="7FF6EB26"/>
    <w:rsid w:val="85F68A73"/>
    <w:rsid w:val="9AFB6BC2"/>
    <w:rsid w:val="BA9F166A"/>
    <w:rsid w:val="BE6F1653"/>
    <w:rsid w:val="BF79CB7D"/>
    <w:rsid w:val="DF3E0C39"/>
    <w:rsid w:val="EF7F0253"/>
    <w:rsid w:val="F05D403F"/>
    <w:rsid w:val="F4AA7110"/>
    <w:rsid w:val="F75EA21C"/>
    <w:rsid w:val="FA4EE02D"/>
    <w:rsid w:val="FBEFF97E"/>
    <w:rsid w:val="FBFD7EC1"/>
    <w:rsid w:val="FBFF1630"/>
    <w:rsid w:val="FCA7BBC2"/>
    <w:rsid w:val="FCED9E1A"/>
    <w:rsid w:val="FCFB56FF"/>
    <w:rsid w:val="FDBD8797"/>
    <w:rsid w:val="FDDFD817"/>
    <w:rsid w:val="FDFB1F53"/>
    <w:rsid w:val="FDFF449A"/>
    <w:rsid w:val="FF3199BE"/>
    <w:rsid w:val="FFBF568E"/>
    <w:rsid w:val="FFF5F196"/>
    <w:rsid w:val="FFFB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Office_12.1.22522.22522_F1E327BC-269C-435d-A152-05C5408002CA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2025-10-11T15:11:00Z</dcterms:created>
  <dc:creator>奇迹畅畅</dc:creator>
  <cp:lastModifiedBy>奇迹畅畅</cp:lastModifiedBy>
  <dcterms:modified xsi:type="dcterms:W3CDTF">2025-10-17T08:55:06Z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2052-12.1.22522.22522</vt:lpwstr>
  </property>
  <property fmtid="{D5CDD505-2E9C-101B-9397-08002B2CF9AE}" pid="3" name="ICV">
    <vt:lpwstr>2033C587ED0B16983703EA6828DC1B06_41</vt:lpwstr>
  </property>
</Properties>
</file>