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  <w:spacing w:line="240" w:lineRule="auto" w:after="60"/>
        <w:snapToGrid w:val="0"/>
      </w:pPr>
      <w:r>
        <w:rPr>
          <w:rFonts w:ascii="Calibri" w:hAnsi="Calibri" w:eastAsia="Noto Sans CJK SC"/>
        </w:rPr>
        <w:t>分子表示比较研究简明汇报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b/>
        </w:rPr>
        <w:t>本次结果：</w:t>
      </w:r>
      <w:r>
        <w:rPr>
          <w:rFonts w:ascii="Calibri" w:hAnsi="Calibri" w:eastAsia="Noto Sans CJK SC"/>
        </w:rPr>
        <w:t>输入形式会影响模型成绩；不同任务的最好表示不同，Our Code并非整体最优。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我们用现有模型deepseek-v4.1-flash做统一测试（benchmark）：同一个分子换种写法，问相同问题，用RDKit化学工具算出的参考答案评分。模型不调用工具，本项目不训练新模型。</w:t>
      </w:r>
    </w:p>
    <w:p>
      <w:pPr>
        <w:pStyle w:val="Heading1"/>
        <w:pageBreakBefore w:val="0"/>
        <w:spacing w:line="240" w:lineRule="auto" w:after="60" w:before="120"/>
        <w:snapToGrid w:val="0"/>
      </w:pPr>
      <w:r>
        <w:rPr>
          <w:rFonts w:ascii="Calibri" w:hAnsi="Calibri" w:eastAsia="Noto Sans CJK SC"/>
        </w:rPr>
        <w:t>一 八种表示的正式结果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数据来自ChEBI-20的MolT5再发布版，开发集和测试集由本项目划分。筛选后候选池含431个分子：无立体化学信息、分子量≥300 Da且至少2环等。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Identity比较共同的200个题对；其余四项各比较共同的199个分子。少1个是因为含铜分子不满足当前Graph3D构象优化流程；不换题，也不把转换失败当作模型答错。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559"/>
        <w:gridCol w:w="1672"/>
        <w:gridCol w:w="1502"/>
        <w:gridCol w:w="1474"/>
        <w:gridCol w:w="1837"/>
      </w:tblGrid>
      <w:tr>
        <w:trPr>
          <w:cantSplit/>
          <w:tblHeader/>
        </w:trPr>
        <w:tc>
          <w:tcPr>
            <w:tcW w:type="dxa" w:w="2268"/>
            <w:vAlign w:val="center"/>
            <w:shd w:fill="203E53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b/>
                <w:color w:val="FFFFFF"/>
                <w:sz w:val="20"/>
              </w:rPr>
              <w:t>输入表示</w:t>
            </w:r>
          </w:p>
        </w:tc>
        <w:tc>
          <w:tcPr>
            <w:tcW w:type="dxa" w:w="1559"/>
            <w:vAlign w:val="center"/>
            <w:shd w:fill="203E53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b/>
                <w:color w:val="FFFFFF"/>
                <w:sz w:val="20"/>
              </w:rPr>
              <w:t>同分子判断</w:t>
              <w:br/>
              <w:t>准确率 ↑</w:t>
              <w:br/>
              <w:t>n=200</w:t>
            </w:r>
          </w:p>
        </w:tc>
        <w:tc>
          <w:tcPr>
            <w:tcW w:type="dxa" w:w="1672"/>
            <w:vAlign w:val="center"/>
            <w:shd w:fill="203E53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b/>
                <w:color w:val="FFFFFF"/>
                <w:sz w:val="20"/>
              </w:rPr>
              <w:t>子结构识别</w:t>
              <w:br/>
              <w:t>Macro-F1 ↑</w:t>
              <w:br/>
              <w:t>n=199</w:t>
            </w:r>
          </w:p>
        </w:tc>
        <w:tc>
          <w:tcPr>
            <w:tcW w:type="dxa" w:w="1502"/>
            <w:vAlign w:val="center"/>
            <w:shd w:fill="203E53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b/>
                <w:color w:val="FFFFFF"/>
                <w:sz w:val="20"/>
              </w:rPr>
              <w:t>元素计数</w:t>
              <w:br/>
              <w:t>准确率 ↑</w:t>
              <w:br/>
              <w:t>n=199</w:t>
            </w:r>
          </w:p>
        </w:tc>
        <w:tc>
          <w:tcPr>
            <w:tcW w:type="dxa" w:w="1474"/>
            <w:vAlign w:val="center"/>
            <w:shd w:fill="203E53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b/>
                <w:color w:val="FFFFFF"/>
                <w:sz w:val="20"/>
              </w:rPr>
              <w:t>QED估计</w:t>
              <w:br/>
              <w:t>MAE ↓</w:t>
              <w:br/>
              <w:t>n=199</w:t>
            </w:r>
          </w:p>
        </w:tc>
        <w:tc>
          <w:tcPr>
            <w:tcW w:type="dxa" w:w="1837"/>
            <w:vAlign w:val="center"/>
            <w:shd w:fill="203E53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b/>
                <w:color w:val="FFFFFF"/>
                <w:sz w:val="20"/>
              </w:rPr>
              <w:t>氢键供体</w:t>
              <w:br/>
              <w:t>准确率 ↑</w:t>
              <w:br/>
              <w:t>n=199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SMILES</w:t>
            </w:r>
          </w:p>
        </w:tc>
        <w:tc>
          <w:tcPr>
            <w:tcW w:type="dxa" w:w="1559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0.985</w:t>
            </w:r>
          </w:p>
        </w:tc>
        <w:tc>
          <w:tcPr>
            <w:tcW w:type="dxa" w:w="1672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0.839</w:t>
            </w:r>
          </w:p>
        </w:tc>
        <w:tc>
          <w:tcPr>
            <w:tcW w:type="dxa" w:w="1502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0.231</w:t>
            </w:r>
          </w:p>
        </w:tc>
        <w:tc>
          <w:tcPr>
            <w:tcW w:type="dxa" w:w="1474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b/>
                <w:sz w:val="20"/>
              </w:rPr>
              <w:t>0.111</w:t>
            </w:r>
          </w:p>
        </w:tc>
        <w:tc>
          <w:tcPr>
            <w:tcW w:type="dxa" w:w="1837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0.814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SELFIES</w:t>
            </w:r>
          </w:p>
        </w:tc>
        <w:tc>
          <w:tcPr>
            <w:tcW w:type="dxa" w:w="1559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0.540</w:t>
            </w:r>
          </w:p>
        </w:tc>
        <w:tc>
          <w:tcPr>
            <w:tcW w:type="dxa" w:w="1672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0.546</w:t>
            </w:r>
          </w:p>
        </w:tc>
        <w:tc>
          <w:tcPr>
            <w:tcW w:type="dxa" w:w="1502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0.015</w:t>
            </w:r>
          </w:p>
        </w:tc>
        <w:tc>
          <w:tcPr>
            <w:tcW w:type="dxa" w:w="1474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0.180</w:t>
            </w:r>
          </w:p>
        </w:tc>
        <w:tc>
          <w:tcPr>
            <w:tcW w:type="dxa" w:w="1837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0.432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Our Code</w:t>
            </w:r>
          </w:p>
        </w:tc>
        <w:tc>
          <w:tcPr>
            <w:tcW w:type="dxa" w:w="1559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b/>
                <w:sz w:val="20"/>
              </w:rPr>
              <w:t>1.000</w:t>
            </w:r>
          </w:p>
        </w:tc>
        <w:tc>
          <w:tcPr>
            <w:tcW w:type="dxa" w:w="1672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0.515</w:t>
            </w:r>
          </w:p>
        </w:tc>
        <w:tc>
          <w:tcPr>
            <w:tcW w:type="dxa" w:w="1502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0.191</w:t>
            </w:r>
          </w:p>
        </w:tc>
        <w:tc>
          <w:tcPr>
            <w:tcW w:type="dxa" w:w="1474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0.139</w:t>
            </w:r>
          </w:p>
        </w:tc>
        <w:tc>
          <w:tcPr>
            <w:tcW w:type="dxa" w:w="1837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0.427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img 二维结构图</w:t>
            </w:r>
          </w:p>
        </w:tc>
        <w:tc>
          <w:tcPr>
            <w:tcW w:type="dxa" w:w="1559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0.990</w:t>
            </w:r>
          </w:p>
        </w:tc>
        <w:tc>
          <w:tcPr>
            <w:tcW w:type="dxa" w:w="1672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b/>
                <w:sz w:val="20"/>
              </w:rPr>
              <w:t>0.868</w:t>
            </w:r>
          </w:p>
        </w:tc>
        <w:tc>
          <w:tcPr>
            <w:tcW w:type="dxa" w:w="1502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b/>
                <w:sz w:val="20"/>
              </w:rPr>
              <w:t>0.342</w:t>
            </w:r>
          </w:p>
        </w:tc>
        <w:tc>
          <w:tcPr>
            <w:tcW w:type="dxa" w:w="1474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0.119</w:t>
            </w:r>
          </w:p>
        </w:tc>
        <w:tc>
          <w:tcPr>
            <w:tcW w:type="dxa" w:w="1837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b/>
                <w:sz w:val="20"/>
              </w:rPr>
              <w:t>0.975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Graph2D 二维文本</w:t>
            </w:r>
          </w:p>
        </w:tc>
        <w:tc>
          <w:tcPr>
            <w:tcW w:type="dxa" w:w="1559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0.850</w:t>
            </w:r>
          </w:p>
        </w:tc>
        <w:tc>
          <w:tcPr>
            <w:tcW w:type="dxa" w:w="1672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0.438</w:t>
            </w:r>
          </w:p>
        </w:tc>
        <w:tc>
          <w:tcPr>
            <w:tcW w:type="dxa" w:w="1502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0.055</w:t>
            </w:r>
          </w:p>
        </w:tc>
        <w:tc>
          <w:tcPr>
            <w:tcW w:type="dxa" w:w="1474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0.145</w:t>
            </w:r>
          </w:p>
        </w:tc>
        <w:tc>
          <w:tcPr>
            <w:tcW w:type="dxa" w:w="1837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0.382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Graph3D 三维文本</w:t>
            </w:r>
          </w:p>
        </w:tc>
        <w:tc>
          <w:tcPr>
            <w:tcW w:type="dxa" w:w="1559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0.980</w:t>
            </w:r>
          </w:p>
        </w:tc>
        <w:tc>
          <w:tcPr>
            <w:tcW w:type="dxa" w:w="1672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0.571</w:t>
            </w:r>
          </w:p>
        </w:tc>
        <w:tc>
          <w:tcPr>
            <w:tcW w:type="dxa" w:w="1502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0.070</w:t>
            </w:r>
          </w:p>
        </w:tc>
        <w:tc>
          <w:tcPr>
            <w:tcW w:type="dxa" w:w="1474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0.170</w:t>
            </w:r>
          </w:p>
        </w:tc>
        <w:tc>
          <w:tcPr>
            <w:tcW w:type="dxa" w:w="1837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0.387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CML</w:t>
            </w:r>
          </w:p>
        </w:tc>
        <w:tc>
          <w:tcPr>
            <w:tcW w:type="dxa" w:w="1559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0.970</w:t>
            </w:r>
          </w:p>
        </w:tc>
        <w:tc>
          <w:tcPr>
            <w:tcW w:type="dxa" w:w="1672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0.523</w:t>
            </w:r>
          </w:p>
        </w:tc>
        <w:tc>
          <w:tcPr>
            <w:tcW w:type="dxa" w:w="1502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0.196</w:t>
            </w:r>
          </w:p>
        </w:tc>
        <w:tc>
          <w:tcPr>
            <w:tcW w:type="dxa" w:w="1474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0.128</w:t>
            </w:r>
          </w:p>
        </w:tc>
        <w:tc>
          <w:tcPr>
            <w:tcW w:type="dxa" w:w="1837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0.467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MolJSON</w:t>
            </w:r>
          </w:p>
        </w:tc>
        <w:tc>
          <w:tcPr>
            <w:tcW w:type="dxa" w:w="1559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0.620</w:t>
            </w:r>
          </w:p>
        </w:tc>
        <w:tc>
          <w:tcPr>
            <w:tcW w:type="dxa" w:w="1672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0.434</w:t>
            </w:r>
          </w:p>
        </w:tc>
        <w:tc>
          <w:tcPr>
            <w:tcW w:type="dxa" w:w="1502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0.216</w:t>
            </w:r>
          </w:p>
        </w:tc>
        <w:tc>
          <w:tcPr>
            <w:tcW w:type="dxa" w:w="1474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0.149</w:t>
            </w:r>
          </w:p>
        </w:tc>
        <w:tc>
          <w:tcPr>
            <w:tcW w:type="dxa" w:w="1837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jc w:val="center"/>
              <w:snapToGrid w:val="0"/>
            </w:pPr>
            <w:r>
              <w:rPr>
                <w:rFonts w:ascii="Calibri" w:hAnsi="Calibri" w:eastAsia="Noto Sans CJK SC"/>
                <w:sz w:val="20"/>
              </w:rPr>
              <w:t>0.357</w:t>
            </w:r>
          </w:p>
        </w:tc>
      </w:tr>
    </w:tbl>
    <w:p>
      <w:pPr>
        <w:pageBreakBefore w:val="0"/>
        <w:spacing w:after="60" w:line="240" w:lineRule="auto"/>
        <w:snapToGrid w:val="0"/>
      </w:pPr>
      <w:r>
        <w:rPr>
          <w:rFonts w:ascii="Calibri" w:hAnsi="Calibri" w:eastAsia="Noto Sans CJK SC"/>
          <w:sz w:val="4"/>
        </w:rPr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↑越大越好，↓越小越好；n是题数。粗体只表示本列数值最好，不表示已通过统计检验证明优于其他表示。</w:t>
      </w:r>
    </w:p>
    <w:p>
      <w:pPr>
        <w:pStyle w:val="Heading1"/>
        <w:pageBreakBefore w:val="0"/>
        <w:spacing w:line="240" w:lineRule="auto" w:after="60" w:before="120"/>
        <w:snapToGrid w:val="0"/>
      </w:pPr>
      <w:r>
        <w:rPr>
          <w:rFonts w:ascii="Calibri" w:hAnsi="Calibri" w:eastAsia="Noto Sans CJK SC"/>
        </w:rPr>
        <w:t>二 五列分别在问什么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同分子判断（Identity）：两份输入是不是同一个分子？准确率1.000就是全部答对。元素计数：碳C、氮N、氧O、硫S各有几个？四个数全部正确才算该题答对。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子结构识别：分子里有没有指定官能团，即醇、酯等局部原子组合？主分数对固定10类的F1等权平均，同时考虑误报和漏报；0.868不能读成“86.8%的题全对”。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QED估计：估计一个描述“类药性”的0到1分数。MAE是与参考值的平均绝对差，例如参考值0.60、回答0.70，该题误差为0.10。氢键供体（HBD）：能提供氢键中氢的位点有几个？数量完全正确才算对，不是数全部氢原子。</w:t>
      </w:r>
    </w:p>
    <w:p>
      <w:pPr>
        <w:pStyle w:val="Heading1"/>
        <w:pageBreakBefore w:val="0"/>
        <w:spacing w:line="240" w:lineRule="auto" w:after="60" w:before="120"/>
        <w:snapToGrid w:val="0"/>
      </w:pPr>
      <w:r>
        <w:rPr>
          <w:rFonts w:ascii="Calibri" w:hAnsi="Calibri" w:eastAsia="Noto Sans CJK SC"/>
        </w:rPr>
        <w:t>三 最值得汇报的发现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图片在子结构、元素计数和HBD三项数值最好；但元素计数准确率也只有34.2%，不能说图片已经全面可靠。SMILES的QED误差最小；Our Code的Identity为200题全对，但其他四项表现均不及图片。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Graph3D比Graph2D的子结构和元素计数更好，QED误差却更大；三维坐标没有改善所有任务。</w:t>
      </w:r>
    </w:p>
    <w:p>
      <w:pPr>
        <w:pStyle w:val="Heading1"/>
        <w:pageBreakBefore w:val="0"/>
        <w:spacing w:line="240" w:lineRule="auto" w:after="60" w:before="120"/>
        <w:snapToGrid w:val="0"/>
      </w:pPr>
      <w:r>
        <w:rPr>
          <w:rFonts w:ascii="Calibri" w:hAnsi="Calibri" w:eastAsia="Noto Sans CJK SC"/>
        </w:rPr>
        <w:t>四 八种输入形式的区别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表中的八行是八种分子表达方式，不是八个AI模型。Our Code是一种给模型阅读的构造代码；模型不会执行它来算答案。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8498"/>
      </w:tblGrid>
      <w:tr>
        <w:trPr>
          <w:cantSplit/>
          <w:tblHeader/>
        </w:trPr>
        <w:tc>
          <w:tcPr>
            <w:tcW w:type="dxa" w:w="1814"/>
            <w:vAlign w:val="center"/>
            <w:shd w:fill="203E53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b/>
                <w:color w:val="FFFFFF"/>
                <w:sz w:val="20"/>
              </w:rPr>
              <w:t>表示</w:t>
            </w:r>
          </w:p>
        </w:tc>
        <w:tc>
          <w:tcPr>
            <w:tcW w:type="dxa" w:w="8498"/>
            <w:vAlign w:val="center"/>
            <w:shd w:fill="203E53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b/>
                <w:color w:val="FFFFFF"/>
                <w:sz w:val="20"/>
              </w:rPr>
              <w:t>模型实际读到的内容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SMILES</w:t>
            </w:r>
          </w:p>
        </w:tc>
        <w:tc>
          <w:tcPr>
            <w:tcW w:type="dxa" w:w="8498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用元素符号、括号和数字描述原子及连接关系的一行字符串。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SELFIES</w:t>
            </w:r>
          </w:p>
        </w:tc>
        <w:tc>
          <w:tcPr>
            <w:tcW w:type="dxa" w:w="8498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用方括号词元及对应规则描述分子的另一种字符串。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Our Code</w:t>
            </w:r>
          </w:p>
        </w:tc>
        <w:tc>
          <w:tcPr>
            <w:tcW w:type="dxa" w:w="8498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用Atom和Bond等记录逐条列出原子与化学键的代码。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img</w:t>
            </w:r>
          </w:p>
        </w:tc>
        <w:tc>
          <w:tcPr>
            <w:tcW w:type="dxa" w:w="8498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二维化学结构图片，模型直接看图。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Graph2D</w:t>
            </w:r>
          </w:p>
        </w:tc>
        <w:tc>
          <w:tcPr>
            <w:tcW w:type="dxa" w:w="8498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包含原子、化学键和二维坐标的MOL连接表文本。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Graph3D</w:t>
            </w:r>
          </w:p>
        </w:tc>
        <w:tc>
          <w:tcPr>
            <w:tcW w:type="dxa" w:w="8498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同类MOL文本，坐标来自计算生成的三维构象。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CML</w:t>
            </w:r>
          </w:p>
        </w:tc>
        <w:tc>
          <w:tcPr>
            <w:tcW w:type="dxa" w:w="8498"/>
            <w:vAlign w:val="center"/>
            <w:shd w:fill="F1F5F7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用XML标签组织原子、化学键等信息的文本。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MolJSON</w:t>
            </w:r>
          </w:p>
        </w:tc>
        <w:tc>
          <w:tcPr>
            <w:tcW w:type="dxa" w:w="8498"/>
            <w:vAlign w:val="center"/>
            <w:shd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20" w:line="240" w:lineRule="auto"/>
              <w:snapToGrid w:val="0"/>
            </w:pPr>
            <w:r>
              <w:rPr>
                <w:rFonts w:ascii="Calibri" w:hAnsi="Calibri" w:eastAsia="Noto Sans CJK SC"/>
                <w:sz w:val="20"/>
              </w:rPr>
              <w:t>按作者规定的JSON格式组织分子信息的文本。</w:t>
            </w:r>
          </w:p>
        </w:tc>
      </w:tr>
    </w:tbl>
    <w:p>
      <w:pPr>
        <w:pageBreakBefore w:val="0"/>
        <w:spacing w:after="60" w:line="240" w:lineRule="auto"/>
        <w:snapToGrid w:val="0"/>
      </w:pPr>
      <w:r>
        <w:rPr>
          <w:rFonts w:ascii="Calibri" w:hAnsi="Calibri" w:eastAsia="Noto Sans CJK SC"/>
          <w:sz w:val="4"/>
        </w:rPr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Graph2D和Graph3D在本项目中都是文本，只有img是图片；Graph3D不是让模型观看三维球棍图。</w:t>
      </w:r>
    </w:p>
    <w:p>
      <w:pPr>
        <w:pStyle w:val="Heading1"/>
        <w:pageBreakBefore w:val="0"/>
        <w:spacing w:line="240" w:lineRule="auto" w:after="60" w:before="120"/>
        <w:snapToGrid w:val="0"/>
      </w:pPr>
      <w:r>
        <w:rPr>
          <w:rFonts w:ascii="Calibri" w:hAnsi="Calibri" w:eastAsia="Noto Sans CJK SC"/>
        </w:rPr>
        <w:t>五 Our Code 错在哪里以及下一步怎么查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b/>
        </w:rPr>
        <w:t>已经知道的现象：</w:t>
      </w:r>
      <w:r>
        <w:rPr>
          <w:rFonts w:ascii="Calibri" w:hAnsi="Calibri" w:eastAsia="Noto Sans CJK SC"/>
        </w:rPr>
        <w:t>HBD的199题中，Our Code答对85题，图片答对194题。有109题是图片答对、Our Code答错，反过来的情况为0题。元素计数中，图片对而代码错55题，反向25题。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这说明本批题目有明显的成绩差距，但还不知道原因。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b/>
        </w:rPr>
        <w:t>值得检查的线索：</w:t>
      </w:r>
      <w:r>
        <w:rPr>
          <w:rFonts w:ascii="Calibri" w:hAnsi="Calibri" w:eastAsia="Noto Sans CJK SC"/>
        </w:rPr>
        <w:t>原版Our Code多数原子的氢数需要模型根据化学键推断。图片中的NH、OH标签直接显示部分氢，但碳和不少氢也会省略。两种输入表达氢信息的方式不同。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因此，“把氢数写清楚后，模型会不会更容易判断HBD”是一个待验证的问题。目前不能说缺少氢数就是失分原因，也不能说补上氢数一定最好。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b/>
        </w:rPr>
        <w:t>下一步的验证办法：</w:t>
      </w:r>
      <w:r>
        <w:rPr>
          <w:rFonts w:ascii="Calibri" w:hAnsi="Calibri" w:eastAsia="Noto Sans CJK SC"/>
        </w:rPr>
        <w:t>准备两个版本，只让其中一个把每个原子的氢数写清楚，其他内容保持不变，再让模型回答同一批开发集题目。这叫单因素对照；开发集用于试方案，未参与调试的新题用于验证效果。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b/>
          <w:sz w:val="20"/>
        </w:rPr>
        <w:t>当前进度：</w:t>
      </w:r>
      <w:r>
        <w:rPr>
          <w:rFonts w:ascii="Calibri" w:hAnsi="Calibri" w:eastAsia="Noto Sans CJK SC"/>
          <w:sz w:val="20"/>
        </w:rPr>
        <w:t>Our Code + H候选已完成，431个分子通过结构一致性检查。它只补充氢信息，不改变分子；尚未交给模型测试，所以没有新成绩，也没有放进前面的八行表。</w:t>
      </w:r>
    </w:p>
    <w:p>
      <w:pPr>
        <w:pStyle w:val="Heading1"/>
        <w:pageBreakBefore w:val="0"/>
        <w:spacing w:line="240" w:lineRule="auto" w:after="60" w:before="120"/>
        <w:snapToGrid w:val="0"/>
      </w:pPr>
      <w:r>
        <w:rPr>
          <w:rFonts w:ascii="Calibri" w:hAnsi="Calibri" w:eastAsia="Noto Sans CJK SC"/>
        </w:rPr>
        <w:t>六 与教授论文的关系和结论范围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我们参考《Rethinking Molecular Text Representations for LLMs》（arXiv:2606.03057v1）的比较思路，加入Our Code、图片、MOL二维和三维文本及QED任务。这是扩展实验，不是整篇论文的完整复现。</w:t>
      </w:r>
    </w:p>
    <w:p>
      <w:pPr>
        <w:pageBreakBefore w:val="0"/>
        <w:spacing w:line="240" w:lineRule="auto" w:after="60"/>
        <w:snapToGrid w:val="0"/>
      </w:pPr>
      <w:r>
        <w:rPr>
          <w:rFonts w:ascii="Calibri" w:hAnsi="Calibri" w:eastAsia="Noto Sans CJK SC"/>
          <w:sz w:val="20"/>
        </w:rPr>
        <w:t>结论限于当前模型名、样本和提示条件；服务端未提供权重版本，Identity暂作描述性比较。坐标文本成绩不能证明完整三维推理能力，QED/HBD也不代表药物疗效或安全性。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本次补充：后续各页展示原论文方法、实际运行的核心代码与五项模型prompt、逐题评分证据、参考答案重建，以及不用API Key的复算命令；最后一节给出GitHub发布commit、从全新目录clone复算的结果与远端自动化检查的实际状态。</w:t>
      </w:r>
    </w:p>
    <w:p>
      <w:pPr>
        <w:pStyle w:val="Heading1"/>
        <w:snapToGrid w:val="0"/>
      </w:pPr>
      <w:r>
        <w:rPr>
          <w:rFonts w:ascii="Calibri" w:hAnsi="Calibri" w:eastAsia="Noto Sans CJK SC"/>
          <w:b/>
          <w:color w:val="000000"/>
          <w:sz w:val="28"/>
        </w:rPr>
        <w:t>七 原论文如何进行比较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论文研究的是分子的写法怎样影响LLM表现。作者先固定任务与参考分子，把同一分子转换成不同文本表示，给模型相应输入和统一任务提示，再用独立的标准答案评价。模型的理解能力由回答成绩体现。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正文第3至4节介绍任务与实验；PDF第15页的Appendix C和D给出数据和任务定义；第16至17页的Appendix E公开实际prompt。本文依据这份25页PDF，不声称已经取得或运行作者的完整源码。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13"/>
        <w:gridCol w:w="3456"/>
        <w:gridCol w:w="4349"/>
      </w:tblGrid>
      <w:tr>
        <w:trPr>
          <w:tblHeader/>
          <w:cantSplit/>
        </w:trPr>
        <w:tc>
          <w:tcPr>
            <w:tcW w:type="dxa" w:w="16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C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/>
                <w:sz w:val="19"/>
              </w:rPr>
              <w:t>比较项目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C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/>
                <w:sz w:val="19"/>
              </w:rPr>
              <w:t>原论文</w:t>
            </w:r>
          </w:p>
        </w:tc>
        <w:tc>
          <w:tcPr>
            <w:tcW w:type="dxa" w:w="43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C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/>
                <w:sz w:val="19"/>
              </w:rPr>
              <w:t>本项目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输入表示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9种文本表示</w:t>
            </w:r>
          </w:p>
        </w:tc>
        <w:tc>
          <w:tcPr>
            <w:tcW w:type="dxa" w:w="43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8种输入形式，包含Our Code和图片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任务与模型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8项任务，16个LLM</w:t>
            </w:r>
          </w:p>
        </w:tc>
        <w:tc>
          <w:tcPr>
            <w:tcW w:type="dxa" w:w="43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5项任务，一个模型deepseek-v4.1-flash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数据划分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ChEBI-20官方test；部分任务ZINC250K</w:t>
            </w:r>
          </w:p>
        </w:tc>
        <w:tc>
          <w:tcPr>
            <w:tcW w:type="dxa" w:w="43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ChEBI-20再发布validation/test合并后由本项目重划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结构门槛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MW ≥ 300 Da且至少2环</w:t>
            </w:r>
          </w:p>
        </w:tc>
        <w:tc>
          <w:tcPr>
            <w:tcW w:type="dxa" w:w="43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沿用门槛，并要求Our Code可解析与一致往返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元素计数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每次询问一种元素</w:t>
            </w:r>
          </w:p>
        </w:tc>
        <w:tc>
          <w:tcPr>
            <w:tcW w:type="dxa" w:w="43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一次询问C/N/O/S，四种全部正确才算对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官能团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逐次询问5类中的一类</w:t>
            </w:r>
          </w:p>
        </w:tc>
        <w:tc>
          <w:tcPr>
            <w:tcW w:type="dxa" w:w="43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一次问13类，固定10类参与主Macro-F1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任务输出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逐步推理后给boxed答案</w:t>
            </w:r>
          </w:p>
        </w:tc>
        <w:tc>
          <w:tcPr>
            <w:tcW w:type="dxa" w:w="43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要求一个简短JSON对象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性质任务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LogP、TPSA、HBD、HBA</w:t>
            </w:r>
          </w:p>
        </w:tc>
        <w:tc>
          <w:tcPr>
            <w:tcW w:type="dxa" w:w="43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本轮HBD；新增QED估计</w:t>
            </w:r>
          </w:p>
        </w:tc>
      </w:tr>
    </w:tbl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因此，我们复用了“控制模型和题目、改变输入形式”的比较思路，并修改了任务、问法和实验范围。这是扩展实验。它不能直接继承原论文的全部结论。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原文正文对LogP/TPSA使用Spearman相关；Appendix D另有exact-match表述，二者措辞不完全一致。本项目QED明确采用MAE，不能写成论文原指标。</w:t>
      </w:r>
    </w:p>
    <w:p>
      <w:pPr>
        <w:pStyle w:val="Heading1"/>
        <w:pageBreakBefore/>
        <w:snapToGrid w:val="0"/>
      </w:pPr>
      <w:r>
        <w:rPr>
          <w:rFonts w:ascii="Calibri" w:hAnsi="Calibri" w:eastAsia="Noto Sans CJK SC"/>
          <w:b/>
          <w:color w:val="000000"/>
          <w:sz w:val="28"/>
        </w:rPr>
        <w:t>八 核心代码怎样把分子变成模型输入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整条流程是：原始分子 → 筛选并冻结题单 → 生成表示 → 组装prompt → 模型回答 → 对照RDKit参考答案 → 算分。模型只接收表示和问题；参考答案留在程序一侧。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基础类在 research/01_implementation/molecule_core.py。Atom保存一个原子的记录，Bond保存两个原子之间的键，Molecule把这些记录组成一个分子。以下是原代码的字段摘录，省略校验方法。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@dataclass(frozen=True)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class Atom: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id: str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element: str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formal_charge: int = 0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isotope: int = 0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aromatic: bool = False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explicit_hs: int | None = None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atom_map: int | None = None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@dataclass(frozen=True)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class Bond: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begin: str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end: str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bond_type: str = 'SINGLE' 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id是分子内部标签，element是元素，formal_charge是电荷，aromatic表示是否芳香。explicit_hs=None沿用隐式氢规则；整数表示确定的显式氢数。未在构造文本写出的字段采用默认值，不能把“省略字段”理解成“没有氢”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真正的表示转换入口在bmb/reps.py，最终执行基础类的to_code。下面是该函数的实际源码，打印换行仅为排版。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def our_code_text(smiles: str) -&gt; str: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"""The professor prototype's constructor text for this molecule."""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try: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    return _core_molecule(smiles).to_code()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except Exception as exc: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    raise RepresentationError('Our Code cannot express %r: %s' % (smiles, exc)) from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 exc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例如乙醇CCO产生三条Atom和两条Bond。模型阅读这些构造代码，不执行Python来得到答案。这个教学分子太小，不满足正式复杂度门槛。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Molecule(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atoms=(Atom(id='a0', element='C'),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       Atom(id='a1', element='C'),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       Atom(id='a2', element='O')),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bonds=(Bond(begin='a0', end='a1'),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       Bond(begin='a1', end='a2')),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)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上面乙醇构造为了阅读合并了行；完整生成格式与全部方法见源码。教授原型的三份核心文件字节一致，SHA-256以55d314aa开头；本次未改基础类。</w:t>
      </w:r>
    </w:p>
    <w:p>
      <w:pPr>
        <w:pStyle w:val="Heading1"/>
        <w:pageBreakBefore/>
        <w:snapToGrid w:val="0"/>
      </w:pPr>
      <w:r>
        <w:rPr>
          <w:rFonts w:ascii="Calibri" w:hAnsi="Calibri" w:eastAsia="Noto Sans CJK SC"/>
          <w:b/>
          <w:color w:val="000000"/>
          <w:sz w:val="28"/>
        </w:rPr>
        <w:t>九 模型实际收到的提示词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以下来自实际bmb/tasks.py及冻结历史输入，不是新编的优化提示。完整模板、八种表示说明和五个真实例子已导出到prompts目录。CodeBuddy执行指令是开发工具的任务单，与这些分子题目不同。</w:t>
      </w:r>
    </w:p>
    <w:p>
      <w:pPr>
        <w:pStyle w:val="Heading2"/>
        <w:snapToGrid w:val="0"/>
      </w:pPr>
      <w:r>
        <w:rPr>
          <w:rFonts w:ascii="Calibri" w:hAnsi="Calibri" w:eastAsia="Noto Sans CJK SC"/>
          <w:b/>
          <w:color w:val="000000"/>
          <w:sz w:val="22"/>
        </w:rPr>
        <w:t>所有任务共用的system prompt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You are answering chemistry questions. You cannot run code, call tools, or look anything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 up. Answer only from the structure you are given. Reply with a single compact JSON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object and nothing else.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意思是：只能根据给定结构回答，不运行代码或查询工具，只输出一个简短JSON。模型的正确与否由外部程序判断。</w:t>
      </w:r>
    </w:p>
    <w:p>
      <w:pPr>
        <w:pStyle w:val="Heading2"/>
        <w:snapToGrid w:val="0"/>
      </w:pPr>
      <w:r>
        <w:rPr>
          <w:rFonts w:ascii="Calibri" w:hAnsi="Calibri" w:eastAsia="Noto Sans CJK SC"/>
          <w:b/>
          <w:color w:val="000000"/>
          <w:sz w:val="22"/>
        </w:rPr>
        <w:t>Our Code输入说明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Each molecule is given as Python source that builds explicit records. Atom(id=...,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element=..., formal_charge=..., isotope=..., aromatic=..., explicit_hs=...,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atom_map=...) describes one atom; Bond(begin=..., end=..., bond_type=...) describes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one bond between two atom ids; Molecule(atoms=(...), bonds=(...)) collects them.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Atom.id is only a local label inside that one expression and carries no chemical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meaning. explicit_hs=None means the element's normal implicit-hydrogen rule applies;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 an integer is an exact hydrogen count.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user消息的结构是Representation说明、Molecule分子内容、任务instruction；Identity改为A和B两份内容。省略分子内容的模板不能冒称一条完整历史请求；完整请求在historical_our_code_examples.json。</w:t>
      </w:r>
    </w:p>
    <w:p>
      <w:pPr>
        <w:pStyle w:val="Heading2"/>
        <w:snapToGrid w:val="0"/>
      </w:pPr>
      <w:r>
        <w:rPr>
          <w:rFonts w:ascii="Calibri" w:hAnsi="Calibri" w:eastAsia="Noto Sans CJK SC"/>
          <w:b/>
          <w:color w:val="000000"/>
          <w:sz w:val="22"/>
        </w:rPr>
        <w:t>同分子判断的实际instruction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Structure A and structure B are two encodings of possibly the same molecule.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Decide whether they describe the SAME molecule.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Two encodings describe the same molecule when they have the same atoms, the same bonds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between those atoms, the same bond orders and the same formal charges, regardless of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 which atom the text happens to start from or how the records are ordered.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Reply with JSON only: {"same_molecule": true} or {"same_molecule": false}.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模型应返回same_molecule的true或false；依据原子、键、键级和电荷判断，不比较字符串是否一样。历史输入排序规则仍有差异，所以该项不能作确认性优势结论。</w:t>
      </w:r>
    </w:p>
    <w:p>
      <w:pPr>
        <w:pStyle w:val="Heading2"/>
        <w:snapToGrid w:val="0"/>
      </w:pPr>
      <w:r>
        <w:rPr>
          <w:rFonts w:ascii="Calibri" w:hAnsi="Calibri" w:eastAsia="Noto Sans CJK SC"/>
          <w:b/>
          <w:color w:val="000000"/>
          <w:sz w:val="22"/>
        </w:rPr>
        <w:t>官能团识别的实际instruction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For the molecule below, decide for EACH functional group in the list whether it is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present. Judge only from the structure given.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Groups: "aldehyde", "ketone", "ester", "carboxylic_acid", "amide", "primary_amine",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"nitrile", "alcohol", "phenol", "benzene_ring", "alkyl_halide", "aryl_halide",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"nitro"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Reply with JSON only, one boolean per group, for example {{"aldehyde": true}}.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实际问13类；主Macro-F1只对冻结的10类平均。aldehyde、nitrile、nitro不进入主分数。原示例里的双大括号是已发现的格式缺陷，这里保留实际历史问法。</w:t>
      </w:r>
    </w:p>
    <w:p>
      <w:pPr>
        <w:pStyle w:val="Heading1"/>
        <w:pageBreakBefore/>
        <w:snapToGrid w:val="0"/>
      </w:pPr>
      <w:r>
        <w:rPr>
          <w:rFonts w:ascii="Calibri" w:hAnsi="Calibri" w:eastAsia="Noto Sans CJK SC"/>
          <w:b/>
          <w:color w:val="000000"/>
          <w:sz w:val="28"/>
        </w:rPr>
        <w:t>十 其余任务怎样问与怎样判分</w:t>
      </w:r>
    </w:p>
    <w:p>
      <w:pPr>
        <w:pStyle w:val="Heading2"/>
        <w:snapToGrid w:val="0"/>
      </w:pPr>
      <w:r>
        <w:rPr>
          <w:rFonts w:ascii="Calibri" w:hAnsi="Calibri" w:eastAsia="Noto Sans CJK SC"/>
          <w:b/>
          <w:color w:val="000000"/>
          <w:sz w:val="22"/>
        </w:rPr>
        <w:t>元素计数的实际instruction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Count how many atoms of each listed element are in the molecule below. Count heavy atoms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 only; do not count hydrogen atoms.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Elements: C, N, O, S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Reply with JSON only, one non-negative integer per element, for example {{"C": 0}}.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C、N、O、S四个数全部与参考相同，该题才算正确。原示例同样含双大括号；未来修正需另立prompt版本，不能改写旧运行记录。</w:t>
      </w:r>
    </w:p>
    <w:p>
      <w:pPr>
        <w:pStyle w:val="Heading2"/>
        <w:snapToGrid w:val="0"/>
      </w:pPr>
      <w:r>
        <w:rPr>
          <w:rFonts w:ascii="Calibri" w:hAnsi="Calibri" w:eastAsia="Noto Sans CJK SC"/>
          <w:b/>
          <w:color w:val="000000"/>
          <w:sz w:val="22"/>
        </w:rPr>
        <w:t>QED估计的实际instruction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Estimate the drug-likeness score QED (Quantitative Estimate of Drug-likeness) for the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molecule below, on its usual scale from 0 (least drug-like) to 1 (most drug-like).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Answer from the structure alone; do not run any code and do not attempt to compute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descriptors externally.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Reply with JSON only: {"qed": &lt;a number between 0 and 1&gt;}.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模型估计0到1的QED；程序计算回答与RDKit值的绝对差，再对题目平均得到MAE，越小越好。该值不是疗效或安全性。</w:t>
      </w:r>
    </w:p>
    <w:p>
      <w:pPr>
        <w:pStyle w:val="Heading2"/>
        <w:snapToGrid w:val="0"/>
      </w:pPr>
      <w:r>
        <w:rPr>
          <w:rFonts w:ascii="Calibri" w:hAnsi="Calibri" w:eastAsia="Noto Sans CJK SC"/>
          <w:b/>
          <w:color w:val="000000"/>
          <w:sz w:val="22"/>
        </w:rPr>
        <w:t>氢键供体计数的实际instruction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Count the hydrogen-bond donors (HBD) in the molecule below, using the standard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definition: the number of nitrogen or oxygen atoms that carry at least one hydrogen 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atom.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Reply with JSON only: {"hbd": &lt;a non-negative integer&gt;}.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HBD问的是供体位点数量，不是分子内所有氢的数量。历史prompt用带氢的N/O作简化说明，oracle则用RDKit CalcNumHBD；特殊原子的定义边界应在新版本检查。</w:t>
      </w:r>
    </w:p>
    <w:p>
      <w:pPr>
        <w:pStyle w:val="Heading2"/>
        <w:snapToGrid w:val="0"/>
      </w:pPr>
      <w:r>
        <w:rPr>
          <w:rFonts w:ascii="Calibri" w:hAnsi="Calibri" w:eastAsia="Noto Sans CJK SC"/>
          <w:b/>
          <w:color w:val="000000"/>
          <w:sz w:val="22"/>
        </w:rPr>
        <w:t>一个真实的历史失分例子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题目t3-our_code-71464601取自main-02原始日志；它是元素计数任务。完整Our Code输入、模型回答与另列参考答案见prompts/historical_our_code_examples.json。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2376"/>
        <w:gridCol w:w="2376"/>
        <w:gridCol w:w="2866"/>
      </w:tblGrid>
      <w:tr>
        <w:trPr>
          <w:tblHeader/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C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/>
                <w:sz w:val="19"/>
              </w:rPr>
              <w:t>元素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C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/>
                <w:sz w:val="19"/>
              </w:rPr>
              <w:t>模型回答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C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/>
                <w:sz w:val="19"/>
              </w:rPr>
              <w:t>参考答案</w:t>
            </w:r>
          </w:p>
        </w:tc>
        <w:tc>
          <w:tcPr>
            <w:tcW w:type="dxa" w:w="28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C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/>
                <w:sz w:val="19"/>
              </w:rPr>
              <w:t>是否一致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C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22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21</w:t>
            </w:r>
          </w:p>
        </w:tc>
        <w:tc>
          <w:tcPr>
            <w:tcW w:type="dxa" w:w="28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N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1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1</w:t>
            </w:r>
          </w:p>
        </w:tc>
        <w:tc>
          <w:tcPr>
            <w:tcW w:type="dxa" w:w="28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O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4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4</w:t>
            </w:r>
          </w:p>
        </w:tc>
        <w:tc>
          <w:tcPr>
            <w:tcW w:type="dxa" w:w="28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S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2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2</w:t>
            </w:r>
          </w:p>
        </w:tc>
        <w:tc>
          <w:tcPr>
            <w:tcW w:type="dxa" w:w="28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4" w:lineRule="auto"/>
              <w:snapToGrid w:val="0"/>
            </w:pPr>
            <w:r>
              <w:rPr>
                <w:rFonts w:ascii="Calibri" w:hAnsi="Calibri" w:eastAsia="Noto Sans CJK SC"/>
                <w:b w:val="0"/>
                <w:sz w:val="19"/>
              </w:rPr>
              <w:t>是</w:t>
            </w:r>
          </w:p>
        </w:tc>
      </w:tr>
    </w:tbl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模型多算了一个碳。因此四元素exact-match规则下，该题得0；不是给3/4分。这个例子证明如何产生失分，但不能单凭它确定为什么模型多算了碳。</w:t>
      </w:r>
    </w:p>
    <w:p>
      <w:pPr>
        <w:pStyle w:val="Heading1"/>
        <w:pageBreakBefore/>
        <w:snapToGrid w:val="0"/>
      </w:pPr>
      <w:r>
        <w:rPr>
          <w:rFonts w:ascii="Calibri" w:hAnsi="Calibri" w:eastAsia="Noto Sans CJK SC"/>
          <w:b/>
          <w:color w:val="000000"/>
          <w:sz w:val="28"/>
        </w:rPr>
        <w:t>十一 参考答案 请求与评分的核心代码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bmb/labels.py产生参考答案。它使用独立RDKit，不使用我们的基础类给自己的表示打分。以下是实际源码片段。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def atom_count(smiles: str, element: str) -&gt; int: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mol = Chem.MolFromSmiles(smiles)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if mol is None: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    raise ValueError('RDKit cannot parse %r' % smiles)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return sum(1 for atom in mol.GetAtoms() if atom.GetSymbol() == element)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def qed_reference(smiles: str) -&gt; float: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mol = Chem.MolFromSmiles(smiles)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if mol is None: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    raise ValueError('RDKit cannot parse %r' % smiles)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return float(QED.qed(mol))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官能团用mol.HasSubstructMatch匹配冻结SMARTS模式；HBD用rdMolDescriptors.CalcNumHBD。SMARTS是指定局部原子和键组合的查询规则，定义在config/functional_groups.frozen.json。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bmb/client.py的_payload把prompt放入真实请求，以下是实际请求体构造片段。extra_body中的enable_thinking设置以及response_format也由该函数加入。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body = {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'model': self.model_id,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'messages': messages,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'temperature': self.temperature,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'top_p': self.top_p,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'max_tokens': self.max_tokens,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'stream': False,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}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历史记录为deepseek-v4.1-flash、temperature=0、top_p=1、max_tokens=4096、zero-shot，请求enable_thinking=false。run manifest实际记录Token Plan通道；本次只离线复算，没有新调用模型。服务端未提供固定权重版本。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bmb/scoring.py的score_item直接比较回答和参考。以下为函数中的真实分支；前面的status校验与其它分支在完整源码。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if task == 't3_atom_counts':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return bool(parsed == label)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if task == 't4_qed':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return abs(parsed['qed'] - label['qed'])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if task == 't5_hydrogen_bond_donors':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 xml:space="preserve">    return bool(parsed['hbd'] == label['hbd'])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子结构分数不是逐题exact-match：程序分别累计每类的正确识别、误报和漏报，计算F1，再对固定类别等权平均。共同题表由build_common_table.py先按每项任务取八种表示的交集，再重算指标。</w:t>
      </w:r>
    </w:p>
    <w:p>
      <w:pPr>
        <w:pStyle w:val="Heading1"/>
        <w:pageBreakBefore/>
        <w:snapToGrid w:val="0"/>
      </w:pPr>
      <w:r>
        <w:rPr>
          <w:rFonts w:ascii="Calibri" w:hAnsi="Calibri" w:eastAsia="Noto Sans CJK SC"/>
          <w:b/>
          <w:color w:val="000000"/>
          <w:sz w:val="28"/>
        </w:rPr>
        <w:t>十二 怎样复算并从GitHub审查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最短复算路径（路径A）只需要Python 3.10或更高版本，不需要任何第三方包，也不需要API Key。执行：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git clone https://github.com/CHANSingYeungSunny/Design-Molecule-Class.git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cd Design-Molecule-Class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python research/02_tests/test_baseline_core.py</w:t>
      </w:r>
    </w:p>
    <w:p>
      <w:pPr>
        <w:spacing w:after="0" w:before="0" w:line="252" w:lineRule="auto"/>
        <w:snapToGrid w:val="0"/>
      </w:pPr>
      <w:r>
        <w:rPr>
          <w:rFonts w:ascii="DejaVu Sans Mono" w:hAnsi="DejaVu Sans Mono" w:eastAsia="Noto Sans CJK SC"/>
          <w:sz w:val="18"/>
        </w:rPr>
        <w:t>python scripts/replay_table.py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第一条验证原子、键和分子基础类；第二条重新解析保存的模型JSON，用原评分器重算主表。输出在reproduced/：summary.csv是表格，per_item.jsonl是逐题评分证据，verification.json是校验结果。参考标签采用当时保存的RDKit值；这一步不是重新调用模型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第二条路径（路径B）才检验“参考答案本身能不能被重算”：装上RDKit等依赖后运行 scripts/rebuild_labels.py，它会用RDKit对200个Identity题对和199×4条理解题重新计算官能团、C/N/O/S计数、QED与HBD，并与冻结值逐项比对。只跑路径A或只看教学例子，不能说标签重建已经通过。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本次在本机Windows环境（Python 3.13.5、RDKit 2025.09.4）实测：核心测试55/55；benchmark自检99项0失败；客户端离线检查14项0失败；核心代码索引53行全部命中真实源码；40份冻结题单、main的3000项与extension的4996项输入hash通过；1200张刺激图片字节校验通过；八行40格共同题结果与原Word一致，分母仍为200/199/199/199/199；参考答案重算996条、0条不一致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原始行数与有效题数必须分开读：main-02原始日志3000行且全部为ok；extension-01原始日志5038行，其中38条是pending历史占位、4条属于已被当前冻结清单取代的历史题。复算按当前清单过滤并按题号取最后状态。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重新调用模型（路径C）需要自备服务、key和预算，并另用run ID。即使temperature=0，服务端权重版本或推理实现变化都可能让新回答不同，不能承诺重新推理逐题一致。</w:t>
      </w:r>
    </w:p>
    <w:p>
      <w:pPr>
        <w:pStyle w:val="Heading1"/>
        <w:pageBreakBefore/>
        <w:snapToGrid w:val="0"/>
      </w:pPr>
      <w:r>
        <w:rPr>
          <w:rFonts w:ascii="Calibri" w:hAnsi="Calibri" w:eastAsia="Noto Sans CJK SC"/>
          <w:b/>
          <w:color w:val="000000"/>
          <w:sz w:val="28"/>
        </w:rPr>
        <w:t>十三 GitHub 发布、固定链接与验收</w:t>
      </w:r>
    </w:p>
    <w:p>
      <w:pPr>
        <w:pStyle w:val="Heading2"/>
        <w:snapToGrid w:val="0"/>
      </w:pPr>
      <w:r>
        <w:rPr>
          <w:rFonts w:ascii="Calibri" w:hAnsi="Calibri" w:eastAsia="Noto Sans CJK SC"/>
          <w:b/>
          <w:color w:val="000000"/>
          <w:sz w:val="22"/>
        </w:rPr>
        <w:t>仓库与实际 commit</w:t>
      </w:r>
    </w:p>
    <w:p>
      <w:pPr>
        <w:snapToGrid w:val="0"/>
      </w:pPr>
      <w:hyperlink r:id="rId10">
        <w:r>
          <w:rPr>
            <w:color w:val="0563C1"/>
            <w:rFonts w:ascii="Calibri" w:eastAsia="Noto Sans CJK SC"/>
            <w:sz w:val="21"/>
            <w:u w:val="single"/>
          </w:rPr>
          <w:t>https://github.com/CHANSingYeungSunny/Design-Molecule-Class</w:t>
        </w:r>
      </w:hyperlink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本报告所有代码、数据、模板的固定链接，都指向下面这个已经被 clone 并复算过的源码提交：aac92e78a7d1b1f80653d59ec45252a3a612e45a 。它不包含本报告文件本身。</w:t>
      </w:r>
    </w:p>
    <w:p>
      <w:pPr>
        <w:snapToGrid w:val="0"/>
      </w:pPr>
      <w:hyperlink r:id="rId11">
        <w:r>
          <w:rPr>
            <w:color w:val="0563C1"/>
            <w:rFonts w:ascii="Calibri" w:eastAsia="Noto Sans CJK SC"/>
            <w:sz w:val="21"/>
            <w:u w:val="single"/>
          </w:rPr>
          <w:t>已验证源码提交 aac92e78a7d1b1f80653d59ec45252a3a612e45a</w:t>
        </w:r>
      </w:hyperlink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提交前已逐项检查：未提交 .venv、local.env、任何密钥、第三方RDKit整仓与临时文件；暂存文件1766个中扫描不到形如密钥的字符串；教授基础类三份副本SHA-256仍为55d314aa开头。</w:t>
      </w:r>
    </w:p>
    <w:p>
      <w:pPr>
        <w:pStyle w:val="Heading2"/>
        <w:snapToGrid w:val="0"/>
      </w:pPr>
      <w:r>
        <w:rPr>
          <w:rFonts w:ascii="Calibri" w:hAnsi="Calibri" w:eastAsia="Noto Sans CJK SC"/>
          <w:b/>
          <w:color w:val="000000"/>
          <w:sz w:val="22"/>
        </w:rPr>
        <w:t>每个入口能看到什么</w:t>
      </w:r>
    </w:p>
    <w:p>
      <w:pPr>
        <w:snapToGrid w:val="0"/>
      </w:pPr>
      <w:hyperlink r:id="rId12">
        <w:r>
          <w:rPr>
            <w:color w:val="0563C1"/>
            <w:rFonts w:ascii="Calibri" w:eastAsia="Noto Sans CJK SC"/>
            <w:sz w:val="21"/>
            <w:u w:val="single"/>
          </w:rPr>
          <w:t>README：三条复现路径、最短命令、已知限制</w:t>
        </w:r>
      </w:hyperlink>
    </w:p>
    <w:p>
      <w:pPr>
        <w:snapToGrid w:val="0"/>
      </w:pPr>
      <w:hyperlink r:id="rId13">
        <w:r>
          <w:rPr>
            <w:color w:val="0563C1"/>
            <w:rFonts w:ascii="Calibri" w:eastAsia="Noto Sans CJK SC"/>
            <w:sz w:val="21"/>
            <w:u w:val="single"/>
          </w:rPr>
          <w:t>基础类 Atom / Bond / Molecule</w:t>
        </w:r>
      </w:hyperlink>
    </w:p>
    <w:p>
      <w:pPr>
        <w:snapToGrid w:val="0"/>
      </w:pPr>
      <w:hyperlink r:id="rId14">
        <w:r>
          <w:rPr>
            <w:color w:val="0563C1"/>
            <w:rFonts w:ascii="Calibri" w:eastAsia="Noto Sans CJK SC"/>
            <w:sz w:val="21"/>
            <w:u w:val="single"/>
          </w:rPr>
          <w:t>实际模型 prompt 组装</w:t>
        </w:r>
      </w:hyperlink>
    </w:p>
    <w:p>
      <w:pPr>
        <w:snapToGrid w:val="0"/>
      </w:pPr>
      <w:hyperlink r:id="rId15">
        <w:r>
          <w:rPr>
            <w:color w:val="0563C1"/>
            <w:rFonts w:ascii="Calibri" w:eastAsia="Noto Sans CJK SC"/>
            <w:sz w:val="21"/>
            <w:u w:val="single"/>
          </w:rPr>
          <w:t>导出的完整 prompt 模板</w:t>
        </w:r>
      </w:hyperlink>
    </w:p>
    <w:p>
      <w:pPr>
        <w:snapToGrid w:val="0"/>
      </w:pPr>
      <w:hyperlink r:id="rId16">
        <w:r>
          <w:rPr>
            <w:color w:val="0563C1"/>
            <w:rFonts w:ascii="Calibri" w:eastAsia="Noto Sans CJK SC"/>
            <w:sz w:val="21"/>
            <w:u w:val="single"/>
          </w:rPr>
          <w:t>五项任务的真实历史请求与回答</w:t>
        </w:r>
      </w:hyperlink>
    </w:p>
    <w:p>
      <w:pPr>
        <w:snapToGrid w:val="0"/>
      </w:pPr>
      <w:hyperlink r:id="rId17">
        <w:r>
          <w:rPr>
            <w:color w:val="0563C1"/>
            <w:rFonts w:ascii="Calibri" w:eastAsia="Noto Sans CJK SC"/>
            <w:sz w:val="21"/>
            <w:u w:val="single"/>
          </w:rPr>
          <w:t>独立 RDKit 参考答案</w:t>
        </w:r>
      </w:hyperlink>
    </w:p>
    <w:p>
      <w:pPr>
        <w:snapToGrid w:val="0"/>
      </w:pPr>
      <w:hyperlink r:id="rId18">
        <w:r>
          <w:rPr>
            <w:color w:val="0563C1"/>
            <w:rFonts w:ascii="Calibri" w:eastAsia="Noto Sans CJK SC"/>
            <w:sz w:val="21"/>
            <w:u w:val="single"/>
          </w:rPr>
          <w:t>评分规则</w:t>
        </w:r>
      </w:hyperlink>
    </w:p>
    <w:p>
      <w:pPr>
        <w:snapToGrid w:val="0"/>
      </w:pPr>
      <w:hyperlink r:id="rId19">
        <w:r>
          <w:rPr>
            <w:color w:val="0563C1"/>
            <w:rFonts w:ascii="Calibri" w:eastAsia="Noto Sans CJK SC"/>
            <w:sz w:val="21"/>
            <w:u w:val="single"/>
          </w:rPr>
          <w:t>无 API Key 历史复算入口</w:t>
        </w:r>
      </w:hyperlink>
    </w:p>
    <w:p>
      <w:pPr>
        <w:snapToGrid w:val="0"/>
      </w:pPr>
      <w:hyperlink r:id="rId20">
        <w:r>
          <w:rPr>
            <w:color w:val="0563C1"/>
            <w:rFonts w:ascii="Calibri" w:eastAsia="Noto Sans CJK SC"/>
            <w:sz w:val="21"/>
            <w:u w:val="single"/>
          </w:rPr>
          <w:t>参考答案重建入口</w:t>
        </w:r>
      </w:hyperlink>
    </w:p>
    <w:p>
      <w:pPr>
        <w:snapToGrid w:val="0"/>
      </w:pPr>
      <w:hyperlink r:id="rId21">
        <w:r>
          <w:rPr>
            <w:color w:val="0563C1"/>
            <w:rFonts w:ascii="Calibri" w:eastAsia="Noto Sans CJK SC"/>
            <w:sz w:val="21"/>
            <w:u w:val="single"/>
          </w:rPr>
          <w:t>main-02 原始模型回答</w:t>
        </w:r>
      </w:hyperlink>
    </w:p>
    <w:p>
      <w:pPr>
        <w:snapToGrid w:val="0"/>
      </w:pPr>
      <w:hyperlink r:id="rId22">
        <w:r>
          <w:rPr>
            <w:color w:val="0563C1"/>
            <w:rFonts w:ascii="Calibri" w:eastAsia="Noto Sans CJK SC"/>
            <w:sz w:val="21"/>
            <w:u w:val="single"/>
          </w:rPr>
          <w:t>论文与项目逐条对应</w:t>
        </w:r>
      </w:hyperlink>
    </w:p>
    <w:p>
      <w:pPr>
        <w:snapToGrid w:val="0"/>
      </w:pPr>
      <w:hyperlink r:id="rId23">
        <w:r>
          <w:rPr>
            <w:color w:val="0563C1"/>
            <w:rFonts w:ascii="Calibri" w:eastAsia="Noto Sans CJK SC"/>
            <w:sz w:val="21"/>
            <w:u w:val="single"/>
          </w:rPr>
          <w:t>核心代码索引与中文说明</w:t>
        </w:r>
      </w:hyperlink>
    </w:p>
    <w:p>
      <w:pPr>
        <w:snapToGrid w:val="0"/>
      </w:pPr>
      <w:hyperlink r:id="rId24">
        <w:r>
          <w:rPr>
            <w:color w:val="0563C1"/>
            <w:rFonts w:ascii="Calibri" w:eastAsia="Noto Sans CJK SC"/>
            <w:sz w:val="21"/>
            <w:u w:val="single"/>
          </w:rPr>
          <w:t>审核结论与限制</w:t>
        </w:r>
      </w:hyperlink>
    </w:p>
    <w:p>
      <w:pPr>
        <w:pStyle w:val="Heading2"/>
        <w:snapToGrid w:val="0"/>
      </w:pPr>
      <w:r>
        <w:rPr>
          <w:rFonts w:ascii="Calibri" w:hAnsi="Calibri" w:eastAsia="Noto Sans CJK SC"/>
          <w:b/>
          <w:color w:val="000000"/>
          <w:sz w:val="22"/>
        </w:rPr>
        <w:t>从全新目录 clone 的实测结果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在与工作目录无关的新目录执行 git clone 后（远端实际commit）：核心测试 Ran 55 tests ... OK；核心代码索引53行OK；python scripts/replay_table.py 输出 Historical replay passed: 40 frozen lists, all 40 table values match.，八行数值与第一节表格完全一致；scripts/rebuild_labels.py 重算996条参考答案、0条不一致；reference/MolJSON 源码在clone后可正常导入并生成MolJSON文本。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远端自动化检查（GitHub Actions，工作流 Historical offline replay，ubuntu-24.04）在同一commit上为 completed / success：三个步骤分别输出 Ran 55 tests、core code index OK、Historical replay passed。该工作流不含任何密钥。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已完成与未完成的界线：已完成“从保存响应重算报告”“用RDKit重建参考答案并逐项比对”“发布到本人仓库并由他人clone复算”。未执行“重新付费调用模型”，因为它需要自备服务与预算，且新回答不保证与历史逐题一致。</w:t>
      </w:r>
    </w:p>
    <w:p>
      <w:pPr>
        <w:spacing w:after="120" w:line="276" w:lineRule="auto"/>
        <w:snapToGrid w:val="0"/>
      </w:pPr>
      <w:r>
        <w:rPr>
          <w:rFonts w:ascii="Calibri" w:hAnsi="Calibri" w:eastAsia="Noto Sans CJK SC"/>
          <w:b w:val="0"/>
          <w:sz w:val="21"/>
        </w:rPr>
        <w:t>我向教授说明时应能解释：谁算标准答案（RDKit，在实验程序一侧）、模型收到什么（只有表示和问题）、是否执行代码（不执行，也没有工具通道）、一个回答如何算分（逐题判定后按任务汇总）、哪些改动来自论文、哪些是本项目选择，以及现有比较限制（Identity描述性、13问10评、199分母的原因）。提交代码有助于审核，但理解这些过程仍需要我自己完成。</w:t>
      </w:r>
    </w:p>
    <w:sectPr w:rsidR="00FC693F" w:rsidRPr="0006063C" w:rsidSect="00034616">
      <w:footerReference w:type="default" r:id="rId9"/>
      <w:pgSz w:w="12240" w:h="15840"/>
      <w:pgMar w:top="850" w:right="964" w:bottom="850" w:left="964" w:header="720" w:footer="3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Noto Sans CJK SC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Calibri" w:hAnsi="Calibri" w:eastAsia="Noto Sans CJK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Calibri" w:hAnsi="Calibri" w:eastAsia="Noto Sans CJK S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Calibri" w:hAnsi="Calibri" w:eastAsia="Noto Sans CJK SC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CHANSingYeungSunny/Design-Molecule-Class" TargetMode="External"/><Relationship Id="rId11" Type="http://schemas.openxmlformats.org/officeDocument/2006/relationships/hyperlink" Target="https://github.com/CHANSingYeungSunny/Design-Molecule-Class/commit/aac92e78a7d1b1f80653d59ec45252a3a612e45a" TargetMode="External"/><Relationship Id="rId12" Type="http://schemas.openxmlformats.org/officeDocument/2006/relationships/hyperlink" Target="https://github.com/CHANSingYeungSunny/Design-Molecule-Class/blob/aac92e78a7d1b1f80653d59ec45252a3a612e45a/README.md" TargetMode="External"/><Relationship Id="rId13" Type="http://schemas.openxmlformats.org/officeDocument/2006/relationships/hyperlink" Target="https://github.com/CHANSingYeungSunny/Design-Molecule-Class/blob/aac92e78a7d1b1f80653d59ec45252a3a612e45a/research/01_implementation/molecule_core.py" TargetMode="External"/><Relationship Id="rId14" Type="http://schemas.openxmlformats.org/officeDocument/2006/relationships/hyperlink" Target="https://github.com/CHANSingYeungSunny/Design-Molecule-Class/blob/aac92e78a7d1b1f80653d59ec45252a3a612e45a/research/07_benchmark/bmb/tasks.py" TargetMode="External"/><Relationship Id="rId15" Type="http://schemas.openxmlformats.org/officeDocument/2006/relationships/hyperlink" Target="https://github.com/CHANSingYeungSunny/Design-Molecule-Class/blob/aac92e78a7d1b1f80653d59ec45252a3a612e45a/prompts/benchmark_templates.json" TargetMode="External"/><Relationship Id="rId16" Type="http://schemas.openxmlformats.org/officeDocument/2006/relationships/hyperlink" Target="https://github.com/CHANSingYeungSunny/Design-Molecule-Class/blob/aac92e78a7d1b1f80653d59ec45252a3a612e45a/prompts/historical_our_code_examples.json" TargetMode="External"/><Relationship Id="rId17" Type="http://schemas.openxmlformats.org/officeDocument/2006/relationships/hyperlink" Target="https://github.com/CHANSingYeungSunny/Design-Molecule-Class/blob/aac92e78a7d1b1f80653d59ec45252a3a612e45a/research/07_benchmark/bmb/labels.py" TargetMode="External"/><Relationship Id="rId18" Type="http://schemas.openxmlformats.org/officeDocument/2006/relationships/hyperlink" Target="https://github.com/CHANSingYeungSunny/Design-Molecule-Class/blob/aac92e78a7d1b1f80653d59ec45252a3a612e45a/research/07_benchmark/bmb/scoring.py" TargetMode="External"/><Relationship Id="rId19" Type="http://schemas.openxmlformats.org/officeDocument/2006/relationships/hyperlink" Target="https://github.com/CHANSingYeungSunny/Design-Molecule-Class/blob/aac92e78a7d1b1f80653d59ec45252a3a612e45a/scripts/replay_table.py" TargetMode="External"/><Relationship Id="rId20" Type="http://schemas.openxmlformats.org/officeDocument/2006/relationships/hyperlink" Target="https://github.com/CHANSingYeungSunny/Design-Molecule-Class/blob/aac92e78a7d1b1f80653d59ec45252a3a612e45a/scripts/rebuild_labels.py" TargetMode="External"/><Relationship Id="rId21" Type="http://schemas.openxmlformats.org/officeDocument/2006/relationships/hyperlink" Target="https://github.com/CHANSingYeungSunny/Design-Molecule-Class/blob/aac92e78a7d1b1f80653d59ec45252a3a612e45a/research/07_benchmark/runs/main-02/raw_responses.jsonl" TargetMode="External"/><Relationship Id="rId22" Type="http://schemas.openxmlformats.org/officeDocument/2006/relationships/hyperlink" Target="https://github.com/CHANSingYeungSunny/Design-Molecule-Class/blob/aac92e78a7d1b1f80653d59ec45252a3a612e45a/docs/PAPER_TO_PROJECT.md" TargetMode="External"/><Relationship Id="rId23" Type="http://schemas.openxmlformats.org/officeDocument/2006/relationships/hyperlink" Target="https://github.com/CHANSingYeungSunny/Design-Molecule-Class/blob/aac92e78a7d1b1f80653d59ec45252a3a612e45a/docs/CORE_CODE_INDEX.md" TargetMode="External"/><Relationship Id="rId24" Type="http://schemas.openxmlformats.org/officeDocument/2006/relationships/hyperlink" Target="https://github.com/CHANSingYeungSunny/Design-Molecule-Class/blob/aac92e78a7d1b1f80653d59ec45252a3a612e45a/docs/AUDI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分子表示比较研究简明汇报</dc:title>
  <dc:subject>八种表示的正式结果与Our Code改进方向的简明解释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