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line="240" w:lineRule="auto" w:after="60"/>
        <w:snapToGrid w:val="0"/>
      </w:pPr>
      <w:r>
        <w:rPr>
          <w:rFonts w:ascii="Calibri" w:hAnsi="Calibri" w:eastAsia="Noto Sans CJK SC"/>
        </w:rPr>
        <w:t>分子表示比较研究简明汇报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b/>
        </w:rPr>
        <w:t>本次结果：</w:t>
      </w:r>
      <w:r>
        <w:rPr>
          <w:rFonts w:ascii="Calibri" w:hAnsi="Calibri" w:eastAsia="Noto Sans CJK SC"/>
        </w:rPr>
        <w:t>输入形式会影响模型成绩；不同任务的最好表示不同，Our Code并非整体最优。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我们用现有模型deepseek-v4.1-flash做统一测试（benchmark）：同一个分子换种写法，问相同问题，用RDKit化学工具算出的参考答案评分。模型不调用工具，本项目不训练新模型。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一 八种表示的正式结果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数据来自ChEBI-20的MolT5再发布版，开发集和测试集由本项目划分。筛选后候选池含431个分子：无立体化学信息、分子量≥300 Da且至少2环等。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Identity比较共同的200个题对；其余四项各比较共同的199个分子。少1个是因为含铜分子不满足当前Graph3D构象优化流程；不换题，也不把转换失败当作模型答错。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559"/>
        <w:gridCol w:w="1672"/>
        <w:gridCol w:w="1502"/>
        <w:gridCol w:w="1474"/>
        <w:gridCol w:w="1837"/>
      </w:tblGrid>
      <w:tr>
        <w:trPr>
          <w:cantSplit/>
          <w:tblHeader/>
        </w:trPr>
        <w:tc>
          <w:tcPr>
            <w:tcW w:type="dxa" w:w="2268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输入表示</w:t>
            </w:r>
          </w:p>
        </w:tc>
        <w:tc>
          <w:tcPr>
            <w:tcW w:type="dxa" w:w="1559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同分子判断</w:t>
              <w:br/>
              <w:t>准确率 ↑</w:t>
              <w:br/>
              <w:t>n=200</w:t>
            </w:r>
          </w:p>
        </w:tc>
        <w:tc>
          <w:tcPr>
            <w:tcW w:type="dxa" w:w="1672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子结构识别</w:t>
              <w:br/>
              <w:t>Macro-F1 ↑</w:t>
              <w:br/>
              <w:t>n=199</w:t>
            </w:r>
          </w:p>
        </w:tc>
        <w:tc>
          <w:tcPr>
            <w:tcW w:type="dxa" w:w="1502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元素计数</w:t>
              <w:br/>
              <w:t>准确率 ↑</w:t>
              <w:br/>
              <w:t>n=199</w:t>
            </w:r>
          </w:p>
        </w:tc>
        <w:tc>
          <w:tcPr>
            <w:tcW w:type="dxa" w:w="1474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QED估计</w:t>
              <w:br/>
              <w:t>MAE ↓</w:t>
              <w:br/>
              <w:t>n=199</w:t>
            </w:r>
          </w:p>
        </w:tc>
        <w:tc>
          <w:tcPr>
            <w:tcW w:type="dxa" w:w="1837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氢键供体</w:t>
              <w:br/>
              <w:t>准确率 ↑</w:t>
              <w:br/>
              <w:t>n=199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SMILES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0.985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0.839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0.231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sz w:val="20"/>
              </w:rPr>
              <w:t>0.111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0.814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SELFIES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0.540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0.546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0.015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0.180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0.432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Our Code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sz w:val="20"/>
              </w:rPr>
              <w:t>1.000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0.515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0.191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0.139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0.427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img 二维结构图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0.990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sz w:val="20"/>
              </w:rPr>
              <w:t>0.868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sz w:val="20"/>
              </w:rPr>
              <w:t>0.342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0.119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sz w:val="20"/>
              </w:rPr>
              <w:t>0.975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Graph2D 二维文本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0.850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0.438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0.055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0.145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0.382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Graph3D 三维文本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0.980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0.571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0.070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0.170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0.387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CML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0.970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0.523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0.196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0.128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0.467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MolJSON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0.620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0.434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0.216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0.149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0.357</w:t>
            </w:r>
          </w:p>
        </w:tc>
      </w:tr>
    </w:tbl>
    <w:p>
      <w:pPr>
        <w:pageBreakBefore w:val="0"/>
        <w:spacing w:after="60" w:line="240" w:lineRule="auto"/>
        <w:snapToGrid w:val="0"/>
      </w:pPr>
      <w:r>
        <w:rPr>
          <w:rFonts w:ascii="Calibri" w:hAnsi="Calibri" w:eastAsia="Noto Sans CJK SC"/>
          <w:sz w:val="4"/>
        </w:rPr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↑越大越好，↓越小越好；n是题数。粗体只表示本列数值最好，不表示已通过统计检验证明优于其他表示。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二 五列分别在问什么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同分子判断（Identity）：两份输入是不是同一个分子？准确率1.000就是全部答对。元素计数：碳C、氮N、氧O、硫S各有几个？四个数全部正确才算该题答对。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子结构识别：分子里有没有指定官能团，即醇、酯等局部原子组合？主分数对固定10类的F1等权平均，同时考虑误报和漏报；0.868不能读成“86.8%的题全对”。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QED估计：估计一个描述“类药性”的0到1分数。MAE是与参考值的平均绝对差，例如参考值0.60、回答0.70，该题误差为0.10。氢键供体（HBD）：能提供氢键中氢的位点有几个？数量完全正确才算对，不是数全部氢原子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三 最值得汇报的发现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图片在子结构、元素计数和HBD三项数值最好；但元素计数准确率也只有34.2%，不能说图片已经全面可靠。SMILES的QED误差最小；Our Code的Identity为200题全对，但其他四项表现均不及图片。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Graph3D比Graph2D的子结构和元素计数更好，QED误差却更大；三维坐标没有改善所有任务。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四 八种输入形式的区别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表中的八行是八种分子表达方式，不是八个AI模型。Our Code是一种给模型阅读的构造代码；模型不会执行它来算答案。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98"/>
      </w:tblGrid>
      <w:tr>
        <w:trPr>
          <w:cantSplit/>
          <w:tblHeader/>
        </w:trPr>
        <w:tc>
          <w:tcPr>
            <w:tcW w:type="dxa" w:w="1814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表示</w:t>
            </w:r>
          </w:p>
        </w:tc>
        <w:tc>
          <w:tcPr>
            <w:tcW w:type="dxa" w:w="8498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模型实际读到的内容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SMILES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用元素符号、括号和数字描述原子及连接关系的一行字符串。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SELFIES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用方括号词元及对应规则描述分子的另一种字符串。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Our Code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用Atom和Bond等记录逐条列出原子与化学键的代码。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img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二维化学结构图片，模型直接看图。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Graph2D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包含原子、化学键和二维坐标的MOL连接表文本。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Graph3D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同类MOL文本，坐标来自计算生成的三维构象。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CML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用XML标签组织原子、化学键等信息的文本。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MolJSON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按作者规定的JSON格式组织分子信息的文本。</w:t>
            </w:r>
          </w:p>
        </w:tc>
      </w:tr>
    </w:tbl>
    <w:p>
      <w:pPr>
        <w:pageBreakBefore w:val="0"/>
        <w:spacing w:after="60" w:line="240" w:lineRule="auto"/>
        <w:snapToGrid w:val="0"/>
      </w:pPr>
      <w:r>
        <w:rPr>
          <w:rFonts w:ascii="Calibri" w:hAnsi="Calibri" w:eastAsia="Noto Sans CJK SC"/>
          <w:sz w:val="4"/>
        </w:rPr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Graph2D和Graph3D在本项目中都是文本，只有img是图片；Graph3D不是让模型观看三维球棍图。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五 Our Code 错在哪里以及下一步怎么查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b/>
        </w:rPr>
        <w:t>已经知道的现象：</w:t>
      </w:r>
      <w:r>
        <w:rPr>
          <w:rFonts w:ascii="Calibri" w:hAnsi="Calibri" w:eastAsia="Noto Sans CJK SC"/>
        </w:rPr>
        <w:t>HBD的199题中，Our Code答对85题，图片答对194题。有109题是图片答对、Our Code答错，反过来的情况为0题。元素计数中，图片对而代码错55题，反向25题。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这说明本批题目有明显的成绩差距，但还不知道原因。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b/>
        </w:rPr>
        <w:t>值得检查的线索：</w:t>
      </w:r>
      <w:r>
        <w:rPr>
          <w:rFonts w:ascii="Calibri" w:hAnsi="Calibri" w:eastAsia="Noto Sans CJK SC"/>
        </w:rPr>
        <w:t>原版Our Code多数原子的氢数需要模型根据化学键推断。图片中的NH、OH标签直接显示部分氢，但碳和不少氢也会省略。两种输入表达氢信息的方式不同。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因此，“把氢数写清楚后，模型会不会更容易判断HBD”是一个待验证的问题。目前不能说缺少氢数就是失分原因，也不能说补上氢数一定最好。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b/>
        </w:rPr>
        <w:t>下一步的验证办法：</w:t>
      </w:r>
      <w:r>
        <w:rPr>
          <w:rFonts w:ascii="Calibri" w:hAnsi="Calibri" w:eastAsia="Noto Sans CJK SC"/>
        </w:rPr>
        <w:t>准备两个版本，只让其中一个把每个原子的氢数写清楚，其他内容保持不变，再让模型回答同一批开发集题目。这叫单因素对照；开发集用于试方案，未参与调试的新题用于验证效果。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b/>
          <w:sz w:val="20"/>
        </w:rPr>
        <w:t>当前进度：</w:t>
      </w:r>
      <w:r>
        <w:rPr>
          <w:rFonts w:ascii="Calibri" w:hAnsi="Calibri" w:eastAsia="Noto Sans CJK SC"/>
          <w:sz w:val="20"/>
        </w:rPr>
        <w:t>Our Code + H候选已完成，431个分子通过结构一致性检查。它只补充氢信息，不改变分子；尚未交给模型测试，所以没有新成绩，也没有放进前面的八行表。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六 与教授论文的关系和结论范围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我们参考《Rethinking Molecular Text Representations for LLMs》（arXiv:2606.03057v1）的比较思路，加入Our Code、图片、MOL二维和三维文本及QED任务。这是扩展实验，不是整篇论文的完整复现。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结论限于当前模型名、样本和提示条件；服务端未提供权重版本，Identity暂作描述性比较。坐标文本成绩不能证明完整三维推理能力，QED/HBD也不代表药物疗效或安全性。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本次补充：后续各页展示原论文方法、实际运行的核心代码与五项模型prompt、逐题评分证据、参考答案重建，以及不用API Key的复算命令；最后一节给出GitHub发布commit、从全新目录clone复算的结果与远端自动化检查的实际状态。</w:t>
      </w:r>
    </w:p>
    <w:p>
      <w:pPr>
        <w:pStyle w:val="Heading1"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七 原论文如何进行比较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论文研究的是分子的写法怎样影响LLM表现。作者先固定任务与参考分子，把同一分子转换成不同文本表示，给模型相应输入和统一任务提示，再用独立的标准答案评价。模型的理解能力由回答成绩体现。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正文第3至4节介绍任务与实验；PDF第15页的Appendix C和D给出数据和任务定义；第16至17页的Appendix E公开实际prompt。本文依据这份25页PDF，不声称已经取得或运行作者的完整源码。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3456"/>
        <w:gridCol w:w="4349"/>
      </w:tblGrid>
      <w:tr>
        <w:trPr>
          <w:tblHeader/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比较项目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原论文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本项目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输入表示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9种文本表示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8种输入形式，包含Our Code和图片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任务与模型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8项任务，16个LLM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5项任务，一个模型deepseek-v4.1-flash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数据划分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ChEBI-20官方test；部分任务ZINC250K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ChEBI-20再发布validation/test合并后由本项目重划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结构门槛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MW ≥ 300 Da且至少2环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沿用门槛，并要求Our Code可解析与一致往返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元素计数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每次询问一种元素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一次询问C/N/O/S，四种全部正确才算对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官能团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逐次询问5类中的一类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一次问13类，固定10类参与主Macro-F1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任务输出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逐步推理后给boxed答案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要求一个简短JSON对象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性质任务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LogP、TPSA、HBD、HBA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本轮HBD；新增QED估计</w:t>
            </w:r>
          </w:p>
        </w:tc>
      </w:tr>
    </w:tbl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因此，我们复用了“控制模型和题目、改变输入形式”的比较思路，并修改了任务、问法和实验范围。这是扩展实验。它不能直接继承原论文的全部结论。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原文正文对LogP/TPSA使用Spearman相关；Appendix D另有exact-match表述，二者措辞不完全一致。本项目QED明确采用MAE，不能写成论文原指标。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八 核心代码怎样把分子变成模型输入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整条流程是：原始分子 → 筛选并冻结题单 → 生成表示 → 组装prompt → 模型回答 → 对照RDKit参考答案 → 算分。模型只接收表示和问题；参考答案留在程序一侧。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基础类在 research/01_implementation/molecule_core.py。Atom保存一个原子的记录，Bond保存两个原子之间的键，Molecule把这些记录组成一个分子。以下是原代码的字段摘录，省略校验方法。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@dataclass(frozen=True)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class Atom: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id: str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element: str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formal_charge: int = 0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isotope: int = 0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aromatic: bool = False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explicit_hs: int | None = None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atom_map: int | None = None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@dataclass(frozen=True)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class Bond: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begin: str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end: str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bond_type: str = 'SINGLE' 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id是分子内部标签，element是元素，formal_charge是电荷，aromatic表示是否芳香。explicit_hs=None沿用隐式氢规则；整数表示确定的显式氢数。未在构造文本写出的字段采用默认值，不能把“省略字段”理解成“没有氢”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真正的表示转换入口在bmb/reps.py，最终执行基础类的to_code。下面是该函数的实际源码，打印换行仅为排版。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def our_code_text(smiles: str) -&gt; str: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"""The professor prototype's constructor text for this molecule."""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try: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return _core_molecule(smiles).to_code()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except Exception as exc: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raise RepresentationError('Our Code cannot express %r: %s' % (smiles, exc)) from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exc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例如乙醇CCO产生三条Atom和两条Bond。模型阅读这些构造代码，不执行Python来得到答案。这个教学分子太小，不满足正式复杂度门槛。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Molecule(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atoms=(Atom(id='a0', element='C'),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   Atom(id='a1', element='C'),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   Atom(id='a2', element='O')),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bonds=(Bond(begin='a0', end='a1'),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   Bond(begin='a1', end='a2')),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)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上面乙醇构造为了阅读合并了行；完整生成格式与全部方法见源码。教授原型的三份核心文件字节一致，SHA-256以55d314aa开头；本次未改基础类。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九 模型实际收到的提示词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以下来自实际bmb/tasks.py及冻结历史输入，不是新编的优化提示。完整模板、八种表示说明和五个真实例子已导出到prompts目录。CodeBuddy执行指令是开发工具的任务单，与这些分子题目不同。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所有任务共用的system prompt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You are answering chemistry questions. You cannot run code, call tools, or look anything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up. Answer only from the structure you are given. Reply with a single compact JSON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object and nothing else.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意思是：只能根据给定结构回答，不运行代码或查询工具，只输出一个简短JSON。模型的正确与否由外部程序判断。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Our Code输入说明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Each molecule is given as Python source that builds explicit records. Atom(id=...,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element=..., formal_charge=..., isotope=..., aromatic=..., explicit_hs=...,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atom_map=...) describes one atom; Bond(begin=..., end=..., bond_type=...) describes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one bond between two atom ids; Molecule(atoms=(...), bonds=(...)) collects them.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Atom.id is only a local label inside that one expression and carries no chemical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meaning. explicit_hs=None means the element's normal implicit-hydrogen rule applies;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an integer is an exact hydrogen count.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user消息的结构是Representation说明、Molecule分子内容、任务instruction；Identity改为A和B两份内容。省略分子内容的模板不能冒称一条完整历史请求；完整请求在historical_our_code_examples.json。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同分子判断的实际instruction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Structure A and structure B are two encodings of possibly the same molecule.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Decide whether they describe the SAME molecule.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Two encodings describe the same molecule when they have the same atoms, the same bonds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between those atoms, the same bond orders and the same formal charges, regardless of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which atom the text happens to start from or how the records are ordered.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Reply with JSON only: {"same_molecule": true} or {"same_molecule": false}.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模型应返回same_molecule的true或false；依据原子、键、键级和电荷判断，不比较字符串是否一样。历史输入排序规则仍有差异，所以该项不能作确认性优势结论。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官能团识别的实际instruction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For the molecule below, decide for EACH functional group in the list whether it is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present. Judge only from the structure given.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Groups: "aldehyde", "ketone", "ester", "carboxylic_acid", "amide", "primary_amine",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"nitrile", "alcohol", "phenol", "benzene_ring", "alkyl_halide", "aryl_halide",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"nitro"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Reply with JSON only, one boolean per group, for example {{"aldehyde": true}}.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实际问13类；主Macro-F1只对冻结的10类平均。aldehyde、nitrile、nitro不进入主分数。原示例里的双大括号是已发现的格式缺陷，这里保留实际历史问法。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十 其余任务怎样问与怎样判分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元素计数的实际instruction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Count how many atoms of each listed element are in the molecule below. Count heavy atoms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only; do not count hydrogen atoms.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Elements: C, N, O, S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Reply with JSON only, one non-negative integer per element, for example {{"C": 0}}.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C、N、O、S四个数全部与参考相同，该题才算正确。原示例同样含双大括号；未来修正需另立prompt版本，不能改写旧运行记录。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QED估计的实际instruction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Estimate the drug-likeness score QED (Quantitative Estimate of Drug-likeness) for the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molecule below, on its usual scale from 0 (least drug-like) to 1 (most drug-like).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Answer from the structure alone; do not run any code and do not attempt to compute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descriptors externally.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Reply with JSON only: {"qed": &lt;a number between 0 and 1&gt;}.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模型估计0到1的QED；程序计算回答与RDKit值的绝对差，再对题目平均得到MAE，越小越好。该值不是疗效或安全性。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氢键供体计数的实际instruction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Count the hydrogen-bond donors (HBD) in the molecule below, using the standard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definition: the number of nitrogen or oxygen atoms that carry at least one hydrogen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atom.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Reply with JSON only: {"hbd": &lt;a non-negative integer&gt;}.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HBD问的是供体位点数量，不是分子内所有氢的数量。历史prompt用带氢的N/O作简化说明，oracle则用RDKit CalcNumHBD；特殊原子的定义边界应在新版本检查。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一个真实的历史失分例子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题目t3-our_code-71464601取自main-02原始日志；它是元素计数任务。完整Our Code输入、模型回答与另列参考答案见prompts/historical_our_code_examples.json。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376"/>
        <w:gridCol w:w="2376"/>
        <w:gridCol w:w="2866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元素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模型回答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参考答案</w:t>
            </w:r>
          </w:p>
        </w:tc>
        <w:tc>
          <w:tcPr>
            <w:tcW w:type="dxa" w:w="28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是否一致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22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21</w:t>
            </w:r>
          </w:p>
        </w:tc>
        <w:tc>
          <w:tcPr>
            <w:tcW w:type="dxa" w:w="28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N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1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1</w:t>
            </w:r>
          </w:p>
        </w:tc>
        <w:tc>
          <w:tcPr>
            <w:tcW w:type="dxa" w:w="28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O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4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4</w:t>
            </w:r>
          </w:p>
        </w:tc>
        <w:tc>
          <w:tcPr>
            <w:tcW w:type="dxa" w:w="28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2</w:t>
            </w:r>
          </w:p>
        </w:tc>
        <w:tc>
          <w:tcPr>
            <w:tcW w:type="dxa" w:w="28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是</w:t>
            </w:r>
          </w:p>
        </w:tc>
      </w:tr>
    </w:tbl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模型多算了一个碳。因此四元素exact-match规则下，该题得0；不是给3/4分。这个例子证明如何产生失分，但不能单凭它确定为什么模型多算了碳。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十一 参考答案 请求与评分的核心代码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bmb/labels.py产生参考答案。它使用独立RDKit，不使用我们的基础类给自己的表示打分。以下是实际源码片段。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def atom_count(smiles: str, element: str) -&gt; int: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mol = Chem.MolFromSmiles(smiles)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if mol is None: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raise ValueError('RDKit cannot parse %r' % smiles)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return sum(1 for atom in mol.GetAtoms() if atom.GetSymbol() == element)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def qed_reference(smiles: str) -&gt; float: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mol = Chem.MolFromSmiles(smiles)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if mol is None: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raise ValueError('RDKit cannot parse %r' % smiles)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return float(QED.qed(mol))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官能团用mol.HasSubstructMatch匹配冻结SMARTS模式；HBD用rdMolDescriptors.CalcNumHBD。SMARTS是指定局部原子和键组合的查询规则，定义在config/functional_groups.frozen.json。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bmb/client.py的_payload把prompt放入真实请求，以下是实际请求体构造片段。extra_body中的enable_thinking设置以及response_format也由该函数加入。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body = {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'model': self.model_id,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'messages': messages,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'temperature': self.temperature,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'top_p': self.top_p,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'max_tokens': self.max_tokens,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'stream': False,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}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历史记录为deepseek-v4.1-flash、temperature=0、top_p=1、max_tokens=4096、zero-shot，请求enable_thinking=false。run manifest实际记录Token Plan通道；本次只离线复算，没有新调用模型。服务端未提供固定权重版本。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bmb/scoring.py的score_item直接比较回答和参考。以下为函数中的真实分支；前面的status校验与其它分支在完整源码。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if task == 't3_atom_counts':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return bool(parsed == label)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if task == 't4_qed':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return abs(parsed['qed'] - label['qed'])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if task == 't5_hydrogen_bond_donors':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return bool(parsed['hbd'] == label['hbd'])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子结构分数不是逐题exact-match：程序分别累计每类的正确识别、误报和漏报，计算F1，再对固定类别等权平均。共同题表由build_common_table.py先按每项任务取八种表示的交集，再重算指标。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十二 怎样复算并从GitHub审查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最短复算路径（路径A）只需要Python 3.10或更高版本，不需要任何第三方包，也不需要API Key。执行：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git clone https://github.com/CHANSingYeungSunny/Design-Molecule-Class.git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cd Design-Molecule-Class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python research/02_tests/test_baseline_core.py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python scripts/replay_table.py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四条命令按名称分工：test_baseline_core.py 验证教授提供的原子、键和分子基础类（输出 Ran 55 tests ... OK）；replay_table.py 重新解析保存的模型JSON，用原评分器重算主表（输出 Historical replay passed）。输出在reproduced/：summary.csv是表格，per_item.jsonl是逐题评分证据，verification.json是校验结果。参考标签采用当时保存的RDKit值；这一步不是重新调用模型。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路径B才检验“参考答案本身能不能被重算”：装上RDKit等依赖后运行 scripts/rebuild_labels.py，它会用RDKit对200个Identity题对和199×4条理解题重新计算官能团、C/N/O/S计数、QED与HBD，并与冻结值逐项比对（实测996条、0条不一致）。只跑路径A或只看教学例子，不能说标签重建已经通过。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本次在本机Windows环境（Python 3.13.5、RDKit 2025.09.4）实测：核心测试55/55；benchmark自检99项0失败；客户端离线检查14项0失败；核心代码索引53行全部命中真实源码；40份冻结题单、main的3000项与extension的4996项输入hash通过；1200张刺激图片字节校验通过；八行40格共同题结果与原Word一致，分母仍为200/199/199/199/199；参考答案重算996条、0条不一致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原始行数与有效题数必须分开读：main-02原始日志3000行且全部为ok；extension-01原始日志5038行，其中38条是pending历史占位、4条属于已被当前冻结清单取代的历史题。复算按当前清单过滤并按题号取最后状态。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重新调用模型（路径C）需要自备服务、key和预算，并另用run ID。即使temperature=0，服务端权重版本或推理实现变化都可能让新回答不同，不能承诺重新推理逐题一致。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十三 GitHub 发布、固定链接与验收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仓库与实际 commit</w:t>
      </w:r>
    </w:p>
    <w:p>
      <w:pPr>
        <w:snapToGrid w:val="0"/>
      </w:pPr>
      <w:hyperlink r:id="rId10">
        <w:r>
          <w:rPr>
            <w:color w:val="0563C1"/>
            <w:rFonts w:ascii="Calibri" w:eastAsia="Noto Sans CJK SC"/>
            <w:sz w:val="21"/>
            <w:u w:val="single"/>
          </w:rPr>
          <w:t>https://github.com/CHANSingYeungSunny/Design-Molecule-Class</w:t>
        </w:r>
      </w:hyperlink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三个提交要分清：源码提交装的是代码、数据、冻结题单和原始响应，是复算与验收的对象；文档提交只改说明、脚本与报告；最终交付提交是推送后仓库的最新一条，它包含本文件。本文件不硬编码自己所在提交的SHA，最终交付SHA另在交付清单中给出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本报告所有代码、数据、模板的固定链接，都指向下面这个已经被 clone 并复算过的源码提交：aac92e78a7d1b1f80653d59ec45252a3a612e45a 。它不包含本报告文件本身。</w:t>
      </w:r>
    </w:p>
    <w:p>
      <w:pPr>
        <w:snapToGrid w:val="0"/>
      </w:pPr>
      <w:hyperlink r:id="rId11">
        <w:r>
          <w:rPr>
            <w:color w:val="0563C1"/>
            <w:rFonts w:ascii="Calibri" w:eastAsia="Noto Sans CJK SC"/>
            <w:sz w:val="21"/>
            <w:u w:val="single"/>
          </w:rPr>
          <w:t>已验证源码提交 aac92e78a7d1b1f80653d59ec45252a3a612e45a</w:t>
        </w:r>
      </w:hyperlink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说明文档与脚本修正提交：79a9f270673a3dd2a1945e6d19389cd06460e15e 。该提交只改动文档与脚本，不改动核心代码、冻结题单与原始响应。</w:t>
      </w:r>
    </w:p>
    <w:p>
      <w:pPr>
        <w:snapToGrid w:val="0"/>
      </w:pPr>
      <w:hyperlink r:id="rId12">
        <w:r>
          <w:rPr>
            <w:color w:val="0563C1"/>
            <w:rFonts w:ascii="Calibri" w:eastAsia="Noto Sans CJK SC"/>
            <w:sz w:val="21"/>
            <w:u w:val="single"/>
          </w:rPr>
          <w:t>文档修正提交 79a9f270673a3dd2a1945e6d19389cd06460e15e</w:t>
        </w:r>
      </w:hyperlink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提交前已逐项检查：未提交 .venv、local.env、任何密钥、第三方RDKit整仓与临时文件；暂存文件1766个中扫描不到形如密钥的字符串；教授基础类三份副本SHA-256仍为55d314aa开头。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每个入口能看到什么</w:t>
      </w:r>
    </w:p>
    <w:p>
      <w:pPr>
        <w:snapToGrid w:val="0"/>
      </w:pPr>
      <w:hyperlink r:id="rId13">
        <w:r>
          <w:rPr>
            <w:color w:val="0563C1"/>
            <w:rFonts w:ascii="Calibri" w:eastAsia="Noto Sans CJK SC"/>
            <w:sz w:val="21"/>
            <w:u w:val="single"/>
          </w:rPr>
          <w:t>README：三条复现路径、最短命令、已知限制</w:t>
        </w:r>
      </w:hyperlink>
    </w:p>
    <w:p>
      <w:pPr>
        <w:snapToGrid w:val="0"/>
      </w:pPr>
      <w:hyperlink r:id="rId14">
        <w:r>
          <w:rPr>
            <w:color w:val="0563C1"/>
            <w:rFonts w:ascii="Calibri" w:eastAsia="Noto Sans CJK SC"/>
            <w:sz w:val="21"/>
            <w:u w:val="single"/>
          </w:rPr>
          <w:t>基础类 Atom / Bond / Molecule</w:t>
        </w:r>
      </w:hyperlink>
    </w:p>
    <w:p>
      <w:pPr>
        <w:snapToGrid w:val="0"/>
      </w:pPr>
      <w:hyperlink r:id="rId15">
        <w:r>
          <w:rPr>
            <w:color w:val="0563C1"/>
            <w:rFonts w:ascii="Calibri" w:eastAsia="Noto Sans CJK SC"/>
            <w:sz w:val="21"/>
            <w:u w:val="single"/>
          </w:rPr>
          <w:t>实际模型 prompt 组装</w:t>
        </w:r>
      </w:hyperlink>
    </w:p>
    <w:p>
      <w:pPr>
        <w:snapToGrid w:val="0"/>
      </w:pPr>
      <w:hyperlink r:id="rId16">
        <w:r>
          <w:rPr>
            <w:color w:val="0563C1"/>
            <w:rFonts w:ascii="Calibri" w:eastAsia="Noto Sans CJK SC"/>
            <w:sz w:val="21"/>
            <w:u w:val="single"/>
          </w:rPr>
          <w:t>导出的完整 prompt 模板</w:t>
        </w:r>
      </w:hyperlink>
    </w:p>
    <w:p>
      <w:pPr>
        <w:snapToGrid w:val="0"/>
      </w:pPr>
      <w:hyperlink r:id="rId17">
        <w:r>
          <w:rPr>
            <w:color w:val="0563C1"/>
            <w:rFonts w:ascii="Calibri" w:eastAsia="Noto Sans CJK SC"/>
            <w:sz w:val="21"/>
            <w:u w:val="single"/>
          </w:rPr>
          <w:t>五项任务的真实历史请求与回答</w:t>
        </w:r>
      </w:hyperlink>
    </w:p>
    <w:p>
      <w:pPr>
        <w:snapToGrid w:val="0"/>
      </w:pPr>
      <w:hyperlink r:id="rId18">
        <w:r>
          <w:rPr>
            <w:color w:val="0563C1"/>
            <w:rFonts w:ascii="Calibri" w:eastAsia="Noto Sans CJK SC"/>
            <w:sz w:val="21"/>
            <w:u w:val="single"/>
          </w:rPr>
          <w:t>独立 RDKit 参考答案</w:t>
        </w:r>
      </w:hyperlink>
    </w:p>
    <w:p>
      <w:pPr>
        <w:snapToGrid w:val="0"/>
      </w:pPr>
      <w:hyperlink r:id="rId19">
        <w:r>
          <w:rPr>
            <w:color w:val="0563C1"/>
            <w:rFonts w:ascii="Calibri" w:eastAsia="Noto Sans CJK SC"/>
            <w:sz w:val="21"/>
            <w:u w:val="single"/>
          </w:rPr>
          <w:t>评分规则</w:t>
        </w:r>
      </w:hyperlink>
    </w:p>
    <w:p>
      <w:pPr>
        <w:snapToGrid w:val="0"/>
      </w:pPr>
      <w:hyperlink r:id="rId20">
        <w:r>
          <w:rPr>
            <w:color w:val="0563C1"/>
            <w:rFonts w:ascii="Calibri" w:eastAsia="Noto Sans CJK SC"/>
            <w:sz w:val="21"/>
            <w:u w:val="single"/>
          </w:rPr>
          <w:t>无 API Key 历史复算入口</w:t>
        </w:r>
      </w:hyperlink>
    </w:p>
    <w:p>
      <w:pPr>
        <w:snapToGrid w:val="0"/>
      </w:pPr>
      <w:hyperlink r:id="rId21">
        <w:r>
          <w:rPr>
            <w:color w:val="0563C1"/>
            <w:rFonts w:ascii="Calibri" w:eastAsia="Noto Sans CJK SC"/>
            <w:sz w:val="21"/>
            <w:u w:val="single"/>
          </w:rPr>
          <w:t>参考答案重建入口</w:t>
        </w:r>
      </w:hyperlink>
    </w:p>
    <w:p>
      <w:pPr>
        <w:snapToGrid w:val="0"/>
      </w:pPr>
      <w:hyperlink r:id="rId22">
        <w:r>
          <w:rPr>
            <w:color w:val="0563C1"/>
            <w:rFonts w:ascii="Calibri" w:eastAsia="Noto Sans CJK SC"/>
            <w:sz w:val="21"/>
            <w:u w:val="single"/>
          </w:rPr>
          <w:t>main-02 原始模型回答</w:t>
        </w:r>
      </w:hyperlink>
    </w:p>
    <w:p>
      <w:pPr>
        <w:snapToGrid w:val="0"/>
      </w:pPr>
      <w:hyperlink r:id="rId23">
        <w:r>
          <w:rPr>
            <w:color w:val="0563C1"/>
            <w:rFonts w:ascii="Calibri" w:eastAsia="Noto Sans CJK SC"/>
            <w:sz w:val="21"/>
            <w:u w:val="single"/>
          </w:rPr>
          <w:t>论文与项目逐条对应</w:t>
        </w:r>
      </w:hyperlink>
    </w:p>
    <w:p>
      <w:pPr>
        <w:snapToGrid w:val="0"/>
      </w:pPr>
      <w:hyperlink r:id="rId24">
        <w:r>
          <w:rPr>
            <w:color w:val="0563C1"/>
            <w:rFonts w:ascii="Calibri" w:eastAsia="Noto Sans CJK SC"/>
            <w:sz w:val="21"/>
            <w:u w:val="single"/>
          </w:rPr>
          <w:t>核心代码索引与中文说明</w:t>
        </w:r>
      </w:hyperlink>
    </w:p>
    <w:p>
      <w:pPr>
        <w:snapToGrid w:val="0"/>
      </w:pPr>
      <w:hyperlink r:id="rId25">
        <w:r>
          <w:rPr>
            <w:color w:val="0563C1"/>
            <w:rFonts w:ascii="Calibri" w:eastAsia="Noto Sans CJK SC"/>
            <w:sz w:val="21"/>
            <w:u w:val="single"/>
          </w:rPr>
          <w:t>审核结论与限制</w:t>
        </w:r>
      </w:hyperlink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从全新目录 clone 的实测结果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在与原工作目录分离的全新目录执行 git clone 后（远端实际commit）：test_baseline_core.py 输出 Ran 55 tests ... OK；核心代码索引53行OK；replay_table.py 输出 Historical replay passed: 40 frozen lists, all 40 table values match.，八行数值与第一节表格完全一致；rebuild_labels.py 重算996条参考答案、0条不一致；reference/MolJSON 源码在clone后可正常导入并生成MolJSON文本。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必须讲清楚的界线：上述clone复算是本次工作在另一个目录执行的，没有另一位独立使用者的验收记录。仓库与README可供其他人自行复算，但“可供他人复算”不等于“已经由其他人独立验证”。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远端自动化检查的实际运行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工作流 Historical offline replay（GitHub Actions，ubuntu-24.04，Python 3.13，不含任何密钥）。以下run都用 gh api 读取过 head_sha、status与conclusion，不是凭“有成功run”推断：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744"/>
        <w:gridCol w:w="3730"/>
      </w:tblGrid>
      <w:tr>
        <w:trPr>
          <w:tblHeader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run ID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对应 head_sha</w:t>
            </w:r>
          </w:p>
        </w:tc>
        <w:tc>
          <w:tcPr>
            <w:tcW w:type="dxa" w:w="37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status / conclusion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38315294795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aac92e78…2e45a</w:t>
            </w:r>
          </w:p>
        </w:tc>
        <w:tc>
          <w:tcPr>
            <w:tcW w:type="dxa" w:w="37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completed / success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38316032354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10ef071c…23687</w:t>
            </w:r>
          </w:p>
        </w:tc>
        <w:tc>
          <w:tcPr>
            <w:tcW w:type="dxa" w:w="37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completed / success</w:t>
            </w:r>
          </w:p>
        </w:tc>
      </w:tr>
    </w:tbl>
    <w:p>
      <w:pPr>
        <w:snapToGrid w:val="0"/>
      </w:pPr>
      <w:hyperlink r:id="rId26">
        <w:r>
          <w:rPr>
            <w:color w:val="0563C1"/>
            <w:rFonts w:ascii="Calibri" w:eastAsia="Noto Sans CJK SC"/>
            <w:sz w:val="21"/>
            <w:u w:val="single"/>
          </w:rPr>
          <w:t>Actions 运行 38315294795（对应源码提交 aac92e78）</w:t>
        </w:r>
      </w:hyperlink>
    </w:p>
    <w:p>
      <w:pPr>
        <w:snapToGrid w:val="0"/>
      </w:pPr>
      <w:hyperlink r:id="rId27">
        <w:r>
          <w:rPr>
            <w:color w:val="0563C1"/>
            <w:rFonts w:ascii="Calibri" w:eastAsia="Noto Sans CJK SC"/>
            <w:sz w:val="21"/>
            <w:u w:val="single"/>
          </w:rPr>
          <w:t>Actions 运行 38316032354（对应文档提交 10ef071c）</w:t>
        </w:r>
      </w:hyperlink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最终交付提交对应的运行会在推送后单独核对，不能用上面两条代替本次验收。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排版与页数的说明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本报告由 python-docx 生成，DOCX 是流式格式。用本机 Microsoft Word 导出 PDF 时为10页；同一份文件在另一个渲染环境下页数可能不同。页数取决于渲染器的字体度量与页面设置，页数不是验收标准；验收看章节是否重复、40格成绩是否未改、分母200/199与13问10评是否未变、链接是否可查。文中源码片段为排版做了换行处理，打印换行不等于可执行的完整源码，完整源码以仓库固定链接为准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已完成与未完成的界线：已完成“从保存响应重算报告”“用RDKit重建参考答案并逐项比对”“发布到本人仓库并在分离的全新目录clone复算”。未执行“重新付费调用模型”，因为它需要自备服务与预算，且新回答不保证与历史逐题一致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我向教授说明时应能解释：谁算标准答案（RDKit，在实验程序一侧）、模型收到什么（只有表示和问题）、是否执行代码（不执行，也没有工具通道）、一个回答如何算分（逐题判定后按任务汇总）、哪些改动来自论文、哪些是本项目选择，以及现有比较限制（Identity描述性、13问10评、199分母的原因）。提交代码有助于审核，但理解这些过程仍需要我自己完成。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3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CHANSingYeungSunny/Design-Molecule-Class" TargetMode="External"/><Relationship Id="rId11" Type="http://schemas.openxmlformats.org/officeDocument/2006/relationships/hyperlink" Target="https://github.com/CHANSingYeungSunny/Design-Molecule-Class/commit/aac92e78a7d1b1f80653d59ec45252a3a612e45a" TargetMode="External"/><Relationship Id="rId12" Type="http://schemas.openxmlformats.org/officeDocument/2006/relationships/hyperlink" Target="https://github.com/CHANSingYeungSunny/Design-Molecule-Class/commit/79a9f270673a3dd2a1945e6d19389cd06460e15e" TargetMode="External"/><Relationship Id="rId13" Type="http://schemas.openxmlformats.org/officeDocument/2006/relationships/hyperlink" Target="https://github.com/CHANSingYeungSunny/Design-Molecule-Class/blob/aac92e78a7d1b1f80653d59ec45252a3a612e45a/README.md" TargetMode="External"/><Relationship Id="rId14" Type="http://schemas.openxmlformats.org/officeDocument/2006/relationships/hyperlink" Target="https://github.com/CHANSingYeungSunny/Design-Molecule-Class/blob/aac92e78a7d1b1f80653d59ec45252a3a612e45a/research/01_implementation/molecule_core.py" TargetMode="External"/><Relationship Id="rId15" Type="http://schemas.openxmlformats.org/officeDocument/2006/relationships/hyperlink" Target="https://github.com/CHANSingYeungSunny/Design-Molecule-Class/blob/aac92e78a7d1b1f80653d59ec45252a3a612e45a/research/07_benchmark/bmb/tasks.py" TargetMode="External"/><Relationship Id="rId16" Type="http://schemas.openxmlformats.org/officeDocument/2006/relationships/hyperlink" Target="https://github.com/CHANSingYeungSunny/Design-Molecule-Class/blob/aac92e78a7d1b1f80653d59ec45252a3a612e45a/prompts/benchmark_templates.json" TargetMode="External"/><Relationship Id="rId17" Type="http://schemas.openxmlformats.org/officeDocument/2006/relationships/hyperlink" Target="https://github.com/CHANSingYeungSunny/Design-Molecule-Class/blob/aac92e78a7d1b1f80653d59ec45252a3a612e45a/prompts/historical_our_code_examples.json" TargetMode="External"/><Relationship Id="rId18" Type="http://schemas.openxmlformats.org/officeDocument/2006/relationships/hyperlink" Target="https://github.com/CHANSingYeungSunny/Design-Molecule-Class/blob/aac92e78a7d1b1f80653d59ec45252a3a612e45a/research/07_benchmark/bmb/labels.py" TargetMode="External"/><Relationship Id="rId19" Type="http://schemas.openxmlformats.org/officeDocument/2006/relationships/hyperlink" Target="https://github.com/CHANSingYeungSunny/Design-Molecule-Class/blob/aac92e78a7d1b1f80653d59ec45252a3a612e45a/research/07_benchmark/bmb/scoring.py" TargetMode="External"/><Relationship Id="rId20" Type="http://schemas.openxmlformats.org/officeDocument/2006/relationships/hyperlink" Target="https://github.com/CHANSingYeungSunny/Design-Molecule-Class/blob/aac92e78a7d1b1f80653d59ec45252a3a612e45a/scripts/replay_table.py" TargetMode="External"/><Relationship Id="rId21" Type="http://schemas.openxmlformats.org/officeDocument/2006/relationships/hyperlink" Target="https://github.com/CHANSingYeungSunny/Design-Molecule-Class/blob/aac92e78a7d1b1f80653d59ec45252a3a612e45a/scripts/rebuild_labels.py" TargetMode="External"/><Relationship Id="rId22" Type="http://schemas.openxmlformats.org/officeDocument/2006/relationships/hyperlink" Target="https://github.com/CHANSingYeungSunny/Design-Molecule-Class/blob/aac92e78a7d1b1f80653d59ec45252a3a612e45a/research/07_benchmark/runs/main-02/raw_responses.jsonl" TargetMode="External"/><Relationship Id="rId23" Type="http://schemas.openxmlformats.org/officeDocument/2006/relationships/hyperlink" Target="https://github.com/CHANSingYeungSunny/Design-Molecule-Class/blob/aac92e78a7d1b1f80653d59ec45252a3a612e45a/docs/PAPER_TO_PROJECT.md" TargetMode="External"/><Relationship Id="rId24" Type="http://schemas.openxmlformats.org/officeDocument/2006/relationships/hyperlink" Target="https://github.com/CHANSingYeungSunny/Design-Molecule-Class/blob/aac92e78a7d1b1f80653d59ec45252a3a612e45a/docs/CORE_CODE_INDEX.md" TargetMode="External"/><Relationship Id="rId25" Type="http://schemas.openxmlformats.org/officeDocument/2006/relationships/hyperlink" Target="https://github.com/CHANSingYeungSunny/Design-Molecule-Class/blob/aac92e78a7d1b1f80653d59ec45252a3a612e45a/docs/AUDIT.md" TargetMode="External"/><Relationship Id="rId26" Type="http://schemas.openxmlformats.org/officeDocument/2006/relationships/hyperlink" Target="https://github.com/CHANSingYeungSunny/Design-Molecule-Class/actions/runs/38315294795" TargetMode="External"/><Relationship Id="rId27" Type="http://schemas.openxmlformats.org/officeDocument/2006/relationships/hyperlink" Target="https://github.com/CHANSingYeungSunny/Design-Molecule-Class/actions/runs/383160323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分子表示比较研究简明汇报</dc:title>
  <dc:subject>八种表示的正式结果与Our Code改进方向的简明解释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