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21"/>
        </w:rPr>
        <w:t>City University of Hong Kong</w:t>
      </w:r>
    </w:p>
    <w:p>
      <w:pPr>
        <w:spacing w:before="0" w:after="0"/>
        <w:jc w:val="center"/>
      </w:pPr>
      <w:r>
        <w:rPr>
          <w:b w:val="0"/>
          <w:i w:val="0"/>
          <w:sz w:val="19"/>
        </w:rPr>
        <w:t>Department of Electrical Engineering  ·  Final Year Project EE4080  ·  2026/27 A</w:t>
      </w:r>
    </w:p>
    <w:p>
      <w:pPr>
        <w:spacing w:before="0" w:after="0"/>
        <w:jc w:val="center"/>
      </w:pPr>
      <w:r>
        <w:rPr>
          <w:b/>
          <w:i w:val="0"/>
          <w:color w:val="1F3864"/>
          <w:sz w:val="25"/>
        </w:rPr>
        <w:t>Project Summary and Planning Chart</w:t>
      </w:r>
    </w:p>
    <w:p>
      <w:pPr>
        <w:spacing w:before="0" w:after="20"/>
        <w:jc w:val="center"/>
      </w:pPr>
      <w:r>
        <w:rPr>
          <w:b/>
          <w:i w:val="0"/>
          <w:sz w:val="22"/>
        </w:rPr>
        <w:t>Reliable Long-Horizon Influenza Forecasting Using Multivariate Time-Series Models</w:t>
      </w:r>
    </w:p>
    <w:p>
      <w:pPr>
        <w:keepNext/>
        <w:spacing w:before="0" w:after="20"/>
      </w:pPr>
      <w:r>
        <w:rPr>
          <w:b/>
          <w:color w:val="1F3864"/>
          <w:sz w:val="21"/>
        </w:rPr>
        <w:t>A.  Student and Project Information</w:t>
      </w:r>
    </w:p>
    <w:tbl>
      <w:tblPr>
        <w:tblStyle w:val="TableGrid"/>
        <w:tblW w:type="auto" w:w="0"/>
        <w:jc w:val="center"/>
        <w:tblLayout w:type="fixed"/>
        <w:tblLook w:firstColumn="1" w:firstRow="1" w:lastColumn="0" w:lastRow="0" w:noHBand="0" w:noVBand="1" w:val="04A0"/>
        <w:tblLayout w:type="fixed"/>
      </w:tblPr>
      <w:tblGrid>
        <w:gridCol w:w="2579"/>
        <w:gridCol w:w="2579"/>
        <w:gridCol w:w="2579"/>
        <w:gridCol w:w="2579"/>
      </w:tblGrid>
      <w:tr>
        <w:tc>
          <w:tcPr>
            <w:tcW w:type="dxa" w:w="1587"/>
            <w:shd w:val="clear" w:fill="EDF1F7"/>
          </w:tcPr>
          <w:p>
            <w:pPr>
              <w:spacing w:after="0"/>
            </w:pPr>
            <w:r>
              <w:rPr>
                <w:b/>
                <w:sz w:val="17"/>
              </w:rPr>
              <w:t>Student No.</w:t>
            </w:r>
          </w:p>
        </w:tc>
        <w:tc>
          <w:tcPr>
            <w:tcW w:type="dxa" w:w="3231"/>
          </w:tcPr>
          <w:p>
            <w:pPr>
              <w:spacing w:after="0"/>
            </w:pPr>
            <w:r>
              <w:rPr>
                <w:sz w:val="17"/>
              </w:rPr>
              <w:t>58324980</w:t>
            </w:r>
          </w:p>
        </w:tc>
        <w:tc>
          <w:tcPr>
            <w:tcW w:type="dxa" w:w="1928"/>
            <w:shd w:val="clear" w:fill="EDF1F7"/>
          </w:tcPr>
          <w:p>
            <w:pPr>
              <w:spacing w:after="0"/>
            </w:pPr>
            <w:r>
              <w:rPr>
                <w:b/>
                <w:sz w:val="17"/>
              </w:rPr>
              <w:t>Student Name</w:t>
            </w:r>
          </w:p>
        </w:tc>
        <w:tc>
          <w:tcPr>
            <w:tcW w:type="dxa" w:w="3231"/>
          </w:tcPr>
          <w:p>
            <w:pPr>
              <w:spacing w:after="0"/>
            </w:pPr>
            <w:r>
              <w:rPr>
                <w:sz w:val="17"/>
              </w:rPr>
              <w:t>CHAN Sing Yeung</w:t>
            </w:r>
          </w:p>
        </w:tc>
      </w:tr>
      <w:tr>
        <w:tc>
          <w:tcPr>
            <w:tcW w:type="dxa" w:w="1587"/>
            <w:shd w:val="clear" w:fill="EDF1F7"/>
          </w:tcPr>
          <w:p>
            <w:pPr>
              <w:spacing w:after="0"/>
            </w:pPr>
            <w:r>
              <w:rPr>
                <w:b/>
                <w:sz w:val="17"/>
              </w:rPr>
              <w:t>CityU Email</w:t>
            </w:r>
          </w:p>
        </w:tc>
        <w:tc>
          <w:tcPr>
            <w:tcW w:type="dxa" w:w="3231"/>
          </w:tcPr>
          <w:p>
            <w:pPr>
              <w:spacing w:after="0"/>
            </w:pPr>
            <w:r>
              <w:rPr>
                <w:sz w:val="17"/>
              </w:rPr>
              <w:t>sychan552-c@my.cityu.edu.hk</w:t>
            </w:r>
          </w:p>
        </w:tc>
        <w:tc>
          <w:tcPr>
            <w:tcW w:type="dxa" w:w="1928"/>
            <w:shd w:val="clear" w:fill="EDF1F7"/>
          </w:tcPr>
          <w:p>
            <w:pPr>
              <w:spacing w:after="0"/>
            </w:pPr>
            <w:r>
              <w:rPr>
                <w:b/>
                <w:sz w:val="17"/>
              </w:rPr>
              <w:t>Project Code</w:t>
            </w:r>
          </w:p>
        </w:tc>
        <w:tc>
          <w:tcPr>
            <w:tcW w:type="dxa" w:w="3231"/>
          </w:tcPr>
          <w:p>
            <w:pPr>
              <w:spacing w:after="0"/>
            </w:pPr>
            <w:r>
              <w:rPr>
                <w:sz w:val="17"/>
              </w:rPr>
              <w:t>KHC-04</w:t>
            </w:r>
          </w:p>
        </w:tc>
      </w:tr>
      <w:tr>
        <w:tc>
          <w:tcPr>
            <w:tcW w:type="dxa" w:w="1587"/>
            <w:shd w:val="clear" w:fill="EDF1F7"/>
          </w:tcPr>
          <w:p>
            <w:pPr>
              <w:spacing w:after="0"/>
            </w:pPr>
            <w:r>
              <w:rPr>
                <w:b/>
                <w:sz w:val="17"/>
              </w:rPr>
              <w:t>Supervisor</w:t>
            </w:r>
          </w:p>
        </w:tc>
        <w:tc>
          <w:tcPr>
            <w:tcW w:type="dxa" w:w="3231"/>
          </w:tcPr>
          <w:p>
            <w:pPr>
              <w:spacing w:after="0"/>
            </w:pPr>
            <w:r>
              <w:rPr>
                <w:sz w:val="17"/>
              </w:rPr>
              <w:t>Prof. CHAN, Katie (KHC)</w:t>
            </w:r>
          </w:p>
        </w:tc>
        <w:tc>
          <w:tcPr>
            <w:tcW w:type="dxa" w:w="1928"/>
            <w:shd w:val="clear" w:fill="EDF1F7"/>
          </w:tcPr>
          <w:p>
            <w:pPr>
              <w:spacing w:after="0"/>
            </w:pPr>
            <w:r>
              <w:rPr>
                <w:b/>
                <w:sz w:val="17"/>
              </w:rPr>
              <w:t>Programme</w:t>
            </w:r>
          </w:p>
        </w:tc>
        <w:tc>
          <w:tcPr>
            <w:tcW w:type="dxa" w:w="3231"/>
          </w:tcPr>
          <w:p>
            <w:pPr>
              <w:spacing w:after="0"/>
            </w:pPr>
            <w:r>
              <w:rPr>
                <w:sz w:val="17"/>
              </w:rPr>
              <w:t>BEng — Computer and Data Engineering</w:t>
            </w:r>
          </w:p>
        </w:tc>
      </w:tr>
      <w:tr>
        <w:tc>
          <w:tcPr>
            <w:tcW w:type="dxa" w:w="1587"/>
            <w:shd w:val="clear" w:fill="EDF1F7"/>
          </w:tcPr>
          <w:p>
            <w:pPr>
              <w:spacing w:after="0"/>
            </w:pPr>
            <w:r>
              <w:rPr>
                <w:b/>
                <w:sz w:val="17"/>
              </w:rPr>
              <w:t>Course</w:t>
            </w:r>
          </w:p>
        </w:tc>
        <w:tc>
          <w:tcPr>
            <w:tcW w:type="dxa" w:w="3231"/>
          </w:tcPr>
          <w:p>
            <w:pPr>
              <w:spacing w:after="0"/>
            </w:pPr>
            <w:r>
              <w:rPr>
                <w:sz w:val="17"/>
              </w:rPr>
              <w:t>EE4080</w:t>
            </w:r>
          </w:p>
        </w:tc>
        <w:tc>
          <w:tcPr>
            <w:tcW w:type="dxa" w:w="1928"/>
            <w:shd w:val="clear" w:fill="EDF1F7"/>
          </w:tcPr>
          <w:p>
            <w:pPr>
              <w:spacing w:after="0"/>
            </w:pPr>
            <w:r>
              <w:rPr>
                <w:b/>
                <w:sz w:val="17"/>
              </w:rPr>
              <w:t>Academic Year / Term</w:t>
            </w:r>
          </w:p>
        </w:tc>
        <w:tc>
          <w:tcPr>
            <w:tcW w:type="dxa" w:w="3231"/>
          </w:tcPr>
          <w:p>
            <w:pPr>
              <w:spacing w:after="0"/>
            </w:pPr>
            <w:r>
              <w:rPr>
                <w:sz w:val="17"/>
              </w:rPr>
              <w:t>2026/27 A</w:t>
            </w:r>
          </w:p>
        </w:tc>
      </w:tr>
    </w:tbl>
    <w:p>
      <w:pPr>
        <w:keepNext/>
        <w:spacing w:before="40" w:after="20"/>
      </w:pPr>
      <w:r>
        <w:rPr>
          <w:b/>
          <w:color w:val="1F3864"/>
          <w:sz w:val="21"/>
        </w:rPr>
        <w:t>B.  Project Summary</w:t>
      </w:r>
    </w:p>
    <w:p>
      <w:pPr>
        <w:spacing w:before="0" w:after="40"/>
      </w:pPr>
      <w:r>
        <w:rPr>
          <w:b w:val="0"/>
          <w:i w:val="0"/>
          <w:sz w:val="18"/>
        </w:rPr>
        <w:t>Reliable long-horizon influenza forecasting is difficult because seasonal patterns and temporal distribution shifts can reduce model generalization in unseen periods. This project develops and evaluates a leakage-controlled multivariate framework that predicts seven influenza-related indicators over 24-, 36-, 48- and 60-week horizons from historical ILI data, supporting seasonal preparedness and capacity planning. Because existing studies follow both lightweight time-series and LLM-based approaches, representative models from both schools are benchmarked under a common protocol with frozen selection. Preliminary independent Test/Holdout evaluation indicates that the lightweight NLinear model generalized better than the selected GPT-2 MIFlu model and a Seasonal-Naive reference within the frozen comparison set. Remaining work focuses on interpretation, follow-up control analysis, reporting, presentation and demonstration.</w:t>
      </w:r>
    </w:p>
    <w:p>
      <w:pPr>
        <w:keepNext/>
        <w:spacing w:before="40" w:after="20"/>
      </w:pPr>
      <w:r>
        <w:rPr>
          <w:b/>
          <w:color w:val="1F3864"/>
          <w:sz w:val="21"/>
        </w:rPr>
        <w:t>C.  Research Gap and Project Objective</w:t>
      </w:r>
    </w:p>
    <w:p>
      <w:pPr>
        <w:spacing w:before="0" w:after="0"/>
      </w:pPr>
      <w:r>
        <w:rPr>
          <w:b/>
          <w:i w:val="0"/>
          <w:sz w:val="18"/>
        </w:rPr>
        <w:t xml:space="preserve">Research gap: </w:t>
      </w:r>
    </w:p>
    <w:p>
      <w:pPr>
        <w:spacing w:before="0" w:after="20"/>
      </w:pPr>
      <w:r>
        <w:rPr>
          <w:b w:val="0"/>
          <w:i w:val="0"/>
          <w:sz w:val="18"/>
        </w:rPr>
        <w:t>Reliable long-horizon influenza forecasting remains challenging because seasonal patterns and temporal distribution shifts can reduce accuracy in unseen periods. Existing approaches also vary in model complexity and evaluation protocol, making it difficult to determine which methods provide robust multivariate forecasts under a common setting. A consistent, leakage-controlled framework with independent evaluation is therefore needed to assess practical generalization.</w:t>
      </w:r>
    </w:p>
    <w:p>
      <w:pPr>
        <w:spacing w:before="0" w:after="0"/>
      </w:pPr>
      <w:r>
        <w:rPr>
          <w:b/>
          <w:i w:val="0"/>
          <w:sz w:val="18"/>
        </w:rPr>
        <w:t xml:space="preserve">Objective: </w:t>
      </w:r>
    </w:p>
    <w:p>
      <w:pPr>
        <w:spacing w:before="0" w:after="20"/>
      </w:pPr>
      <w:r>
        <w:rPr>
          <w:b w:val="0"/>
          <w:i w:val="0"/>
          <w:sz w:val="18"/>
        </w:rPr>
        <w:t>To develop and evaluate a reliable multivariate framework for forecasting influenza activity over long horizons, using historical ILI indicators and an independent Test/Holdout period to assess generalization. Representative lightweight and LLM-based forecasting models are benchmarked under a common, pre-specified protocol to identify an accurate, robust and reproducible approach.</w:t>
      </w:r>
    </w:p>
    <w:p>
      <w:pPr>
        <w:keepNext/>
        <w:spacing w:before="40" w:after="20"/>
      </w:pPr>
      <w:r>
        <w:rPr>
          <w:b/>
          <w:color w:val="1F3864"/>
          <w:sz w:val="21"/>
        </w:rPr>
        <w:t>D.  Model-Comparison Rationale</w:t>
      </w:r>
    </w:p>
    <w:p>
      <w:pPr>
        <w:spacing w:before="0" w:after="20"/>
      </w:pPr>
      <w:r>
        <w:rPr>
          <w:b w:val="0"/>
          <w:i w:val="0"/>
          <w:sz w:val="18"/>
        </w:rPr>
        <w:t>Contemporary influenza and time-series forecasting broadly includes two methodological schools: lightweight or dedicated time-series models that directly learn temporal patterns, and LLM-based models that introduce textual knowledge, representation alignment, reprogramming or multimodal mechanisms. These approaches differ in complexity, computational cost and assumptions. Benchmarking representative models from both schools under the same dataset, input/output contract, preprocessing, metrics and independent evaluation therefore helps determine which approach provides the most reliable influenza forecasts in this project setting. The original MIFlu study reports component-level ablations involving its text prompt, textual input embedder and LoRA adapter (Section VI.E, Table VIII), providing supporting evidence for these components within the reported MIFlu configuration.</w:t>
      </w:r>
    </w:p>
    <w:p>
      <w:pPr>
        <w:keepNext/>
        <w:spacing w:before="40" w:after="20"/>
      </w:pPr>
      <w:r>
        <w:rPr>
          <w:b/>
          <w:color w:val="1F3864"/>
          <w:sz w:val="21"/>
        </w:rPr>
        <w:t>E.  Dataset and Methodology</w:t>
      </w:r>
    </w:p>
    <w:p>
      <w:pPr>
        <w:spacing w:before="0" w:after="0"/>
      </w:pPr>
      <w:r>
        <w:rPr>
          <w:b/>
          <w:i w:val="0"/>
          <w:sz w:val="18"/>
        </w:rPr>
        <w:t>Forecasting contract:</w:t>
      </w:r>
    </w:p>
    <w:p>
      <w:pPr>
        <w:pStyle w:val="ListBullet"/>
        <w:spacing w:after="0" w:line="240" w:lineRule="auto"/>
      </w:pPr>
      <w:r>
        <w:rPr>
          <w:sz w:val="18"/>
        </w:rPr>
        <w:t>National-Illness ILI dataset (weekly, 1,025 points, seven variables).</w:t>
      </w:r>
    </w:p>
    <w:p>
      <w:pPr>
        <w:pStyle w:val="ListBullet"/>
        <w:spacing w:after="0" w:line="240" w:lineRule="auto"/>
      </w:pPr>
      <w:r>
        <w:rPr>
          <w:sz w:val="18"/>
        </w:rPr>
        <w:t>Input: previous 104 weeks; Output: all seven variables over horizons 24 / 36 / 48 / 60 weeks.</w:t>
      </w:r>
    </w:p>
    <w:p>
      <w:pPr>
        <w:pStyle w:val="ListBullet"/>
        <w:spacing w:after="0" w:line="240" w:lineRule="auto"/>
      </w:pPr>
      <w:r>
        <w:rPr>
          <w:sz w:val="18"/>
        </w:rPr>
        <w:t>Chronological train / validation / Test split; training-set-only normalization.</w:t>
      </w:r>
    </w:p>
    <w:p>
      <w:pPr>
        <w:pStyle w:val="ListBullet"/>
        <w:spacing w:after="0" w:line="240" w:lineRule="auto"/>
      </w:pPr>
      <w:r>
        <w:rPr>
          <w:sz w:val="18"/>
        </w:rPr>
        <w:t>Validation selects models; the independent Test/Holdout set is used once for final evaluation.</w:t>
      </w:r>
    </w:p>
    <w:p>
      <w:pPr>
        <w:spacing w:before="0" w:after="20"/>
      </w:pPr>
      <w:r>
        <w:rPr>
          <w:b w:val="0"/>
          <w:i w:val="0"/>
          <w:sz w:val="18"/>
        </w:rPr>
        <w:t>Compared models — Non-LLM: NLinear, DLinear, PatchTST-inspired, iTransformer;  LLM-based: GPT-2 MIFlu, Qwen Time-LLM, CALF, TimeCMA;  References: Last-Value Naive, Seasonal-Naive.  All share one dataset, split, scaler, output contract and metric average_MSE_4L (lower is better).  Following validation-based selection, the independent Test/Holdout evaluation was restricted to the frozen three-model comparison set of NLinear, GPT-2 MIFlu and Seasonal-Naive; the eight architectures were not all re-evaluated on Test/Holdout.</w:t>
      </w:r>
    </w:p>
    <w:p>
      <w:pPr>
        <w:keepNext/>
        <w:spacing w:after="0"/>
        <w:jc w:val="center"/>
      </w:pPr>
      <w:r>
        <w:drawing>
          <wp:inline xmlns:a="http://schemas.openxmlformats.org/drawingml/2006/main" xmlns:pic="http://schemas.openxmlformats.org/drawingml/2006/picture">
            <wp:extent cx="4297680" cy="2095310"/>
            <wp:docPr id="1" name="Picture 1"/>
            <wp:cNvGraphicFramePr>
              <a:graphicFrameLocks noChangeAspect="1"/>
            </wp:cNvGraphicFramePr>
            <a:graphic>
              <a:graphicData uri="http://schemas.openxmlformats.org/drawingml/2006/picture">
                <pic:pic>
                  <pic:nvPicPr>
                    <pic:cNvPr id="0" name="_fig_scope.png"/>
                    <pic:cNvPicPr/>
                  </pic:nvPicPr>
                  <pic:blipFill>
                    <a:blip r:embed="rId9"/>
                    <a:stretch>
                      <a:fillRect/>
                    </a:stretch>
                  </pic:blipFill>
                  <pic:spPr>
                    <a:xfrm>
                      <a:off x="0" y="0"/>
                      <a:ext cx="4297680" cy="2095310"/>
                    </a:xfrm>
                    <a:prstGeom prst="rect"/>
                  </pic:spPr>
                </pic:pic>
              </a:graphicData>
            </a:graphic>
          </wp:inline>
        </w:drawing>
      </w:r>
    </w:p>
    <w:p>
      <w:pPr>
        <w:spacing w:before="0" w:after="20"/>
        <w:jc w:val="center"/>
      </w:pPr>
      <w:r>
        <w:rPr>
          <w:b w:val="0"/>
          <w:i/>
          <w:sz w:val="16"/>
        </w:rPr>
        <w:t>Figure 1.  System scope and evidence flow (out-of-scope band shaded).</w:t>
      </w:r>
    </w:p>
    <w:p>
      <w:pPr>
        <w:keepNext/>
        <w:spacing w:before="40" w:after="20"/>
      </w:pPr>
      <w:r>
        <w:rPr>
          <w:b/>
          <w:color w:val="1F3864"/>
          <w:sz w:val="21"/>
        </w:rPr>
        <w:t>F.  Current Status and Preliminary Test/Holdout Results</w:t>
      </w:r>
    </w:p>
    <w:p>
      <w:pPr>
        <w:spacing w:before="0" w:after="20"/>
      </w:pPr>
      <w:r>
        <w:rPr>
          <w:b w:val="0"/>
          <w:i w:val="0"/>
          <w:sz w:val="18"/>
        </w:rPr>
        <w:t>Completed through the independent Test/Holdout evaluation: literature and protocol review, leakage-controlled data pipeline, model implementation and harmonization, Wave-1 validation and frozen selection.  Ongoing: interpretation refinement, follow-up controls, progress and final reports, presentation and demonstration.</w:t>
      </w:r>
    </w:p>
    <w:p>
      <w:pPr>
        <w:keepNext/>
        <w:spacing w:after="0"/>
        <w:jc w:val="center"/>
      </w:pPr>
      <w:r>
        <w:drawing>
          <wp:inline xmlns:a="http://schemas.openxmlformats.org/drawingml/2006/main" xmlns:pic="http://schemas.openxmlformats.org/drawingml/2006/picture">
            <wp:extent cx="2651760" cy="1217158"/>
            <wp:docPr id="2" name="Picture 2"/>
            <wp:cNvGraphicFramePr>
              <a:graphicFrameLocks noChangeAspect="1"/>
            </wp:cNvGraphicFramePr>
            <a:graphic>
              <a:graphicData uri="http://schemas.openxmlformats.org/drawingml/2006/picture">
                <pic:pic>
                  <pic:nvPicPr>
                    <pic:cNvPr id="0" name="_fig_bar.png"/>
                    <pic:cNvPicPr/>
                  </pic:nvPicPr>
                  <pic:blipFill>
                    <a:blip r:embed="rId10"/>
                    <a:stretch>
                      <a:fillRect/>
                    </a:stretch>
                  </pic:blipFill>
                  <pic:spPr>
                    <a:xfrm>
                      <a:off x="0" y="0"/>
                      <a:ext cx="2651760" cy="1217158"/>
                    </a:xfrm>
                    <a:prstGeom prst="rect"/>
                  </pic:spPr>
                </pic:pic>
              </a:graphicData>
            </a:graphic>
          </wp:inline>
        </w:drawing>
      </w:r>
    </w:p>
    <w:p>
      <w:pPr>
        <w:spacing w:before="0" w:after="20"/>
        <w:jc w:val="center"/>
      </w:pPr>
      <w:r>
        <w:rPr>
          <w:b w:val="0"/>
          <w:i/>
          <w:sz w:val="16"/>
        </w:rPr>
        <w:t>Figure 2.  Independent Test/Holdout average_MSE_4L (lower is better).</w:t>
      </w:r>
    </w:p>
    <w:p>
      <w:pPr>
        <w:spacing w:before="0" w:after="20"/>
      </w:pPr>
      <w:r>
        <w:rPr>
          <w:b w:val="0"/>
          <w:i w:val="0"/>
          <w:sz w:val="18"/>
        </w:rPr>
        <w:t>Within the frozen three-model Test/Holdout comparison, NLinear achieved the lowest error (average_MSE_4L = 2.739), followed by GPT-2 MIFlu (3.051) and Seasonal-Naive (4.279). This preliminary finding suggests that the lightweight model provided the most reliable generalization for influenza forecasting on this independent window. The finding is limited to the evaluated models, dataset, protocol and Test/Holdout period and should not be interpreted as a universal conclusion about model families.</w:t>
      </w:r>
    </w:p>
    <w:p>
      <w:pPr>
        <w:keepNext/>
        <w:spacing w:before="40" w:after="20"/>
      </w:pPr>
      <w:r>
        <w:rPr>
          <w:b/>
          <w:color w:val="1F3864"/>
          <w:sz w:val="21"/>
        </w:rPr>
        <w:t>G.  Conclusion</w:t>
      </w:r>
    </w:p>
    <w:p>
      <w:pPr>
        <w:spacing w:before="0" w:after="20"/>
      </w:pPr>
      <w:r>
        <w:rPr>
          <w:b w:val="0"/>
          <w:i w:val="0"/>
          <w:sz w:val="18"/>
        </w:rPr>
        <w:t>This project establishes a reproducible framework for long-horizon multivariate influenza forecasting and evaluates generalization on an independent Test/Holdout period. Preliminary results show that NLinear obtained the lowest error within the frozen three-model comparison, while ongoing work will refine the interpretation, follow-up controls and final project deliverables.</w:t>
      </w:r>
    </w:p>
    <w:p>
      <w:pPr>
        <w:keepNext/>
        <w:spacing w:before="40" w:after="20"/>
      </w:pPr>
      <w:r>
        <w:rPr>
          <w:b/>
          <w:color w:val="1F3864"/>
          <w:sz w:val="21"/>
        </w:rPr>
        <w:t>H.  Planning Chart / Timeline  (September 2026 – April 2027)</w:t>
      </w:r>
    </w:p>
    <w:tbl>
      <w:tblPr>
        <w:tblStyle w:val="TableGrid"/>
        <w:tblW w:type="auto" w:w="0"/>
        <w:jc w:val="center"/>
        <w:tblLayout w:type="fixed"/>
        <w:tblLook w:firstColumn="1" w:firstRow="1" w:lastColumn="0" w:lastRow="0" w:noHBand="0" w:noVBand="1" w:val="04A0"/>
        <w:tblLayout w:type="fixed"/>
      </w:tblPr>
      <w:tblGrid>
        <w:gridCol w:w="860"/>
        <w:gridCol w:w="860"/>
        <w:gridCol w:w="860"/>
        <w:gridCol w:w="860"/>
        <w:gridCol w:w="860"/>
        <w:gridCol w:w="860"/>
        <w:gridCol w:w="860"/>
        <w:gridCol w:w="860"/>
        <w:gridCol w:w="860"/>
        <w:gridCol w:w="860"/>
        <w:gridCol w:w="860"/>
        <w:gridCol w:w="860"/>
      </w:tblGrid>
      <w:tr>
        <w:tc>
          <w:tcPr>
            <w:tcW w:type="dxa" w:w="2948"/>
            <w:shd w:val="clear" w:fill="#1F3864"/>
          </w:tcPr>
          <w:p>
            <w:pPr>
              <w:jc w:val="center"/>
            </w:pPr>
            <w:r>
              <w:rPr>
                <w:b/>
                <w:color w:val="FFFFFF"/>
                <w:sz w:val="16"/>
              </w:rPr>
              <w:t>Activity</w:t>
            </w:r>
          </w:p>
        </w:tc>
        <w:tc>
          <w:tcPr>
            <w:tcW w:type="dxa" w:w="624"/>
            <w:shd w:val="clear" w:fill="#1F3864"/>
          </w:tcPr>
          <w:p>
            <w:pPr>
              <w:jc w:val="center"/>
            </w:pPr>
            <w:r>
              <w:rPr>
                <w:b/>
                <w:color w:val="FFFFFF"/>
                <w:sz w:val="16"/>
              </w:rPr>
              <w:t>Pred.</w:t>
            </w:r>
          </w:p>
        </w:tc>
        <w:tc>
          <w:tcPr>
            <w:tcW w:type="dxa" w:w="1134"/>
            <w:shd w:val="clear" w:fill="#1F3864"/>
          </w:tcPr>
          <w:p>
            <w:pPr>
              <w:jc w:val="center"/>
            </w:pPr>
            <w:r>
              <w:rPr>
                <w:b/>
                <w:color w:val="FFFFFF"/>
                <w:sz w:val="16"/>
              </w:rPr>
              <w:t>Expected time</w:t>
            </w:r>
          </w:p>
        </w:tc>
        <w:tc>
          <w:tcPr>
            <w:tcW w:type="dxa" w:w="964"/>
            <w:shd w:val="clear" w:fill="#1F3864"/>
          </w:tcPr>
          <w:p>
            <w:pPr>
              <w:jc w:val="center"/>
            </w:pPr>
            <w:r>
              <w:rPr>
                <w:b/>
                <w:color w:val="FFFFFF"/>
                <w:sz w:val="16"/>
              </w:rPr>
              <w:t>Critical / Slack</w:t>
            </w:r>
          </w:p>
        </w:tc>
        <w:tc>
          <w:tcPr>
            <w:tcW w:type="dxa" w:w="567"/>
            <w:shd w:val="clear" w:fill="#1F3864"/>
          </w:tcPr>
          <w:p>
            <w:pPr>
              <w:jc w:val="center"/>
            </w:pPr>
            <w:r>
              <w:rPr>
                <w:b/>
                <w:color w:val="FFFFFF"/>
                <w:sz w:val="16"/>
              </w:rPr>
              <w:t>Sep</w:t>
            </w:r>
          </w:p>
        </w:tc>
        <w:tc>
          <w:tcPr>
            <w:tcW w:type="dxa" w:w="567"/>
            <w:shd w:val="clear" w:fill="#1F3864"/>
          </w:tcPr>
          <w:p>
            <w:pPr>
              <w:jc w:val="center"/>
            </w:pPr>
            <w:r>
              <w:rPr>
                <w:b/>
                <w:color w:val="FFFFFF"/>
                <w:sz w:val="16"/>
              </w:rPr>
              <w:t>Oct</w:t>
            </w:r>
          </w:p>
        </w:tc>
        <w:tc>
          <w:tcPr>
            <w:tcW w:type="dxa" w:w="567"/>
            <w:shd w:val="clear" w:fill="#1F3864"/>
          </w:tcPr>
          <w:p>
            <w:pPr>
              <w:jc w:val="center"/>
            </w:pPr>
            <w:r>
              <w:rPr>
                <w:b/>
                <w:color w:val="FFFFFF"/>
                <w:sz w:val="16"/>
              </w:rPr>
              <w:t>Nov</w:t>
            </w:r>
          </w:p>
        </w:tc>
        <w:tc>
          <w:tcPr>
            <w:tcW w:type="dxa" w:w="567"/>
            <w:shd w:val="clear" w:fill="#1F3864"/>
          </w:tcPr>
          <w:p>
            <w:pPr>
              <w:jc w:val="center"/>
            </w:pPr>
            <w:r>
              <w:rPr>
                <w:b/>
                <w:color w:val="FFFFFF"/>
                <w:sz w:val="16"/>
              </w:rPr>
              <w:t>Dec</w:t>
            </w:r>
          </w:p>
        </w:tc>
        <w:tc>
          <w:tcPr>
            <w:tcW w:type="dxa" w:w="567"/>
            <w:shd w:val="clear" w:fill="#1F3864"/>
          </w:tcPr>
          <w:p>
            <w:pPr>
              <w:jc w:val="center"/>
            </w:pPr>
            <w:r>
              <w:rPr>
                <w:b/>
                <w:color w:val="FFFFFF"/>
                <w:sz w:val="16"/>
              </w:rPr>
              <w:t>Jan</w:t>
            </w:r>
          </w:p>
        </w:tc>
        <w:tc>
          <w:tcPr>
            <w:tcW w:type="dxa" w:w="567"/>
            <w:shd w:val="clear" w:fill="#1F3864"/>
          </w:tcPr>
          <w:p>
            <w:pPr>
              <w:jc w:val="center"/>
            </w:pPr>
            <w:r>
              <w:rPr>
                <w:b/>
                <w:color w:val="FFFFFF"/>
                <w:sz w:val="16"/>
              </w:rPr>
              <w:t>Feb</w:t>
            </w:r>
          </w:p>
        </w:tc>
        <w:tc>
          <w:tcPr>
            <w:tcW w:type="dxa" w:w="567"/>
            <w:shd w:val="clear" w:fill="#1F3864"/>
          </w:tcPr>
          <w:p>
            <w:pPr>
              <w:jc w:val="center"/>
            </w:pPr>
            <w:r>
              <w:rPr>
                <w:b/>
                <w:color w:val="FFFFFF"/>
                <w:sz w:val="16"/>
              </w:rPr>
              <w:t>Mar</w:t>
            </w:r>
          </w:p>
        </w:tc>
        <w:tc>
          <w:tcPr>
            <w:tcW w:type="dxa" w:w="567"/>
            <w:shd w:val="clear" w:fill="#1F3864"/>
          </w:tcPr>
          <w:p>
            <w:pPr>
              <w:jc w:val="center"/>
            </w:pPr>
            <w:r>
              <w:rPr>
                <w:b/>
                <w:color w:val="FFFFFF"/>
                <w:sz w:val="16"/>
              </w:rPr>
              <w:t>Apr</w:t>
            </w:r>
          </w:p>
        </w:tc>
      </w:tr>
      <w:tr>
        <w:tc>
          <w:tcPr>
            <w:tcW w:type="dxa" w:w="2948"/>
          </w:tcPr>
          <w:p>
            <w:pPr>
              <w:spacing w:after="0"/>
            </w:pPr>
            <w:r>
              <w:rPr>
                <w:sz w:val="15"/>
              </w:rPr>
              <w:t>T1  Setting project aims &amp; objectives</w:t>
            </w:r>
          </w:p>
        </w:tc>
        <w:tc>
          <w:tcPr>
            <w:tcW w:type="dxa" w:w="624"/>
          </w:tcPr>
          <w:p>
            <w:pPr>
              <w:spacing w:after="0"/>
              <w:jc w:val="center"/>
            </w:pPr>
            <w:r>
              <w:rPr>
                <w:sz w:val="15"/>
              </w:rPr>
              <w:t>—</w:t>
            </w:r>
          </w:p>
        </w:tc>
        <w:tc>
          <w:tcPr>
            <w:tcW w:type="dxa" w:w="1134"/>
          </w:tcPr>
          <w:p>
            <w:pPr>
              <w:spacing w:after="0"/>
              <w:jc w:val="center"/>
            </w:pPr>
            <w:r>
              <w:rPr>
                <w:sz w:val="15"/>
              </w:rPr>
              <w:t>Sep</w:t>
            </w:r>
          </w:p>
        </w:tc>
        <w:tc>
          <w:tcPr>
            <w:tcW w:type="dxa" w:w="964"/>
          </w:tcPr>
          <w:p>
            <w:pPr>
              <w:spacing w:after="0"/>
              <w:jc w:val="center"/>
            </w:pPr>
            <w:r>
              <w:rPr>
                <w:sz w:val="15"/>
              </w:rPr>
              <w:t>Y · 0</w:t>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T2  Background study &amp; literature search</w:t>
            </w:r>
          </w:p>
        </w:tc>
        <w:tc>
          <w:tcPr>
            <w:tcW w:type="dxa" w:w="624"/>
          </w:tcPr>
          <w:p>
            <w:pPr>
              <w:spacing w:after="0"/>
              <w:jc w:val="center"/>
            </w:pPr>
            <w:r>
              <w:rPr>
                <w:sz w:val="15"/>
              </w:rPr>
              <w:t>T1</w:t>
            </w:r>
          </w:p>
        </w:tc>
        <w:tc>
          <w:tcPr>
            <w:tcW w:type="dxa" w:w="1134"/>
          </w:tcPr>
          <w:p>
            <w:pPr>
              <w:spacing w:after="0"/>
              <w:jc w:val="center"/>
            </w:pPr>
            <w:r>
              <w:rPr>
                <w:sz w:val="15"/>
              </w:rPr>
              <w:t>Sep</w:t>
            </w:r>
          </w:p>
        </w:tc>
        <w:tc>
          <w:tcPr>
            <w:tcW w:type="dxa" w:w="964"/>
          </w:tcPr>
          <w:p>
            <w:pPr>
              <w:spacing w:after="0"/>
              <w:jc w:val="center"/>
            </w:pPr>
            <w:r>
              <w:rPr>
                <w:sz w:val="15"/>
              </w:rPr>
              <w:t>Y · 0</w:t>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T3  Methodology &amp; work approach</w:t>
            </w:r>
          </w:p>
        </w:tc>
        <w:tc>
          <w:tcPr>
            <w:tcW w:type="dxa" w:w="624"/>
          </w:tcPr>
          <w:p>
            <w:pPr>
              <w:spacing w:after="0"/>
              <w:jc w:val="center"/>
            </w:pPr>
            <w:r>
              <w:rPr>
                <w:sz w:val="15"/>
              </w:rPr>
              <w:t>T2</w:t>
            </w:r>
          </w:p>
        </w:tc>
        <w:tc>
          <w:tcPr>
            <w:tcW w:type="dxa" w:w="1134"/>
          </w:tcPr>
          <w:p>
            <w:pPr>
              <w:spacing w:after="0"/>
              <w:jc w:val="center"/>
            </w:pPr>
            <w:r>
              <w:rPr>
                <w:sz w:val="15"/>
              </w:rPr>
              <w:t>Sep–Oct</w:t>
            </w:r>
          </w:p>
        </w:tc>
        <w:tc>
          <w:tcPr>
            <w:tcW w:type="dxa" w:w="964"/>
          </w:tcPr>
          <w:p>
            <w:pPr>
              <w:spacing w:after="0"/>
              <w:jc w:val="center"/>
            </w:pPr>
            <w:r>
              <w:rPr>
                <w:sz w:val="15"/>
              </w:rPr>
              <w:t>Y · 0</w:t>
            </w:r>
          </w:p>
        </w:tc>
        <w:tc>
          <w:tcPr>
            <w:tcW w:type="dxa" w:w="567"/>
            <w:shd w:val="clear" w:fill="2E75B6"/>
          </w:tcPr>
          <w:p>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T4  Implementation (data + models)</w:t>
            </w:r>
          </w:p>
        </w:tc>
        <w:tc>
          <w:tcPr>
            <w:tcW w:type="dxa" w:w="624"/>
          </w:tcPr>
          <w:p>
            <w:pPr>
              <w:spacing w:after="0"/>
              <w:jc w:val="center"/>
            </w:pPr>
            <w:r>
              <w:rPr>
                <w:sz w:val="15"/>
              </w:rPr>
              <w:t>T3</w:t>
            </w:r>
          </w:p>
        </w:tc>
        <w:tc>
          <w:tcPr>
            <w:tcW w:type="dxa" w:w="1134"/>
          </w:tcPr>
          <w:p>
            <w:pPr>
              <w:spacing w:after="0"/>
              <w:jc w:val="center"/>
            </w:pPr>
            <w:r>
              <w:rPr>
                <w:sz w:val="15"/>
              </w:rPr>
              <w:t>Sep–Nov</w:t>
            </w:r>
          </w:p>
        </w:tc>
        <w:tc>
          <w:tcPr>
            <w:tcW w:type="dxa" w:w="964"/>
          </w:tcPr>
          <w:p>
            <w:pPr>
              <w:spacing w:after="0"/>
              <w:jc w:val="center"/>
            </w:pPr>
            <w:r>
              <w:rPr>
                <w:sz w:val="15"/>
              </w:rPr>
              <w:t>Y · 0</w:t>
            </w:r>
          </w:p>
        </w:tc>
        <w:tc>
          <w:tcPr>
            <w:tcW w:type="dxa" w:w="567"/>
            <w:shd w:val="clear" w:fill="2E75B6"/>
          </w:tcPr>
          <w:p>
            <w:r/>
          </w:p>
        </w:tc>
        <w:tc>
          <w:tcPr>
            <w:tcW w:type="dxa" w:w="567"/>
            <w:shd w:val="clear" w:fill="2E75B6"/>
          </w:tcPr>
          <w:p>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T5  Interpretation of results</w:t>
            </w:r>
          </w:p>
        </w:tc>
        <w:tc>
          <w:tcPr>
            <w:tcW w:type="dxa" w:w="624"/>
          </w:tcPr>
          <w:p>
            <w:pPr>
              <w:spacing w:after="0"/>
              <w:jc w:val="center"/>
            </w:pPr>
            <w:r>
              <w:rPr>
                <w:sz w:val="15"/>
              </w:rPr>
              <w:t>T4</w:t>
            </w:r>
          </w:p>
        </w:tc>
        <w:tc>
          <w:tcPr>
            <w:tcW w:type="dxa" w:w="1134"/>
          </w:tcPr>
          <w:p>
            <w:pPr>
              <w:spacing w:after="0"/>
              <w:jc w:val="center"/>
            </w:pPr>
            <w:r>
              <w:rPr>
                <w:sz w:val="15"/>
              </w:rPr>
              <w:t>Nov</w:t>
            </w:r>
          </w:p>
        </w:tc>
        <w:tc>
          <w:tcPr>
            <w:tcW w:type="dxa" w:w="964"/>
          </w:tcPr>
          <w:p>
            <w:pPr>
              <w:spacing w:after="0"/>
              <w:jc w:val="center"/>
            </w:pPr>
            <w:r>
              <w:rPr>
                <w:sz w:val="15"/>
              </w:rPr>
              <w:t>Y · 0</w:t>
            </w:r>
          </w:p>
        </w:tc>
        <w:tc>
          <w:tcPr>
            <w:tcW w:type="dxa" w:w="567"/>
          </w:tcPr>
          <w:p>
            <w:r/>
          </w:p>
        </w:tc>
        <w:tc>
          <w:tcPr>
            <w:tcW w:type="dxa" w:w="567"/>
          </w:tcPr>
          <w:p>
            <w:r/>
          </w:p>
        </w:tc>
        <w:tc>
          <w:tcPr>
            <w:tcW w:type="dxa" w:w="567"/>
            <w:shd w:val="clear" w:fill="FFC000"/>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T6  Iteration (refine / repeat)</w:t>
            </w:r>
          </w:p>
        </w:tc>
        <w:tc>
          <w:tcPr>
            <w:tcW w:type="dxa" w:w="624"/>
          </w:tcPr>
          <w:p>
            <w:pPr>
              <w:spacing w:after="0"/>
              <w:jc w:val="center"/>
            </w:pPr>
            <w:r>
              <w:rPr>
                <w:sz w:val="15"/>
              </w:rPr>
              <w:t>T5</w:t>
            </w:r>
          </w:p>
        </w:tc>
        <w:tc>
          <w:tcPr>
            <w:tcW w:type="dxa" w:w="1134"/>
          </w:tcPr>
          <w:p>
            <w:pPr>
              <w:spacing w:after="0"/>
              <w:jc w:val="center"/>
            </w:pPr>
            <w:r>
              <w:rPr>
                <w:sz w:val="15"/>
              </w:rPr>
              <w:t>Dec–Jan</w:t>
            </w:r>
          </w:p>
        </w:tc>
        <w:tc>
          <w:tcPr>
            <w:tcW w:type="dxa" w:w="964"/>
          </w:tcPr>
          <w:p>
            <w:pPr>
              <w:spacing w:after="0"/>
              <w:jc w:val="center"/>
            </w:pPr>
            <w:r>
              <w:rPr>
                <w:sz w:val="15"/>
              </w:rPr>
              <w:t>N · 2 wks</w:t>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c>
          <w:tcPr>
            <w:tcW w:type="dxa" w:w="567"/>
          </w:tcPr>
          <w:p>
            <w:r/>
          </w:p>
        </w:tc>
        <w:tc>
          <w:tcPr>
            <w:tcW w:type="dxa" w:w="567"/>
          </w:tcPr>
          <w:p>
            <w:r/>
          </w:p>
        </w:tc>
        <w:tc>
          <w:tcPr>
            <w:tcW w:type="dxa" w:w="567"/>
          </w:tcPr>
          <w:p>
            <w:r/>
          </w:p>
        </w:tc>
      </w:tr>
      <w:tr>
        <w:tc>
          <w:tcPr>
            <w:tcW w:type="dxa" w:w="2948"/>
          </w:tcPr>
          <w:p>
            <w:pPr>
              <w:spacing w:after="0"/>
            </w:pPr>
            <w:r>
              <w:rPr>
                <w:sz w:val="15"/>
              </w:rPr>
              <w:t>T7  Progress report + presentation</w:t>
            </w:r>
          </w:p>
        </w:tc>
        <w:tc>
          <w:tcPr>
            <w:tcW w:type="dxa" w:w="624"/>
          </w:tcPr>
          <w:p>
            <w:pPr>
              <w:spacing w:after="0"/>
              <w:jc w:val="center"/>
            </w:pPr>
            <w:r>
              <w:rPr>
                <w:sz w:val="15"/>
              </w:rPr>
              <w:t>T5</w:t>
            </w:r>
          </w:p>
        </w:tc>
        <w:tc>
          <w:tcPr>
            <w:tcW w:type="dxa" w:w="1134"/>
          </w:tcPr>
          <w:p>
            <w:pPr>
              <w:spacing w:after="0"/>
              <w:jc w:val="center"/>
            </w:pPr>
            <w:r>
              <w:rPr>
                <w:sz w:val="15"/>
              </w:rPr>
              <w:t>20 Nov</w:t>
            </w:r>
          </w:p>
        </w:tc>
        <w:tc>
          <w:tcPr>
            <w:tcW w:type="dxa" w:w="964"/>
          </w:tcPr>
          <w:p>
            <w:pPr>
              <w:spacing w:after="0"/>
              <w:jc w:val="center"/>
            </w:pPr>
            <w:r>
              <w:rPr>
                <w:sz w:val="15"/>
              </w:rPr>
              <w:t>Y · 0</w:t>
            </w:r>
          </w:p>
        </w:tc>
        <w:tc>
          <w:tcPr>
            <w:tcW w:type="dxa" w:w="567"/>
          </w:tcPr>
          <w:p>
            <w:r/>
          </w:p>
        </w:tc>
        <w:tc>
          <w:tcPr>
            <w:tcW w:type="dxa" w:w="567"/>
          </w:tcPr>
          <w:p>
            <w:r/>
          </w:p>
        </w:tc>
        <w:tc>
          <w:tcPr>
            <w:tcW w:type="dxa" w:w="567"/>
            <w:shd w:val="clear" w:fill="D6DCE4"/>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948"/>
          </w:tcPr>
          <w:p>
            <w:pPr>
              <w:spacing w:after="0"/>
            </w:pPr>
            <w:r>
              <w:rPr>
                <w:sz w:val="15"/>
              </w:rPr>
              <w:t>T8  Final report</w:t>
            </w:r>
          </w:p>
        </w:tc>
        <w:tc>
          <w:tcPr>
            <w:tcW w:type="dxa" w:w="624"/>
          </w:tcPr>
          <w:p>
            <w:pPr>
              <w:spacing w:after="0"/>
              <w:jc w:val="center"/>
            </w:pPr>
            <w:r>
              <w:rPr>
                <w:sz w:val="15"/>
              </w:rPr>
              <w:t>T6, T7</w:t>
            </w:r>
          </w:p>
        </w:tc>
        <w:tc>
          <w:tcPr>
            <w:tcW w:type="dxa" w:w="1134"/>
          </w:tcPr>
          <w:p>
            <w:pPr>
              <w:spacing w:after="0"/>
              <w:jc w:val="center"/>
            </w:pPr>
            <w:r>
              <w:rPr>
                <w:sz w:val="15"/>
              </w:rPr>
              <w:t>Jan–Mar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c>
          <w:tcPr>
            <w:tcW w:type="dxa" w:w="567"/>
            <w:shd w:val="clear" w:fill="D6DCE4"/>
          </w:tcPr>
          <w:p>
            <w:r/>
          </w:p>
        </w:tc>
        <w:tc>
          <w:tcPr>
            <w:tcW w:type="dxa" w:w="567"/>
          </w:tcPr>
          <w:p>
            <w:r/>
          </w:p>
        </w:tc>
      </w:tr>
      <w:tr>
        <w:tc>
          <w:tcPr>
            <w:tcW w:type="dxa" w:w="2948"/>
          </w:tcPr>
          <w:p>
            <w:pPr>
              <w:spacing w:after="0"/>
            </w:pPr>
            <w:r>
              <w:rPr>
                <w:sz w:val="15"/>
              </w:rPr>
              <w:t>T9  Conclusion</w:t>
            </w:r>
          </w:p>
        </w:tc>
        <w:tc>
          <w:tcPr>
            <w:tcW w:type="dxa" w:w="624"/>
          </w:tcPr>
          <w:p>
            <w:pPr>
              <w:spacing w:after="0"/>
              <w:jc w:val="center"/>
            </w:pPr>
            <w:r>
              <w:rPr>
                <w:sz w:val="15"/>
              </w:rPr>
              <w:t>T8</w:t>
            </w:r>
          </w:p>
        </w:tc>
        <w:tc>
          <w:tcPr>
            <w:tcW w:type="dxa" w:w="1134"/>
          </w:tcPr>
          <w:p>
            <w:pPr>
              <w:spacing w:after="0"/>
              <w:jc w:val="center"/>
            </w:pPr>
            <w:r>
              <w:rPr>
                <w:sz w:val="15"/>
              </w:rPr>
              <w:t>Mar</w:t>
            </w:r>
          </w:p>
        </w:tc>
        <w:tc>
          <w:tcPr>
            <w:tcW w:type="dxa" w:w="964"/>
          </w:tcPr>
          <w:p>
            <w:pPr>
              <w:spacing w:after="0"/>
              <w:jc w:val="center"/>
            </w:pPr>
            <w:r>
              <w:rPr>
                <w:sz w:val="15"/>
              </w:rPr>
              <w:t>N · 1 wk</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tcPr>
          <w:p>
            <w:r/>
          </w:p>
        </w:tc>
      </w:tr>
      <w:tr>
        <w:tc>
          <w:tcPr>
            <w:tcW w:type="dxa" w:w="2948"/>
          </w:tcPr>
          <w:p>
            <w:pPr>
              <w:spacing w:after="0"/>
            </w:pPr>
            <w:r>
              <w:rPr>
                <w:sz w:val="15"/>
              </w:rPr>
              <w:t>T10  Project presentation</w:t>
            </w:r>
          </w:p>
        </w:tc>
        <w:tc>
          <w:tcPr>
            <w:tcW w:type="dxa" w:w="624"/>
          </w:tcPr>
          <w:p>
            <w:pPr>
              <w:spacing w:after="0"/>
              <w:jc w:val="center"/>
            </w:pPr>
            <w:r>
              <w:rPr>
                <w:sz w:val="15"/>
              </w:rPr>
              <w:t>T8</w:t>
            </w:r>
          </w:p>
        </w:tc>
        <w:tc>
          <w:tcPr>
            <w:tcW w:type="dxa" w:w="1134"/>
          </w:tcPr>
          <w:p>
            <w:pPr>
              <w:spacing w:after="0"/>
              <w:jc w:val="center"/>
            </w:pPr>
            <w:r>
              <w:rPr>
                <w:sz w:val="15"/>
              </w:rPr>
              <w:t>22 Mar – 9 Apr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r>
      <w:tr>
        <w:tc>
          <w:tcPr>
            <w:tcW w:type="dxa" w:w="2948"/>
          </w:tcPr>
          <w:p>
            <w:pPr>
              <w:spacing w:after="0"/>
            </w:pPr>
            <w:r>
              <w:rPr>
                <w:sz w:val="15"/>
              </w:rPr>
              <w:t>T11  Demonstration</w:t>
            </w:r>
          </w:p>
        </w:tc>
        <w:tc>
          <w:tcPr>
            <w:tcW w:type="dxa" w:w="624"/>
          </w:tcPr>
          <w:p>
            <w:pPr>
              <w:spacing w:after="0"/>
              <w:jc w:val="center"/>
            </w:pPr>
            <w:r>
              <w:rPr>
                <w:sz w:val="15"/>
              </w:rPr>
              <w:t>T8</w:t>
            </w:r>
          </w:p>
        </w:tc>
        <w:tc>
          <w:tcPr>
            <w:tcW w:type="dxa" w:w="1134"/>
          </w:tcPr>
          <w:p>
            <w:pPr>
              <w:spacing w:after="0"/>
              <w:jc w:val="center"/>
            </w:pPr>
            <w:r>
              <w:rPr>
                <w:sz w:val="15"/>
              </w:rPr>
              <w:t>by 9 Apr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r>
      <w:tr>
        <w:tc>
          <w:tcPr>
            <w:tcW w:type="dxa" w:w="2948"/>
          </w:tcPr>
          <w:p>
            <w:pPr>
              <w:spacing w:after="0"/>
            </w:pPr>
            <w:r>
              <w:rPr>
                <w:sz w:val="15"/>
              </w:rPr>
              <w:t>T12  Submission of final report</w:t>
            </w:r>
          </w:p>
        </w:tc>
        <w:tc>
          <w:tcPr>
            <w:tcW w:type="dxa" w:w="624"/>
          </w:tcPr>
          <w:p>
            <w:pPr>
              <w:spacing w:after="0"/>
              <w:jc w:val="center"/>
            </w:pPr>
            <w:r>
              <w:rPr>
                <w:sz w:val="15"/>
              </w:rPr>
              <w:t>T8, T9</w:t>
            </w:r>
          </w:p>
        </w:tc>
        <w:tc>
          <w:tcPr>
            <w:tcW w:type="dxa" w:w="1134"/>
          </w:tcPr>
          <w:p>
            <w:pPr>
              <w:spacing w:after="0"/>
              <w:jc w:val="center"/>
            </w:pPr>
            <w:r>
              <w:rPr>
                <w:sz w:val="15"/>
              </w:rPr>
              <w:t>by 9 Apr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r>
    </w:tbl>
    <w:p>
      <w:pPr>
        <w:spacing w:before="20" w:after="0"/>
      </w:pPr>
      <w:r>
        <w:rPr>
          <w:b/>
          <w:sz w:val="15"/>
        </w:rPr>
        <w:t xml:space="preserve">Legend: </w:t>
      </w:r>
      <w:r>
        <w:rPr>
          <w:sz w:val="15"/>
        </w:rPr>
        <w:t>■ completed (blue)  ■ in progress (amber)  ■ planned (grey).  Critical / Slack: Y = on critical path, 0 = zero slack; N = buffer (2 wks / 1 wk).  Critical path: T1 → T2 → T3 → T4 → T5 → T8 → T10/T11/T12.</w:t>
      </w:r>
    </w:p>
    <w:p>
      <w:pPr>
        <w:spacing w:before="40" w:after="0"/>
      </w:pPr>
      <w:r>
        <w:rPr>
          <w:b/>
          <w:i w:val="0"/>
          <w:sz w:val="18"/>
        </w:rPr>
        <w:t>Official milestones (2026/27 FYP schedule, per P_Sch_2627B):</w:t>
      </w:r>
    </w:p>
    <w:tbl>
      <w:tblPr>
        <w:tblStyle w:val="TableGrid"/>
        <w:tblW w:type="auto" w:w="0"/>
        <w:jc w:val="center"/>
        <w:tblLayout w:type="fixed"/>
        <w:tblLook w:firstColumn="1" w:firstRow="1" w:lastColumn="0" w:lastRow="0" w:noHBand="0" w:noVBand="1" w:val="04A0"/>
        <w:tblLayout w:type="fixed"/>
      </w:tblPr>
      <w:tblGrid>
        <w:gridCol w:w="2579"/>
        <w:gridCol w:w="2579"/>
        <w:gridCol w:w="2579"/>
        <w:gridCol w:w="2579"/>
      </w:tblGrid>
      <w:tr>
        <w:tc>
          <w:tcPr>
            <w:tcW w:type="dxa" w:w="737"/>
            <w:shd w:val="clear" w:fill="#1F3864"/>
          </w:tcPr>
          <w:p>
            <w:pPr>
              <w:jc w:val="center"/>
            </w:pPr>
            <w:r>
              <w:rPr>
                <w:b/>
                <w:color w:val="FFFFFF"/>
                <w:sz w:val="16"/>
              </w:rPr>
              <w:t>ID</w:t>
            </w:r>
          </w:p>
        </w:tc>
        <w:tc>
          <w:tcPr>
            <w:tcW w:type="dxa" w:w="3402"/>
            <w:shd w:val="clear" w:fill="#1F3864"/>
          </w:tcPr>
          <w:p>
            <w:pPr>
              <w:jc w:val="center"/>
            </w:pPr>
            <w:r>
              <w:rPr>
                <w:b/>
                <w:color w:val="FFFFFF"/>
                <w:sz w:val="16"/>
              </w:rPr>
              <w:t>Milestone</w:t>
            </w:r>
          </w:p>
        </w:tc>
        <w:tc>
          <w:tcPr>
            <w:tcW w:type="dxa" w:w="4592"/>
            <w:shd w:val="clear" w:fill="#1F3864"/>
          </w:tcPr>
          <w:p>
            <w:pPr>
              <w:jc w:val="center"/>
            </w:pPr>
            <w:r>
              <w:rPr>
                <w:b/>
                <w:color w:val="FFFFFF"/>
                <w:sz w:val="16"/>
              </w:rPr>
              <w:t>Official date / window</w:t>
            </w:r>
          </w:p>
        </w:tc>
        <w:tc>
          <w:tcPr>
            <w:tcW w:type="dxa" w:w="1587"/>
            <w:shd w:val="clear" w:fill="#1F3864"/>
          </w:tcPr>
          <w:p>
            <w:pPr>
              <w:jc w:val="center"/>
            </w:pPr>
            <w:r>
              <w:rPr>
                <w:b/>
                <w:color w:val="FFFFFF"/>
                <w:sz w:val="16"/>
              </w:rPr>
              <w:t>Status / Basis</w:t>
            </w:r>
          </w:p>
        </w:tc>
      </w:tr>
      <w:tr>
        <w:tc>
          <w:tcPr>
            <w:tcW w:type="dxa" w:w="737"/>
          </w:tcPr>
          <w:p>
            <w:pPr>
              <w:spacing w:after="0"/>
              <w:jc w:val="center"/>
            </w:pPr>
            <w:r>
              <w:rPr>
                <w:sz w:val="15"/>
              </w:rPr>
              <w:t>M1</w:t>
            </w:r>
          </w:p>
        </w:tc>
        <w:tc>
          <w:tcPr>
            <w:tcW w:type="dxa" w:w="3402"/>
          </w:tcPr>
          <w:p>
            <w:pPr>
              <w:spacing w:after="0"/>
            </w:pPr>
            <w:r>
              <w:rPr>
                <w:sz w:val="15"/>
              </w:rPr>
              <w:t>Planning Chart submission</w:t>
            </w:r>
          </w:p>
        </w:tc>
        <w:tc>
          <w:tcPr>
            <w:tcW w:type="dxa" w:w="4592"/>
          </w:tcPr>
          <w:p>
            <w:pPr>
              <w:spacing w:after="0"/>
            </w:pPr>
            <w:r>
              <w:rPr>
                <w:sz w:val="15"/>
              </w:rPr>
              <w:t>before 25 Sep 2026</w:t>
            </w:r>
          </w:p>
        </w:tc>
        <w:tc>
          <w:tcPr>
            <w:tcW w:type="dxa" w:w="1587"/>
          </w:tcPr>
          <w:p>
            <w:pPr>
              <w:spacing w:after="0"/>
              <w:jc w:val="center"/>
            </w:pPr>
            <w:r>
              <w:rPr>
                <w:sz w:val="15"/>
              </w:rPr>
              <w:t>Official</w:t>
            </w:r>
          </w:p>
        </w:tc>
      </w:tr>
      <w:tr>
        <w:tc>
          <w:tcPr>
            <w:tcW w:type="dxa" w:w="737"/>
          </w:tcPr>
          <w:p>
            <w:pPr>
              <w:spacing w:after="0"/>
              <w:jc w:val="center"/>
            </w:pPr>
            <w:r>
              <w:rPr>
                <w:sz w:val="15"/>
              </w:rPr>
              <w:t>M2</w:t>
            </w:r>
          </w:p>
        </w:tc>
        <w:tc>
          <w:tcPr>
            <w:tcW w:type="dxa" w:w="3402"/>
          </w:tcPr>
          <w:p>
            <w:pPr>
              <w:spacing w:after="0"/>
            </w:pPr>
            <w:r>
              <w:rPr>
                <w:sz w:val="15"/>
              </w:rPr>
              <w:t>Assessor assignment announced</w:t>
            </w:r>
          </w:p>
        </w:tc>
        <w:tc>
          <w:tcPr>
            <w:tcW w:type="dxa" w:w="4592"/>
          </w:tcPr>
          <w:p>
            <w:pPr>
              <w:spacing w:after="0"/>
            </w:pPr>
            <w:r>
              <w:rPr>
                <w:sz w:val="15"/>
              </w:rPr>
              <w:t>5–12 Oct 2026</w:t>
            </w:r>
          </w:p>
        </w:tc>
        <w:tc>
          <w:tcPr>
            <w:tcW w:type="dxa" w:w="1587"/>
          </w:tcPr>
          <w:p>
            <w:pPr>
              <w:spacing w:after="0"/>
              <w:jc w:val="center"/>
            </w:pPr>
            <w:r>
              <w:rPr>
                <w:sz w:val="15"/>
              </w:rPr>
              <w:t>Official</w:t>
            </w:r>
          </w:p>
        </w:tc>
      </w:tr>
      <w:tr>
        <w:tc>
          <w:tcPr>
            <w:tcW w:type="dxa" w:w="737"/>
          </w:tcPr>
          <w:p>
            <w:pPr>
              <w:spacing w:after="0"/>
              <w:jc w:val="center"/>
            </w:pPr>
            <w:r>
              <w:rPr>
                <w:sz w:val="15"/>
              </w:rPr>
              <w:t>M3</w:t>
            </w:r>
          </w:p>
        </w:tc>
        <w:tc>
          <w:tcPr>
            <w:tcW w:type="dxa" w:w="3402"/>
          </w:tcPr>
          <w:p>
            <w:pPr>
              <w:spacing w:after="0"/>
            </w:pPr>
            <w:r>
              <w:rPr>
                <w:sz w:val="15"/>
              </w:rPr>
              <w:t>Progress Report + presentation</w:t>
            </w:r>
          </w:p>
        </w:tc>
        <w:tc>
          <w:tcPr>
            <w:tcW w:type="dxa" w:w="4592"/>
          </w:tcPr>
          <w:p>
            <w:pPr>
              <w:spacing w:after="0"/>
            </w:pPr>
            <w:r>
              <w:rPr>
                <w:sz w:val="15"/>
              </w:rPr>
              <w:t>20 Nov 2026</w:t>
            </w:r>
          </w:p>
        </w:tc>
        <w:tc>
          <w:tcPr>
            <w:tcW w:type="dxa" w:w="1587"/>
          </w:tcPr>
          <w:p>
            <w:pPr>
              <w:spacing w:after="0"/>
              <w:jc w:val="center"/>
            </w:pPr>
            <w:r>
              <w:rPr>
                <w:sz w:val="15"/>
              </w:rPr>
              <w:t>Official</w:t>
            </w:r>
          </w:p>
        </w:tc>
      </w:tr>
      <w:tr>
        <w:tc>
          <w:tcPr>
            <w:tcW w:type="dxa" w:w="737"/>
          </w:tcPr>
          <w:p>
            <w:pPr>
              <w:spacing w:after="0"/>
              <w:jc w:val="center"/>
            </w:pPr>
            <w:r>
              <w:rPr>
                <w:sz w:val="15"/>
              </w:rPr>
              <w:t>M4</w:t>
            </w:r>
          </w:p>
        </w:tc>
        <w:tc>
          <w:tcPr>
            <w:tcW w:type="dxa" w:w="3402"/>
          </w:tcPr>
          <w:p>
            <w:pPr>
              <w:spacing w:after="0"/>
            </w:pPr>
            <w:r>
              <w:rPr>
                <w:sz w:val="15"/>
              </w:rPr>
              <w:t>Sem A title confirmation</w:t>
            </w:r>
          </w:p>
        </w:tc>
        <w:tc>
          <w:tcPr>
            <w:tcW w:type="dxa" w:w="4592"/>
          </w:tcPr>
          <w:p>
            <w:pPr>
              <w:spacing w:after="0"/>
            </w:pPr>
            <w:r>
              <w:rPr>
                <w:sz w:val="15"/>
              </w:rPr>
              <w:t>16–20 Nov 2026</w:t>
            </w:r>
          </w:p>
        </w:tc>
        <w:tc>
          <w:tcPr>
            <w:tcW w:type="dxa" w:w="1587"/>
          </w:tcPr>
          <w:p>
            <w:pPr>
              <w:spacing w:after="0"/>
              <w:jc w:val="center"/>
            </w:pPr>
            <w:r>
              <w:rPr>
                <w:sz w:val="15"/>
              </w:rPr>
              <w:t>Official</w:t>
            </w:r>
          </w:p>
        </w:tc>
      </w:tr>
      <w:tr>
        <w:tc>
          <w:tcPr>
            <w:tcW w:type="dxa" w:w="737"/>
          </w:tcPr>
          <w:p>
            <w:pPr>
              <w:spacing w:after="0"/>
              <w:jc w:val="center"/>
            </w:pPr>
            <w:r>
              <w:rPr>
                <w:sz w:val="15"/>
              </w:rPr>
              <w:t>M5</w:t>
            </w:r>
          </w:p>
        </w:tc>
        <w:tc>
          <w:tcPr>
            <w:tcW w:type="dxa" w:w="3402"/>
          </w:tcPr>
          <w:p>
            <w:pPr>
              <w:spacing w:after="0"/>
            </w:pPr>
            <w:r>
              <w:rPr>
                <w:sz w:val="15"/>
              </w:rPr>
              <w:t>Final title confirmation</w:t>
            </w:r>
          </w:p>
        </w:tc>
        <w:tc>
          <w:tcPr>
            <w:tcW w:type="dxa" w:w="4592"/>
          </w:tcPr>
          <w:p>
            <w:pPr>
              <w:spacing w:after="0"/>
            </w:pPr>
            <w:r>
              <w:rPr>
                <w:sz w:val="15"/>
              </w:rPr>
              <w:t>before 5 Mar 2027</w:t>
            </w:r>
          </w:p>
        </w:tc>
        <w:tc>
          <w:tcPr>
            <w:tcW w:type="dxa" w:w="1587"/>
          </w:tcPr>
          <w:p>
            <w:pPr>
              <w:spacing w:after="0"/>
              <w:jc w:val="center"/>
            </w:pPr>
            <w:r>
              <w:rPr>
                <w:sz w:val="15"/>
              </w:rPr>
              <w:t>Tentative</w:t>
            </w:r>
          </w:p>
        </w:tc>
      </w:tr>
      <w:tr>
        <w:tc>
          <w:tcPr>
            <w:tcW w:type="dxa" w:w="737"/>
          </w:tcPr>
          <w:p>
            <w:pPr>
              <w:spacing w:after="0"/>
              <w:jc w:val="center"/>
            </w:pPr>
            <w:r>
              <w:rPr>
                <w:sz w:val="15"/>
              </w:rPr>
              <w:t>M6</w:t>
            </w:r>
          </w:p>
        </w:tc>
        <w:tc>
          <w:tcPr>
            <w:tcW w:type="dxa" w:w="3402"/>
          </w:tcPr>
          <w:p>
            <w:pPr>
              <w:spacing w:after="0"/>
            </w:pPr>
            <w:r>
              <w:rPr>
                <w:sz w:val="15"/>
              </w:rPr>
              <w:t>Project abstract upload</w:t>
            </w:r>
          </w:p>
        </w:tc>
        <w:tc>
          <w:tcPr>
            <w:tcW w:type="dxa" w:w="4592"/>
          </w:tcPr>
          <w:p>
            <w:pPr>
              <w:spacing w:after="0"/>
            </w:pPr>
            <w:r>
              <w:rPr>
                <w:sz w:val="15"/>
              </w:rPr>
              <w:t>before 9 Mar 2027</w:t>
            </w:r>
          </w:p>
        </w:tc>
        <w:tc>
          <w:tcPr>
            <w:tcW w:type="dxa" w:w="1587"/>
          </w:tcPr>
          <w:p>
            <w:pPr>
              <w:spacing w:after="0"/>
              <w:jc w:val="center"/>
            </w:pPr>
            <w:r>
              <w:rPr>
                <w:sz w:val="15"/>
              </w:rPr>
              <w:t>Tentative</w:t>
            </w:r>
          </w:p>
        </w:tc>
      </w:tr>
      <w:tr>
        <w:tc>
          <w:tcPr>
            <w:tcW w:type="dxa" w:w="737"/>
          </w:tcPr>
          <w:p>
            <w:pPr>
              <w:spacing w:after="0"/>
              <w:jc w:val="center"/>
            </w:pPr>
            <w:r>
              <w:rPr>
                <w:sz w:val="15"/>
              </w:rPr>
              <w:t>M7</w:t>
            </w:r>
          </w:p>
        </w:tc>
        <w:tc>
          <w:tcPr>
            <w:tcW w:type="dxa" w:w="3402"/>
          </w:tcPr>
          <w:p>
            <w:pPr>
              <w:spacing w:after="0"/>
            </w:pPr>
            <w:r>
              <w:rPr>
                <w:sz w:val="15"/>
              </w:rPr>
              <w:t>Presentation / details announcement</w:t>
            </w:r>
          </w:p>
        </w:tc>
        <w:tc>
          <w:tcPr>
            <w:tcW w:type="dxa" w:w="4592"/>
          </w:tcPr>
          <w:p>
            <w:pPr>
              <w:spacing w:after="0"/>
            </w:pPr>
            <w:r>
              <w:rPr>
                <w:sz w:val="15"/>
              </w:rPr>
              <w:t>8–15 Mar 2027</w:t>
            </w:r>
          </w:p>
        </w:tc>
        <w:tc>
          <w:tcPr>
            <w:tcW w:type="dxa" w:w="1587"/>
          </w:tcPr>
          <w:p>
            <w:pPr>
              <w:spacing w:after="0"/>
              <w:jc w:val="center"/>
            </w:pPr>
            <w:r>
              <w:rPr>
                <w:sz w:val="15"/>
              </w:rPr>
              <w:t>Tentative</w:t>
            </w:r>
          </w:p>
        </w:tc>
      </w:tr>
      <w:tr>
        <w:tc>
          <w:tcPr>
            <w:tcW w:type="dxa" w:w="737"/>
          </w:tcPr>
          <w:p>
            <w:pPr>
              <w:spacing w:after="0"/>
              <w:jc w:val="center"/>
            </w:pPr>
            <w:r>
              <w:rPr>
                <w:sz w:val="15"/>
              </w:rPr>
              <w:t>M8</w:t>
            </w:r>
          </w:p>
        </w:tc>
        <w:tc>
          <w:tcPr>
            <w:tcW w:type="dxa" w:w="3402"/>
          </w:tcPr>
          <w:p>
            <w:pPr>
              <w:spacing w:after="0"/>
            </w:pPr>
            <w:r>
              <w:rPr>
                <w:sz w:val="15"/>
              </w:rPr>
              <w:t>Project presentation</w:t>
            </w:r>
          </w:p>
        </w:tc>
        <w:tc>
          <w:tcPr>
            <w:tcW w:type="dxa" w:w="4592"/>
          </w:tcPr>
          <w:p>
            <w:pPr>
              <w:spacing w:after="0"/>
            </w:pPr>
            <w:r>
              <w:rPr>
                <w:sz w:val="15"/>
              </w:rPr>
              <w:t>22 Mar – 9 Apr 2027</w:t>
            </w:r>
          </w:p>
        </w:tc>
        <w:tc>
          <w:tcPr>
            <w:tcW w:type="dxa" w:w="1587"/>
          </w:tcPr>
          <w:p>
            <w:pPr>
              <w:spacing w:after="0"/>
              <w:jc w:val="center"/>
            </w:pPr>
            <w:r>
              <w:rPr>
                <w:sz w:val="15"/>
              </w:rPr>
              <w:t>Tentative</w:t>
            </w:r>
          </w:p>
        </w:tc>
      </w:tr>
      <w:tr>
        <w:tc>
          <w:tcPr>
            <w:tcW w:type="dxa" w:w="737"/>
          </w:tcPr>
          <w:p>
            <w:pPr>
              <w:spacing w:after="0"/>
              <w:jc w:val="center"/>
            </w:pPr>
            <w:r>
              <w:rPr>
                <w:sz w:val="15"/>
              </w:rPr>
              <w:t>M9</w:t>
            </w:r>
          </w:p>
        </w:tc>
        <w:tc>
          <w:tcPr>
            <w:tcW w:type="dxa" w:w="3402"/>
          </w:tcPr>
          <w:p>
            <w:pPr>
              <w:spacing w:after="0"/>
            </w:pPr>
            <w:r>
              <w:rPr>
                <w:sz w:val="15"/>
              </w:rPr>
              <w:t>Final Report submission (PDF via Canvas)</w:t>
            </w:r>
          </w:p>
        </w:tc>
        <w:tc>
          <w:tcPr>
            <w:tcW w:type="dxa" w:w="4592"/>
          </w:tcPr>
          <w:p>
            <w:pPr>
              <w:spacing w:after="0"/>
            </w:pPr>
            <w:r>
              <w:rPr>
                <w:sz w:val="15"/>
              </w:rPr>
              <w:t>by 9 Apr 2027</w:t>
            </w:r>
          </w:p>
        </w:tc>
        <w:tc>
          <w:tcPr>
            <w:tcW w:type="dxa" w:w="1587"/>
          </w:tcPr>
          <w:p>
            <w:pPr>
              <w:spacing w:after="0"/>
              <w:jc w:val="center"/>
            </w:pPr>
            <w:r>
              <w:rPr>
                <w:sz w:val="15"/>
              </w:rPr>
              <w:t>Tentative</w:t>
            </w:r>
          </w:p>
        </w:tc>
      </w:tr>
      <w:tr>
        <w:tc>
          <w:tcPr>
            <w:tcW w:type="dxa" w:w="737"/>
          </w:tcPr>
          <w:p>
            <w:pPr>
              <w:spacing w:after="0"/>
              <w:jc w:val="center"/>
            </w:pPr>
            <w:r>
              <w:rPr>
                <w:sz w:val="15"/>
              </w:rPr>
              <w:t>M10</w:t>
            </w:r>
          </w:p>
        </w:tc>
        <w:tc>
          <w:tcPr>
            <w:tcW w:type="dxa" w:w="3402"/>
          </w:tcPr>
          <w:p>
            <w:pPr>
              <w:spacing w:after="0"/>
            </w:pPr>
            <w:r>
              <w:rPr>
                <w:sz w:val="15"/>
              </w:rPr>
              <w:t>Demonstration</w:t>
            </w:r>
          </w:p>
        </w:tc>
        <w:tc>
          <w:tcPr>
            <w:tcW w:type="dxa" w:w="4592"/>
          </w:tcPr>
          <w:p>
            <w:pPr>
              <w:spacing w:after="0"/>
            </w:pPr>
            <w:r>
              <w:rPr>
                <w:sz w:val="15"/>
              </w:rPr>
              <w:t>by 9 Apr 2027</w:t>
            </w:r>
          </w:p>
        </w:tc>
        <w:tc>
          <w:tcPr>
            <w:tcW w:type="dxa" w:w="1587"/>
          </w:tcPr>
          <w:p>
            <w:pPr>
              <w:spacing w:after="0"/>
              <w:jc w:val="center"/>
            </w:pPr>
            <w:r>
              <w:rPr>
                <w:sz w:val="15"/>
              </w:rPr>
              <w:t>Tentative</w:t>
            </w:r>
          </w:p>
        </w:tc>
      </w:tr>
    </w:tbl>
    <w:p>
      <w:pPr>
        <w:spacing w:before="0" w:after="0"/>
      </w:pPr>
      <w:r>
        <w:rPr>
          <w:i/>
          <w:sz w:val="15"/>
        </w:rPr>
        <w:t>Plagiarism-check briefing: 8–15 Mar 2027 (exact date, time and venue to be announced).</w:t>
      </w:r>
    </w:p>
    <w:p>
      <w:pPr>
        <w:keepNext/>
        <w:spacing w:before="40" w:after="20"/>
      </w:pPr>
      <w:r>
        <w:rPr>
          <w:b/>
          <w:color w:val="1F3864"/>
          <w:sz w:val="21"/>
        </w:rPr>
        <w:t>I.  Key References</w:t>
      </w:r>
    </w:p>
    <w:p>
      <w:pPr>
        <w:spacing w:after="0"/>
      </w:pPr>
      <w:r>
        <w:rPr>
          <w:sz w:val="16"/>
        </w:rPr>
        <w:t>J. Moon et al., “MIFlu: Large Language Model-Based Multimodal Influenza Forecasting Scheme,” IEEE J. Biomed. Health Inform., vol. 29, no. 10, pp. 7790–7801, 2025.</w:t>
      </w:r>
    </w:p>
    <w:p>
      <w:pPr>
        <w:spacing w:after="0"/>
      </w:pPr>
      <w:r>
        <w:rPr>
          <w:sz w:val="16"/>
        </w:rPr>
        <w:t>A. Zeng et al., “Are Transformers Effective for Time Series Forecasting?” in Proc. AAAI, 2023. (NLinear / DLinear)</w:t>
      </w:r>
    </w:p>
    <w:p>
      <w:pPr>
        <w:spacing w:after="0"/>
      </w:pPr>
      <w:r>
        <w:rPr>
          <w:sz w:val="16"/>
        </w:rPr>
        <w:t>M. Jin et al., “Time-LLM: Time Series Forecasting by Reprogramming Large Language Models,” ICLR, 2024.</w:t>
      </w:r>
    </w:p>
    <w:sectPr w:rsidR="00FC693F" w:rsidRPr="0006063C" w:rsidSect="00034616">
      <w:pgSz w:w="11906" w:h="16838"/>
      <w:pgMar w:top="567" w:right="794" w:bottom="51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