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pPr>
      <w:r>
        <w:t xml:space="preserve">MIFlu 复现工作：导师五大疑问逐条回复</w:t>
      </w:r>
    </w:p>
    <w:p>
      <w:r>
        <w:rPr>
          <w:i/>
        </w:rPr>
        <w:t xml:space="preserve">基于顶刊/官方文献核实版（Evidence-Checked Version） — 2026年9月</w:t>
      </w:r>
    </w:p>
    <w:p>
      <w:pPr>
        <w:pStyle w:val="Quote"/>
        <w:ind w:left="360"/>
      </w:pPr>
      <w:r>
        <w:t xml:space="preserve">说明：本报告逐条回答导师提出的五个问题。每条回答均区分"有直接文献依据的结论"与"本课题自行设定的工程决策"，并对此前 AI 辅助工具（CodeBuddy）生成初稿中的过度归因之处做了订正标注（见各节【订正】方框）。所有引用文献均可通过文末参考文献列表核实。</w:t>
      </w:r>
    </w:p>
    <w:p>
      <w:pPr>
        <w:pStyle w:val="Quote"/>
        <w:ind w:left="360"/>
      </w:pPr>
      <w:r>
        <w:rPr>
          <w:b/>
        </w:rPr>
        <w:t xml:space="preserve">2026-09-02 更新说明</w:t>
      </w:r>
      <w:r>
        <w:t xml:space="preserve">：本次更新在保留原有"结论 / 证据 / 【订正】 / 建议"四段式结构的前提下，为每个问题追加了</w:t>
      </w:r>
      <w:r>
        <w:rPr>
          <w:b/>
        </w:rPr>
        <w:t xml:space="preserve">「代码验证结果」</w:t>
      </w:r>
      <w:r>
        <w:t xml:space="preserve">小节。新增内容均明确标注其来源层级：</w:t>
      </w:r>
    </w:p>
    <w:p>
      <w:pPr>
        <w:pStyle w:val="Quote"/>
        <w:ind w:left="720"/>
      </w:pPr>
      <w:r>
        <w:rPr>
          <w:b/>
        </w:rPr>
        <w:t xml:space="preserve">(a) 文献依据</w:t>
      </w:r>
      <w:r>
        <w:t xml:space="preserve"> — 附论文名 + DOI/链接；</w:t>
      </w:r>
    </w:p>
    <w:p>
      <w:pPr>
        <w:pStyle w:val="Quote"/>
        <w:ind w:left="720"/>
      </w:pPr>
      <w:r>
        <w:rPr>
          <w:b/>
        </w:rPr>
        <w:t xml:space="preserve">(b) 本次复现实验新增结果</w:t>
      </w:r>
      <w:r>
        <w:t xml:space="preserve"> — 由本次代码运行 / HPC 实验产生，注明脚本与产物路径；</w:t>
      </w:r>
    </w:p>
    <w:p>
      <w:pPr>
        <w:pStyle w:val="Quote"/>
        <w:ind w:left="720"/>
      </w:pPr>
      <w:r>
        <w:rPr>
          <w:b/>
        </w:rPr>
        <w:t xml:space="preserve">(c) 本课题自定义工程决策</w:t>
      </w:r>
      <w:r>
        <w:t xml:space="preserve"> — 明确标注"非文献标准，为本课题自定义"。</w:t>
      </w:r>
    </w:p>
    <w:p>
      <w:pPr>
        <w:pStyle w:val="Quote"/>
        <w:ind w:left="360"/>
      </w:pPr>
      <w:r>
        <w:t xml:space="preserve">原有已核实的文献证据部分全部保留，未做替换或删除。</w:t>
      </w:r>
    </w:p>
    <w:p>
      <w:pPr>
        <w:pBdr>
          <w:bottom w:val="single" w:sz="6" w:space="1" w:color="BBBBBB"/>
        </w:pBdr>
      </w:pPr>
    </w:p>
    <w:p>
      <w:pPr>
        <w:pStyle w:val="Heading2"/>
      </w:pPr>
      <w:r>
        <w:t xml:space="preserve">问题一：单时间步多预测值的融合机制（Aggregation Policy）</w:t>
      </w:r>
    </w:p>
    <w:p>
      <w:pPr>
        <w:pStyle w:val="Heading3"/>
      </w:pPr>
      <w:r>
        <w:t xml:space="preserve">结论</w:t>
      </w:r>
    </w:p>
    <w:p>
      <w:pPr>
        <w:numPr>
          <w:ilvl w:val="0"/>
          <w:numId w:val="1"/>
        </w:numPr>
        <w:ind w:left="720" w:hanging="360"/>
      </w:pPr>
      <w:r>
        <w:t xml:space="preserve">代码中 </w:t>
      </w:r>
      <w:r>
        <w:rPr>
          <w:rFonts w:ascii="Consolas" w:hAnsi="Consolas"/>
        </w:rPr>
        <w:t xml:space="preserve">fixed_step, step=0</w:t>
      </w:r>
      <w:r>
        <w:t xml:space="preserve">（恒定取"提前1周"预测，n_windows=1）的修复方向是正确的，解决了旧版 </w:t>
      </w:r>
      <w:r>
        <w:rPr>
          <w:rFonts w:ascii="Consolas" w:hAnsi="Consolas"/>
        </w:rPr>
        <w:t xml:space="preserve">mean_over_lead</w:t>
      </w:r>
      <w:r>
        <w:t xml:space="preserve"> 把不同提前期（lead time）预测混合平均、导致误差被人为平滑的问题。</w:t>
      </w:r>
    </w:p>
    <w:p>
      <w:pPr>
        <w:numPr>
          <w:ilvl w:val="0"/>
          <w:numId w:val="1"/>
        </w:numPr>
        <w:ind w:left="720" w:hanging="360"/>
      </w:pPr>
      <w:r>
        <w:t xml:space="preserve">但"选择单一 step=0"与 CDC FluSight 官方做法并不完全等同——官方做法不是"选一个代表性的 horizon"，而是把 0/1/2/3 周四个 horizon 全部保留、分别独立评分/独立报告，从不跨 horizon 合并。</w:t>
      </w:r>
    </w:p>
    <w:p>
      <w:pPr>
        <w:pStyle w:val="Heading3"/>
      </w:pPr>
      <w:r>
        <w:t xml:space="preserve">证据</w:t>
      </w:r>
    </w:p>
    <w:p>
      <w:pPr>
        <w:numPr>
          <w:ilvl w:val="0"/>
          <w:numId w:val="1"/>
        </w:numPr>
        <w:ind w:left="720" w:hanging="360"/>
      </w:pPr>
      <w:r>
        <w:rPr>
          <w:b/>
        </w:rPr>
        <w:t xml:space="preserve">Flusion: Integrating multiple data sources for accurate influenza predictions</w:t>
      </w:r>
      <w:r>
        <w:t xml:space="preserve">（arXiv 2407.19054 / ScienceDirect）：</w:t>
      </w:r>
    </w:p>
    <w:p>
      <w:pPr>
        <w:numPr>
          <w:ilvl w:val="0"/>
          <w:numId w:val="1"/>
        </w:numPr>
        <w:ind w:left="720" w:hanging="360"/>
      </w:pPr>
      <w:r>
        <w:t xml:space="preserve">原文明确定义 FluSight 官方 horizon 集合为 0 周（nowcast）、1、2、3 周，每个 (reference date, horizon) 组合都被当作独立的 "model task" 打分，不做跨 horizon 融合。</w:t>
      </w:r>
    </w:p>
    <w:p>
      <w:pPr>
        <w:numPr>
          <w:ilvl w:val="0"/>
          <w:numId w:val="1"/>
        </w:numPr>
        <w:ind w:left="720" w:hanging="360"/>
      </w:pPr>
      <w:r>
        <w:t xml:space="preserve">论文链接：</w:t>
      </w:r>
      <w:hyperlink r:id="rId1">
        <w:r>
          <w:rPr>
            <w:color w:val="0563C1"/>
            <w:u w:val="single"/>
          </w:rPr>
          <w:t xml:space="preserve">https://www.sciencedirect.com/science/article/pii/S1755436524000719</w:t>
        </w:r>
      </w:hyperlink>
    </w:p>
    <w:p>
      <w:pPr>
        <w:numPr>
          <w:ilvl w:val="0"/>
          <w:numId w:val="1"/>
        </w:numPr>
        <w:ind w:left="720" w:hanging="360"/>
      </w:pPr>
      <w:r>
        <w:rPr>
          <w:b/>
        </w:rPr>
        <w:t xml:space="preserve">Evaluation of FluSight influenza forecasting in the 2021–22 and 2022–23 seasons</w:t>
      </w:r>
      <w:r>
        <w:t xml:space="preserve">（Nature Communications, 2024 / PMC11282251）：各队伍需分别提交 1–4 周 ahead 的独立预测，评分（WIS）按 horizon 单独计算，结论明确写道预测技巧"随 horizon 变长而下降"，说明各 horizon 从未被合并成一个数字。</w:t>
      </w:r>
    </w:p>
    <w:p>
      <w:pPr>
        <w:numPr>
          <w:ilvl w:val="0"/>
          <w:numId w:val="1"/>
        </w:numPr>
        <w:ind w:left="720" w:hanging="360"/>
      </w:pPr>
      <w:hyperlink r:id="rId2">
        <w:r>
          <w:rPr>
            <w:color w:val="0563C1"/>
            <w:u w:val="single"/>
          </w:rPr>
          <w:t xml:space="preserve">https://www.ncbi.nlm.nih.gov/pmc/articles/PMC11282251/</w:t>
        </w:r>
      </w:hyperlink>
    </w:p>
    <w:p>
      <w:pPr>
        <w:numPr>
          <w:ilvl w:val="0"/>
          <w:numId w:val="1"/>
        </w:numPr>
        <w:ind w:left="720" w:hanging="360"/>
      </w:pPr>
      <w:r>
        <w:rPr>
          <w:b/>
        </w:rPr>
        <w:t xml:space="preserve">Expanding optimization ensemble model methods for forecasting seasonal influenza in the U.S.</w:t>
      </w:r>
      <w:r>
        <w:t xml:space="preserve">（medRxiv 2025.11.24.25340597）：Target End Date = reference date + horizon × 7 天，每个 horizon 对应精确的目标日期、独立报告，官方 Ensemble 用同一 horizon 下不同团队预测的中位数合并，而不是跨 horizon 合并。</w:t>
      </w:r>
    </w:p>
    <w:p>
      <w:pPr>
        <w:numPr>
          <w:ilvl w:val="0"/>
          <w:numId w:val="1"/>
        </w:numPr>
        <w:ind w:left="720" w:hanging="360"/>
      </w:pPr>
      <w:hyperlink r:id="rId3">
        <w:r>
          <w:rPr>
            <w:color w:val="0563C1"/>
            <w:u w:val="single"/>
          </w:rPr>
          <w:t xml:space="preserve">https://www.medrxiv.org/content/10.1101/2025.11.24.25340597.full.pdf</w:t>
        </w:r>
      </w:hyperlink>
    </w:p>
    <w:p>
      <w:pPr>
        <w:numPr>
          <w:ilvl w:val="0"/>
          <w:numId w:val="1"/>
        </w:numPr>
        <w:ind w:left="720" w:hanging="360"/>
      </w:pPr>
      <w:r>
        <w:t xml:space="preserve">MIFlu 论文自身 Table V（L=24/36/48/60，MSE/MAE 分列4列）与 Table VI（L=2/3/5/…/20，RMSE/PCC 分列7列）同样是"每个固定 horizon 单独一列"的报告方式，未做跨 horizon 平均——这与 fixed_step 的设计原则完全一致。</w:t>
      </w:r>
    </w:p>
    <w:p>
      <w:pPr>
        <w:pStyle w:val="Heading3"/>
      </w:pPr>
      <w:r>
        <w:t xml:space="preserve">建议</w:t>
      </w:r>
    </w:p>
    <w:p>
      <w:pPr>
        <w:numPr>
          <w:ilvl w:val="0"/>
          <w:numId w:val="1"/>
        </w:numPr>
        <w:ind w:left="720" w:hanging="360"/>
      </w:pPr>
      <w:r>
        <w:t xml:space="preserve">当前 step=0 的修复已解决"错误地跨 horizon 平均"这一核心问题，可以作为主结果保留。</w:t>
      </w:r>
    </w:p>
    <w:p>
      <w:pPr>
        <w:numPr>
          <w:ilvl w:val="0"/>
          <w:numId w:val="1"/>
        </w:numPr>
        <w:ind w:left="720" w:hanging="360"/>
      </w:pPr>
      <w:r>
        <w:t xml:space="preserve">如果希望进一步与 FluSight 官方规范对齐，可补充生成 step=1, 2, 3（对应 2/3/4 周 ahead）的平行版本，作为附加证据展示在同一组图或附录表格中，而不是用来替换 step=0——这是"完善"而非"修正错误"，不属于必须项。</w:t>
      </w:r>
    </w:p>
    <w:p>
      <w:pPr>
        <w:pStyle w:val="Heading3"/>
      </w:pPr>
      <w:r>
        <w:t xml:space="preserve">代码验证结果（本次复现实验新增结果）</w:t>
      </w:r>
    </w:p>
    <w:p>
      <w:pPr>
        <w:pStyle w:val="Quote"/>
        <w:ind w:left="360"/>
      </w:pPr>
      <w:r>
        <w:rPr>
          <w:b/>
        </w:rPr>
        <w:t xml:space="preserve">来源标注：(b) 本次复现实验新增结果</w:t>
      </w:r>
    </w:p>
    <w:p>
      <w:pPr>
        <w:pStyle w:val="Quote"/>
        <w:ind w:left="360"/>
      </w:pPr>
      <w:r>
        <w:t xml:space="preserve">生成脚本：</w:t>
      </w:r>
      <w:r>
        <w:rPr>
          <w:rFonts w:ascii="Consolas" w:hAnsi="Consolas"/>
        </w:rPr>
        <w:t xml:space="preserve">scripts/q1_step_sweep.py</w:t>
      </w:r>
      <w:r>
        <w:t xml:space="preserve">；产物：</w:t>
      </w:r>
      <w:r>
        <w:rPr>
          <w:rFonts w:ascii="Consolas" w:hAnsi="Consolas"/>
        </w:rPr>
        <w:t xml:space="preserve">results/ili/metrics/q1_step_sweep.csv</w:t>
      </w:r>
      <w:r>
        <w:t xml:space="preserve">、</w:t>
      </w:r>
      <w:r>
        <w:rPr>
          <w:rFonts w:ascii="Consolas" w:hAnsi="Consolas"/>
        </w:rPr>
        <w:t xml:space="preserve">results/ili/figures/fig_q1_step_sweep_L24_L60_step{0,1,2,3}.png</w:t>
      </w:r>
      <w:r>
        <w:t xml:space="preserve">（按 step 拆分的 4 张图；原 2×3 拼图已移除）</w:t>
      </w:r>
    </w:p>
    <w:p>
      <w:pPr>
        <w:pStyle w:val="Quote"/>
        <w:ind w:left="360"/>
      </w:pPr>
      <w:r>
        <w:t xml:space="preserve">实现方式：</w:t>
      </w:r>
      <w:r>
        <w:rPr>
          <w:b/>
        </w:rPr>
        <w:t xml:space="preserve">对已导出的预测 CSV 做纯重聚合，未重新训练、未重新推理，因此不需要 GPU</w:t>
      </w:r>
      <w:r>
        <w:t xml:space="preserve">。导出的 CSV 已自带 </w:t>
      </w:r>
      <w:r>
        <w:rPr>
          <w:rFonts w:ascii="Consolas" w:hAnsi="Consolas"/>
        </w:rPr>
        <w:t xml:space="preserve">step</w:t>
      </w:r>
      <w:r>
        <w:t xml:space="preserve"> 列（0..L-1），改变聚合策略只是一次 pandas groupby。</w:t>
      </w:r>
    </w:p>
    <w:p>
      <w:r>
        <w:t xml:space="preserve">已按建议补充 step=1, 2, 3 的平行聚合，并覆盖 </w:t>
      </w:r>
      <w:r>
        <w:rPr>
          <w:b/>
        </w:rPr>
        <w:t xml:space="preserve">L=24/36/48/60 全部四个 horizon</w:t>
      </w:r>
      <w:r>
        <w:t xml:space="preserve">（不只 L=24，以便与问题四的口径保持一致）。</w:t>
      </w:r>
    </w:p>
    <w:p>
      <w:r>
        <w:rPr>
          <w:b/>
        </w:rPr>
        <w:t xml:space="preserve">MSE（z 空间，Table V 口径，仅 test split）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1872"/>
        <w:gridCol w:w="1872"/>
        <w:gridCol w:w="1872"/>
        <w:gridCol w:w="1872"/>
        <w:gridCol w:w="1872"/>
      </w:tblGrid>
      <w:tr>
        <w:trPr>
          <w:tblHeader/>
        </w:trPr>
        <w:tc>
          <w:tcPr>
            <w:tcW w:w="1872" w:type="dxa"/>
            <w:shd w:val="clear" w:color="auto" w:fill="E8EEF7"/>
          </w:tcPr>
          <w:p>
            <w:r>
              <w:t xml:space="preserve">L \ step</w:t>
            </w:r>
          </w:p>
        </w:tc>
        <w:tc>
          <w:tcPr>
            <w:tcW w:w="1872" w:type="dxa"/>
            <w:shd w:val="clear" w:color="auto" w:fill="E8EEF7"/>
          </w:tcPr>
          <w:p>
            <w:r>
              <w:t xml:space="preserve">step=0（1周ahead）</w:t>
            </w:r>
          </w:p>
        </w:tc>
        <w:tc>
          <w:tcPr>
            <w:tcW w:w="1872" w:type="dxa"/>
            <w:shd w:val="clear" w:color="auto" w:fill="E8EEF7"/>
          </w:tcPr>
          <w:p>
            <w:r>
              <w:t xml:space="preserve">step=1（2周）</w:t>
            </w:r>
          </w:p>
        </w:tc>
        <w:tc>
          <w:tcPr>
            <w:tcW w:w="1872" w:type="dxa"/>
            <w:shd w:val="clear" w:color="auto" w:fill="E8EEF7"/>
          </w:tcPr>
          <w:p>
            <w:r>
              <w:t xml:space="preserve">step=2（3周）</w:t>
            </w:r>
          </w:p>
        </w:tc>
        <w:tc>
          <w:tcPr>
            <w:tcW w:w="1872" w:type="dxa"/>
            <w:shd w:val="clear" w:color="auto" w:fill="E8EEF7"/>
          </w:tcPr>
          <w:p>
            <w:r>
              <w:t xml:space="preserve">step=3（4周）</w:t>
            </w:r>
          </w:p>
        </w:tc>
      </w:tr>
      <w:tr>
        <w:tc>
          <w:tcPr>
            <w:tcW w:w="1872" w:type="dxa"/>
          </w:tcPr>
          <w:p>
            <w:r>
              <w:t xml:space="preserve">24</w:t>
            </w:r>
          </w:p>
        </w:tc>
        <w:tc>
          <w:tcPr>
            <w:tcW w:w="1872" w:type="dxa"/>
          </w:tcPr>
          <w:p>
            <w:r>
              <w:t xml:space="preserve">3.1173</w:t>
            </w:r>
          </w:p>
        </w:tc>
        <w:tc>
          <w:tcPr>
            <w:tcW w:w="1872" w:type="dxa"/>
          </w:tcPr>
          <w:p>
            <w:r>
              <w:t xml:space="preserve">3.5694</w:t>
            </w:r>
          </w:p>
        </w:tc>
        <w:tc>
          <w:tcPr>
            <w:tcW w:w="1872" w:type="dxa"/>
          </w:tcPr>
          <w:p>
            <w:r>
              <w:t xml:space="preserve">3.8022</w:t>
            </w:r>
          </w:p>
        </w:tc>
        <w:tc>
          <w:tcPr>
            <w:tcW w:w="1872" w:type="dxa"/>
          </w:tcPr>
          <w:p>
            <w:r>
              <w:t xml:space="preserve">4.5711</w:t>
            </w:r>
          </w:p>
        </w:tc>
      </w:tr>
      <w:tr>
        <w:tc>
          <w:tcPr>
            <w:tcW w:w="1872" w:type="dxa"/>
          </w:tcPr>
          <w:p>
            <w:r>
              <w:t xml:space="preserve">36</w:t>
            </w:r>
          </w:p>
        </w:tc>
        <w:tc>
          <w:tcPr>
            <w:tcW w:w="1872" w:type="dxa"/>
          </w:tcPr>
          <w:p>
            <w:r>
              <w:t xml:space="preserve">3.2153</w:t>
            </w:r>
          </w:p>
        </w:tc>
        <w:tc>
          <w:tcPr>
            <w:tcW w:w="1872" w:type="dxa"/>
          </w:tcPr>
          <w:p>
            <w:r>
              <w:t xml:space="preserve">3.3031</w:t>
            </w:r>
          </w:p>
        </w:tc>
        <w:tc>
          <w:tcPr>
            <w:tcW w:w="1872" w:type="dxa"/>
          </w:tcPr>
          <w:p>
            <w:r>
              <w:t xml:space="preserve">3.9146</w:t>
            </w:r>
          </w:p>
        </w:tc>
        <w:tc>
          <w:tcPr>
            <w:tcW w:w="1872" w:type="dxa"/>
          </w:tcPr>
          <w:p>
            <w:r>
              <w:t xml:space="preserve">4.2595</w:t>
            </w:r>
          </w:p>
        </w:tc>
      </w:tr>
      <w:tr>
        <w:tc>
          <w:tcPr>
            <w:tcW w:w="1872" w:type="dxa"/>
          </w:tcPr>
          <w:p>
            <w:r>
              <w:t xml:space="preserve">48</w:t>
            </w:r>
          </w:p>
        </w:tc>
        <w:tc>
          <w:tcPr>
            <w:tcW w:w="1872" w:type="dxa"/>
          </w:tcPr>
          <w:p>
            <w:r>
              <w:t xml:space="preserve">3.5514</w:t>
            </w:r>
          </w:p>
        </w:tc>
        <w:tc>
          <w:tcPr>
            <w:tcW w:w="1872" w:type="dxa"/>
          </w:tcPr>
          <w:p>
            <w:r>
              <w:t xml:space="preserve">3.3905</w:t>
            </w:r>
          </w:p>
        </w:tc>
        <w:tc>
          <w:tcPr>
            <w:tcW w:w="1872" w:type="dxa"/>
          </w:tcPr>
          <w:p>
            <w:r>
              <w:t xml:space="preserve">3.3819</w:t>
            </w:r>
          </w:p>
        </w:tc>
        <w:tc>
          <w:tcPr>
            <w:tcW w:w="1872" w:type="dxa"/>
          </w:tcPr>
          <w:p>
            <w:r>
              <w:t xml:space="preserve">3.5239</w:t>
            </w:r>
          </w:p>
        </w:tc>
      </w:tr>
      <w:tr>
        <w:tc>
          <w:tcPr>
            <w:tcW w:w="1872" w:type="dxa"/>
          </w:tcPr>
          <w:p>
            <w:r>
              <w:t xml:space="preserve">60</w:t>
            </w:r>
          </w:p>
        </w:tc>
        <w:tc>
          <w:tcPr>
            <w:tcW w:w="1872" w:type="dxa"/>
          </w:tcPr>
          <w:p>
            <w:r>
              <w:t xml:space="preserve">1.9811</w:t>
            </w:r>
          </w:p>
        </w:tc>
        <w:tc>
          <w:tcPr>
            <w:tcW w:w="1872" w:type="dxa"/>
          </w:tcPr>
          <w:p>
            <w:r>
              <w:t xml:space="preserve">2.0131</w:t>
            </w:r>
          </w:p>
        </w:tc>
        <w:tc>
          <w:tcPr>
            <w:tcW w:w="1872" w:type="dxa"/>
          </w:tcPr>
          <w:p>
            <w:r>
              <w:t xml:space="preserve">1.8886</w:t>
            </w:r>
          </w:p>
        </w:tc>
        <w:tc>
          <w:tcPr>
            <w:tcW w:w="1872" w:type="dxa"/>
          </w:tcPr>
          <w:p>
            <w:r>
              <w:t xml:space="preserve">1.9363</w:t>
            </w:r>
          </w:p>
        </w:tc>
      </w:tr>
    </w:tbl>
    <w:p/>
    <w:p>
      <w:r>
        <w:drawing>
          <wp:inline distT="0" distB="0" distL="0" distR="0">
            <wp:extent cx="5943600" cy="3200400"/>
            <wp:effectExtent l="0" t="0" r="0" b="0"/>
            <wp:docPr id="1" name="Picture 1" descr="Q1 step=0（1周ahead）聚合扫描"/>
            <a:graphic xmlns:a="http://schemas.openxmlformats.org/drawingml/2006/main">
              <a:graphicData uri="http://schemas.openxmlformats.org/drawingml/2006/picture">
                <pic:pic xmlns:pic="http://schemas.openxmlformats.org/drawingml/2006/picture">
                  <pic:nvPicPr>
                    <pic:cNvPr id="1" name="Q1 step=0（1周ahead）聚合扫描" descr="Q1 step=0（1周ahead）聚合扫描"/>
                    <pic:cNvPicPr/>
                  </pic:nvPicPr>
                  <pic:blipFill>
                    <a:blip r:embed="rId4"/>
                    <a:stretch>
                      <a:fillRect/>
                    </a:stretch>
                  </pic:blipFill>
                  <pic:spPr>
                    <a:xfrm>
                      <a:off x="0" y="0"/>
                      <a:ext cx="5943600" cy="3200400"/>
                    </a:xfrm>
                    <a:prstGeom prst="rect">
                      <a:avLst/>
                    </a:prstGeom>
                  </pic:spPr>
                </pic:pic>
              </a:graphicData>
            </a:graphic>
          </wp:inline>
        </w:drawing>
      </w:r>
    </w:p>
    <w:p>
      <w:r>
        <w:drawing>
          <wp:inline distT="0" distB="0" distL="0" distR="0">
            <wp:extent cx="5943600" cy="3200400"/>
            <wp:effectExtent l="0" t="0" r="0" b="0"/>
            <wp:docPr id="2" name="Picture 2" descr="Q1 step=1（2周ahead）聚合扫描"/>
            <a:graphic xmlns:a="http://schemas.openxmlformats.org/drawingml/2006/main">
              <a:graphicData uri="http://schemas.openxmlformats.org/drawingml/2006/picture">
                <pic:pic xmlns:pic="http://schemas.openxmlformats.org/drawingml/2006/picture">
                  <pic:nvPicPr>
                    <pic:cNvPr id="2" name="Q1 step=1（2周ahead）聚合扫描" descr="Q1 step=1（2周ahead）聚合扫描"/>
                    <pic:cNvPicPr/>
                  </pic:nvPicPr>
                  <pic:blipFill>
                    <a:blip r:embed="rId5"/>
                    <a:stretch>
                      <a:fillRect/>
                    </a:stretch>
                  </pic:blipFill>
                  <pic:spPr>
                    <a:xfrm>
                      <a:off x="0" y="0"/>
                      <a:ext cx="5943600" cy="3200400"/>
                    </a:xfrm>
                    <a:prstGeom prst="rect">
                      <a:avLst/>
                    </a:prstGeom>
                  </pic:spPr>
                </pic:pic>
              </a:graphicData>
            </a:graphic>
          </wp:inline>
        </w:drawing>
      </w:r>
    </w:p>
    <w:p>
      <w:r>
        <w:drawing>
          <wp:inline distT="0" distB="0" distL="0" distR="0">
            <wp:extent cx="5943600" cy="3200400"/>
            <wp:effectExtent l="0" t="0" r="0" b="0"/>
            <wp:docPr id="3" name="Picture 3" descr="Q1 step=2（3周ahead）聚合扫描"/>
            <a:graphic xmlns:a="http://schemas.openxmlformats.org/drawingml/2006/main">
              <a:graphicData uri="http://schemas.openxmlformats.org/drawingml/2006/picture">
                <pic:pic xmlns:pic="http://schemas.openxmlformats.org/drawingml/2006/picture">
                  <pic:nvPicPr>
                    <pic:cNvPr id="3" name="Q1 step=2（3周ahead）聚合扫描" descr="Q1 step=2（3周ahead）聚合扫描"/>
                    <pic:cNvPicPr/>
                  </pic:nvPicPr>
                  <pic:blipFill>
                    <a:blip r:embed="rId6"/>
                    <a:stretch>
                      <a:fillRect/>
                    </a:stretch>
                  </pic:blipFill>
                  <pic:spPr>
                    <a:xfrm>
                      <a:off x="0" y="0"/>
                      <a:ext cx="5943600" cy="3200400"/>
                    </a:xfrm>
                    <a:prstGeom prst="rect">
                      <a:avLst/>
                    </a:prstGeom>
                  </pic:spPr>
                </pic:pic>
              </a:graphicData>
            </a:graphic>
          </wp:inline>
        </w:drawing>
      </w:r>
    </w:p>
    <w:p>
      <w:r>
        <w:drawing>
          <wp:inline distT="0" distB="0" distL="0" distR="0">
            <wp:extent cx="5943600" cy="3200400"/>
            <wp:effectExtent l="0" t="0" r="0" b="0"/>
            <wp:docPr id="4" name="Picture 4" descr="Q1 step=3（4周ahead）聚合扫描"/>
            <a:graphic xmlns:a="http://schemas.openxmlformats.org/drawingml/2006/main">
              <a:graphicData uri="http://schemas.openxmlformats.org/drawingml/2006/picture">
                <pic:pic xmlns:pic="http://schemas.openxmlformats.org/drawingml/2006/picture">
                  <pic:nvPicPr>
                    <pic:cNvPr id="4" name="Q1 step=3（4周ahead）聚合扫描" descr="Q1 step=3（4周ahead）聚合扫描"/>
                    <pic:cNvPicPr/>
                  </pic:nvPicPr>
                  <pic:blipFill>
                    <a:blip r:embed="rId7"/>
                    <a:stretch>
                      <a:fillRect/>
                    </a:stretch>
                  </pic:blipFill>
                  <pic:spPr>
                    <a:xfrm>
                      <a:off x="0" y="0"/>
                      <a:ext cx="5943600" cy="3200400"/>
                    </a:xfrm>
                    <a:prstGeom prst="rect">
                      <a:avLst/>
                    </a:prstGeom>
                  </pic:spPr>
                </pic:pic>
              </a:graphicData>
            </a:graphic>
          </wp:inline>
        </w:drawing>
      </w:r>
    </w:p>
    <w:p>
      <w:r>
        <w:rPr>
          <w:b/>
        </w:rPr>
        <w:t xml:space="preserve">需要诚实说明的两点：</w:t>
      </w:r>
    </w:p>
    <w:p>
      <w:pPr>
        <w:numPr>
          <w:ilvl w:val="0"/>
          <w:numId w:val="2"/>
        </w:numPr>
        <w:ind w:left="720" w:hanging="360"/>
      </w:pPr>
      <w:r>
        <w:rPr>
          <w:b/>
        </w:rPr>
        <w:t xml:space="preserve">L=24 与 L=36 的误差随 lead time 单调上升</w:t>
      </w:r>
      <w:r>
        <w:t xml:space="preserve">（3.1173→4.5711；3.2153→4.2595），与 Nature Communications（PMC11282251）所述"预测技巧随 horizon 变长而下降"方向一致，可作为对上述文献证据的一次正面呼应。</w:t>
      </w:r>
    </w:p>
    <w:p>
      <w:pPr>
        <w:numPr>
          <w:ilvl w:val="0"/>
          <w:numId w:val="2"/>
        </w:numPr>
        <w:ind w:left="720" w:hanging="360"/>
      </w:pPr>
      <w:r>
        <w:rPr>
          <w:b/>
        </w:rPr>
        <w:t xml:space="preserve">L=48 / L=60 呈现持平甚至略降</w:t>
      </w:r>
      <w:r>
        <w:t xml:space="preserve">，且 L=60 的绝对误差（约 1.9–2.0）反而</w:t>
      </w:r>
      <w:r>
        <w:rPr>
          <w:b/>
        </w:rPr>
        <w:t xml:space="preserve">低于</w:t>
      </w:r>
      <w:r>
        <w:t xml:space="preserve"> L=24（约 3.1–4.6）。这</w:t>
      </w:r>
      <w:r>
        <w:rPr>
          <w:b/>
        </w:rPr>
        <w:t xml:space="preserve">不是</w:t>
      </w:r>
      <w:r>
        <w:t xml:space="preserve">"长 horizon 更好"，而是评估窗口不同造成的混淆 —— 各 horizon 的 step=0 可评估窗口为：</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3120"/>
        <w:gridCol w:w="3120"/>
        <w:gridCol w:w="3120"/>
      </w:tblGrid>
      <w:tr>
        <w:trPr>
          <w:tblHeader/>
        </w:trPr>
        <w:tc>
          <w:tcPr>
            <w:tcW w:w="3120" w:type="dxa"/>
            <w:shd w:val="clear" w:color="auto" w:fill="E8EEF7"/>
          </w:tcPr>
          <w:p>
            <w:r>
              <w:t xml:space="preserve">L</w:t>
            </w:r>
          </w:p>
        </w:tc>
        <w:tc>
          <w:tcPr>
            <w:tcW w:w="3120" w:type="dxa"/>
            <w:shd w:val="clear" w:color="auto" w:fill="E8EEF7"/>
          </w:tcPr>
          <w:p>
            <w:r>
              <w:t xml:space="preserve">可评估周数</w:t>
            </w:r>
          </w:p>
        </w:tc>
        <w:tc>
          <w:tcPr>
            <w:tcW w:w="3120" w:type="dxa"/>
            <w:shd w:val="clear" w:color="auto" w:fill="E8EEF7"/>
          </w:tcPr>
          <w:p>
            <w:r>
              <w:t xml:space="preserve">覆盖区间</w:t>
            </w:r>
          </w:p>
        </w:tc>
      </w:tr>
      <w:tr>
        <w:tc>
          <w:tcPr>
            <w:tcW w:w="3120" w:type="dxa"/>
          </w:tcPr>
          <w:p>
            <w:r>
              <w:t xml:space="preserve">24</w:t>
            </w:r>
          </w:p>
        </w:tc>
        <w:tc>
          <w:tcPr>
            <w:tcW w:w="3120" w:type="dxa"/>
          </w:tcPr>
          <w:p>
            <w:r>
              <w:t xml:space="preserve">182</w:t>
            </w:r>
          </w:p>
        </w:tc>
        <w:tc>
          <w:tcPr>
            <w:tcW w:w="3120" w:type="dxa"/>
          </w:tcPr>
          <w:p>
            <w:r>
              <w:t xml:space="preserve">2018-01-28 → </w:t>
            </w:r>
            <w:r>
              <w:rPr>
                <w:b/>
              </w:rPr>
              <w:t xml:space="preserve">2021-07-18</w:t>
            </w:r>
          </w:p>
        </w:tc>
      </w:tr>
      <w:tr>
        <w:tc>
          <w:tcPr>
            <w:tcW w:w="3120" w:type="dxa"/>
          </w:tcPr>
          <w:p>
            <w:r>
              <w:t xml:space="preserve">36</w:t>
            </w:r>
          </w:p>
        </w:tc>
        <w:tc>
          <w:tcPr>
            <w:tcW w:w="3120" w:type="dxa"/>
          </w:tcPr>
          <w:p>
            <w:r>
              <w:t xml:space="preserve">170</w:t>
            </w:r>
          </w:p>
        </w:tc>
        <w:tc>
          <w:tcPr>
            <w:tcW w:w="3120" w:type="dxa"/>
          </w:tcPr>
          <w:p>
            <w:r>
              <w:t xml:space="preserve">2018-01-28 → 2021-04-25</w:t>
            </w:r>
          </w:p>
        </w:tc>
      </w:tr>
      <w:tr>
        <w:tc>
          <w:tcPr>
            <w:tcW w:w="3120" w:type="dxa"/>
          </w:tcPr>
          <w:p>
            <w:r>
              <w:t xml:space="preserve">48</w:t>
            </w:r>
          </w:p>
        </w:tc>
        <w:tc>
          <w:tcPr>
            <w:tcW w:w="3120" w:type="dxa"/>
          </w:tcPr>
          <w:p>
            <w:r>
              <w:t xml:space="preserve">158</w:t>
            </w:r>
          </w:p>
        </w:tc>
        <w:tc>
          <w:tcPr>
            <w:tcW w:w="3120" w:type="dxa"/>
          </w:tcPr>
          <w:p>
            <w:r>
              <w:t xml:space="preserve">2018-01-28 → 2021-01-31</w:t>
            </w:r>
          </w:p>
        </w:tc>
      </w:tr>
      <w:tr>
        <w:tc>
          <w:tcPr>
            <w:tcW w:w="3120" w:type="dxa"/>
          </w:tcPr>
          <w:p>
            <w:r>
              <w:t xml:space="preserve">60</w:t>
            </w:r>
          </w:p>
        </w:tc>
        <w:tc>
          <w:tcPr>
            <w:tcW w:w="3120" w:type="dxa"/>
          </w:tcPr>
          <w:p>
            <w:r>
              <w:t xml:space="preserve">146</w:t>
            </w:r>
          </w:p>
        </w:tc>
        <w:tc>
          <w:tcPr>
            <w:tcW w:w="3120" w:type="dxa"/>
          </w:tcPr>
          <w:p>
            <w:r>
              <w:t xml:space="preserve">2018-01-28 → </w:t>
            </w:r>
            <w:r>
              <w:rPr>
                <w:b/>
              </w:rPr>
              <w:t xml:space="preserve">2020-11-08</w:t>
            </w:r>
          </w:p>
        </w:tc>
      </w:tr>
    </w:tbl>
    <w:p/>
    <w:p>
      <w:r>
        <w:t xml:space="preserve">L=60 的窗口在 2020-11-08 终止，</w:t>
      </w:r>
      <w:r>
        <w:rPr>
          <w:b/>
        </w:rPr>
        <w:t xml:space="preserve">完全排除了 2021-02-07 那个 COVID 幻觉峰</w:t>
      </w:r>
      <w:r>
        <w:t xml:space="preserve">（详见问题二）。因此</w:t>
      </w:r>
      <w:r>
        <w:rPr>
          <w:b/>
        </w:rPr>
        <w:t xml:space="preserve">跨 L 直接比较这些数字是不恰当的</w:t>
      </w:r>
      <w:r>
        <w:t xml:space="preserve">；真正有意义的是</w:t>
      </w:r>
      <w:r>
        <w:rPr>
          <w:b/>
        </w:rPr>
        <w:t xml:space="preserve">同一 L 内部跨 step 的比较</w:t>
      </w:r>
      <w:r>
        <w:t xml:space="preserve">。此点已在脚本产出的 CSV 中以 </w:t>
      </w:r>
      <w:r>
        <w:rPr>
          <w:rFonts w:ascii="Consolas" w:hAnsi="Consolas"/>
        </w:rPr>
        <w:t xml:space="preserve">date_start</w:t>
      </w:r>
      <w:r>
        <w:t xml:space="preserve"> / </w:t>
      </w:r>
      <w:r>
        <w:rPr>
          <w:rFonts w:ascii="Consolas" w:hAnsi="Consolas"/>
        </w:rPr>
        <w:t xml:space="preserve">date_end</w:t>
      </w:r>
      <w:r>
        <w:t xml:space="preserve"> 两列记录，保证可追溯。</w:t>
      </w:r>
    </w:p>
    <w:p>
      <w:pPr>
        <w:pBdr>
          <w:bottom w:val="single" w:sz="6" w:space="1" w:color="BBBBBB"/>
        </w:pBdr>
      </w:pPr>
    </w:p>
    <w:p>
      <w:pPr>
        <w:pStyle w:val="Heading2"/>
      </w:pPr>
      <w:r>
        <w:t xml:space="preserve">问题二：真实曲线与预测曲线的视觉与逻辑对齐（COVID 期间"真值平、预测尖峰"）</w:t>
      </w:r>
    </w:p>
    <w:p>
      <w:pPr>
        <w:pStyle w:val="Heading3"/>
      </w:pPr>
      <w:r>
        <w:t xml:space="preserve">结论</w:t>
      </w:r>
    </w:p>
    <w:p>
      <w:pPr>
        <w:numPr>
          <w:ilvl w:val="0"/>
          <w:numId w:val="1"/>
        </w:numPr>
        <w:ind w:left="720" w:hanging="360"/>
      </w:pPr>
      <w:r>
        <w:t xml:space="preserve">2020–2021 年美国 ILI 出现历史性骤降是真实、被大量流行病学文献证实的现象，不是画图 bug；但"曲线是否反转/数组是否错位"仍需要用与图无关的独立方法交叉验证，不能仅凭"看起来合理"就下结论。</w:t>
      </w:r>
    </w:p>
    <w:p>
      <w:pPr>
        <w:numPr>
          <w:ilvl w:val="0"/>
          <w:numId w:val="1"/>
        </w:numPr>
        <w:ind w:left="720" w:hanging="360"/>
      </w:pPr>
      <w:r>
        <w:t xml:space="preserve">"frozen LLM 在分布漂移下依赖预训练季节性先验、产生幻觉式高估"这一解释方向与近期 LLM-based 时间序列预测研究的一般性发现一致，但该发现是一般规律，并非专门针对本数据集/本次实验证实的结论，报告中不应表述为"已被证实"。</w:t>
      </w:r>
    </w:p>
    <w:p>
      <w:pPr>
        <w:pStyle w:val="Heading3"/>
      </w:pPr>
      <w:r>
        <w:t xml:space="preserve">证据 — NPI 导致 ILI 骤降属实</w:t>
      </w:r>
    </w:p>
    <w:p>
      <w:pPr>
        <w:numPr>
          <w:ilvl w:val="0"/>
          <w:numId w:val="1"/>
        </w:numPr>
        <w:ind w:left="720" w:hanging="360"/>
      </w:pPr>
      <w:r>
        <w:rPr>
          <w:b/>
        </w:rPr>
        <w:t xml:space="preserve">Washington State Influenza Summary 2020–2021 Season</w:t>
      </w:r>
      <w:r>
        <w:t xml:space="preserve">：报告指出 2020–2021 流感季活动水平"历史性低"，直接归因于口罩佩戴、居家、洗手、停课等 COVID-19 防疫措施（NPI）。</w:t>
      </w:r>
    </w:p>
    <w:p>
      <w:pPr>
        <w:numPr>
          <w:ilvl w:val="0"/>
          <w:numId w:val="1"/>
        </w:numPr>
        <w:ind w:left="720" w:hanging="360"/>
      </w:pPr>
      <w:hyperlink r:id="rId8">
        <w:r>
          <w:rPr>
            <w:color w:val="0563C1"/>
            <w:u w:val="single"/>
          </w:rPr>
          <w:t xml:space="preserve">https://doh.wa.gov/sites/default/files/2022-02/420-100-FluUpdateSeason2021.pdf</w:t>
        </w:r>
      </w:hyperlink>
    </w:p>
    <w:p>
      <w:pPr>
        <w:numPr>
          <w:ilvl w:val="0"/>
          <w:numId w:val="1"/>
        </w:numPr>
        <w:ind w:left="720" w:hanging="360"/>
      </w:pPr>
      <w:r>
        <w:rPr>
          <w:b/>
        </w:rPr>
        <w:t xml:space="preserve">Decreased Seasonal Influenza Rates...</w:t>
      </w:r>
      <w:r>
        <w:t xml:space="preserve">（JMIR Public Health and Surveillance, 2023）：基于众包监测系统的数据显示，ILI 检出率从基线季节（2016–2019）的 3.8% 降至 2020–2021 季节的 0.27%，降幅超过一个数量级。</w:t>
      </w:r>
    </w:p>
    <w:p>
      <w:pPr>
        <w:numPr>
          <w:ilvl w:val="0"/>
          <w:numId w:val="1"/>
        </w:numPr>
        <w:ind w:left="720" w:hanging="360"/>
      </w:pPr>
      <w:hyperlink r:id="rId9">
        <w:r>
          <w:rPr>
            <w:color w:val="0563C1"/>
            <w:u w:val="single"/>
          </w:rPr>
          <w:t xml:space="preserve">https://doi.org/10.2196/40216</w:t>
        </w:r>
      </w:hyperlink>
    </w:p>
    <w:p>
      <w:pPr>
        <w:numPr>
          <w:ilvl w:val="0"/>
          <w:numId w:val="1"/>
        </w:numPr>
        <w:ind w:left="720" w:hanging="360"/>
      </w:pPr>
      <w:r>
        <w:rPr>
          <w:b/>
        </w:rPr>
        <w:t xml:space="preserve">Influenza's Plummeting During the COVID-19 Pandemic</w:t>
      </w:r>
      <w:r>
        <w:t xml:space="preserve">（PMC8808434）：中国、英国、美国监测系统显示 2020–2021 流感季活动较过去5年均值下降 92.4%–99.9%，并用口罩佩戴/人口流动模型定量估计了 NPI 的贡献。</w:t>
      </w:r>
    </w:p>
    <w:p>
      <w:pPr>
        <w:numPr>
          <w:ilvl w:val="0"/>
          <w:numId w:val="1"/>
        </w:numPr>
        <w:ind w:left="720" w:hanging="360"/>
      </w:pPr>
      <w:hyperlink r:id="rId10">
        <w:r>
          <w:rPr>
            <w:color w:val="0563C1"/>
            <w:u w:val="single"/>
          </w:rPr>
          <w:t xml:space="preserve">https://pmc.ncbi.nlm.nih.gov/articles/PMC8808434/</w:t>
        </w:r>
      </w:hyperlink>
    </w:p>
    <w:p>
      <w:pPr>
        <w:numPr>
          <w:ilvl w:val="0"/>
          <w:numId w:val="1"/>
        </w:numPr>
        <w:ind w:left="720" w:hanging="360"/>
      </w:pPr>
      <w:r>
        <w:rPr>
          <w:b/>
        </w:rPr>
        <w:t xml:space="preserve">CDC FluView Summary</w:t>
      </w:r>
      <w:r>
        <w:t xml:space="preserve">（ending April 3, 2021）：CDC 官方周报确认 2020–21 season 因疫情原因"暂停常规数据采集"，ILI 活动"远低于全国基线"，并提醒 ILI 数据在此期间应"极度谨慎解读"（因就医行为改变、症状重叠等原因）。</w:t>
      </w:r>
    </w:p>
    <w:p>
      <w:pPr>
        <w:numPr>
          <w:ilvl w:val="0"/>
          <w:numId w:val="1"/>
        </w:numPr>
        <w:ind w:left="720" w:hanging="360"/>
      </w:pPr>
      <w:hyperlink r:id="rId11">
        <w:r>
          <w:rPr>
            <w:color w:val="0563C1"/>
            <w:u w:val="single"/>
          </w:rPr>
          <w:t xml:space="preserve">https://www.cdc.gov/flu/weekly/weeklyarchives2020-2021/</w:t>
        </w:r>
      </w:hyperlink>
    </w:p>
    <w:p>
      <w:pPr>
        <w:pStyle w:val="Heading3"/>
      </w:pPr>
      <w:r>
        <w:t xml:space="preserve">证据 — "预训练LLM在分布漂移下产生幻觉式预测"的一般性支持（谨慎引用）</w:t>
      </w:r>
    </w:p>
    <w:p>
      <w:pPr>
        <w:numPr>
          <w:ilvl w:val="0"/>
          <w:numId w:val="1"/>
        </w:numPr>
        <w:ind w:left="720" w:hanging="360"/>
      </w:pPr>
      <w:r>
        <w:rPr>
          <w:b/>
        </w:rPr>
        <w:t xml:space="preserve">Rethinking the Role of LLMs in Time Series Forecasting</w:t>
      </w:r>
      <w:r>
        <w:t xml:space="preserve">（arXiv 2602.14744）：该研究发现，预训练 LLM 的先验知识在"数据分布发生较大偏移"或模型被用于"未见过的域外数据集"时，既可能提供有益的强先验，也说明模型行为在分布漂移期会更依赖预训练知识而非当前输入信号——这与你观察到的"模型按历史季节性规律硬造峰值"的现象方向一致。</w:t>
      </w:r>
    </w:p>
    <w:p>
      <w:pPr>
        <w:numPr>
          <w:ilvl w:val="0"/>
          <w:numId w:val="1"/>
        </w:numPr>
        <w:ind w:left="720" w:hanging="360"/>
      </w:pPr>
      <w:hyperlink r:id="rId12">
        <w:r>
          <w:rPr>
            <w:color w:val="0563C1"/>
            <w:u w:val="single"/>
          </w:rPr>
          <w:t xml:space="preserve">https://arxiv.org/html/2602.14744v2</w:t>
        </w:r>
      </w:hyperlink>
    </w:p>
    <w:p>
      <w:pPr>
        <w:pStyle w:val="Quote"/>
        <w:ind w:left="360"/>
      </w:pPr>
      <w:r>
        <w:rPr>
          <w:b/>
        </w:rPr>
        <w:t xml:space="preserve">【订正】</w:t>
      </w:r>
      <w:r>
        <w:t xml:space="preserve"> 该文献是关于 LLM-for-time-series 的一般性规律总结，并非针对流感/COVID 场景的定向研究，不能用作"MIFlu 在 COVID 期间产生幻觉"这一具体现象的直接证据，只能作为"同类失效模式在文献中有迹可循"的背景支持。报告中应避免使用"已被证实的幻觉现象"这类强断言，改用"与文献中报告的 LLM 分布外先验依赖现象方向一致"等表述。</w:t>
      </w:r>
    </w:p>
    <w:p>
      <w:pPr>
        <w:pStyle w:val="Heading3"/>
      </w:pPr>
      <w:r>
        <w:t xml:space="preserve">关于数组对齐的独立核查建议（不依赖文献，需要你自己在代码里验证）</w:t>
      </w:r>
    </w:p>
    <w:p>
      <w:pPr>
        <w:numPr>
          <w:ilvl w:val="0"/>
          <w:numId w:val="1"/>
        </w:numPr>
        <w:ind w:left="720" w:hanging="360"/>
      </w:pPr>
      <w:r>
        <w:rPr>
          <w:b/>
        </w:rPr>
        <w:t xml:space="preserve">交叉验证法</w:t>
      </w:r>
      <w:r>
        <w:t xml:space="preserve">：单独挑选若干个非异常年份（如 2015–2019 正常流感季）画出同款连续预测图。若这些年份中红蓝两线吻合良好（无论幅度还是峰值周），说明整体 index 对齐、绘图逻辑没有问题，只有 COVID 年份出现异常，从而支持"分布漂移"而非"索引错位"的解释；反之如果连正常年份都对不上，则应优先排查 ground_truth 与 prediction 是否使用了不同的时间戳/索引来源。</w:t>
      </w:r>
    </w:p>
    <w:p>
      <w:pPr>
        <w:numPr>
          <w:ilvl w:val="0"/>
          <w:numId w:val="1"/>
        </w:numPr>
        <w:ind w:left="720" w:hanging="360"/>
      </w:pPr>
      <w:r>
        <w:rPr>
          <w:b/>
        </w:rPr>
        <w:t xml:space="preserve">确认数据集时间跨度</w:t>
      </w:r>
      <w:r>
        <w:t xml:space="preserve">：National-Illness 数据集覆盖 2002–2021 年，按 70:10:20 切分训练/验证/测试集。若整个数据集约为 990 周（2002–2021），则测试集（末尾20%，约198周）在时间上大致落在 2017 年末至 2021 年，天然包含 2020–2021 COVID 异常期——建议在代码中直接 print 测试集起止日期加以确认，这是最直接、最省事的核实方式。</w:t>
      </w:r>
    </w:p>
    <w:p>
      <w:pPr>
        <w:numPr>
          <w:ilvl w:val="0"/>
          <w:numId w:val="1"/>
        </w:numPr>
        <w:ind w:left="720" w:hanging="360"/>
      </w:pPr>
      <w:r>
        <w:rPr>
          <w:b/>
        </w:rPr>
        <w:t xml:space="preserve">保留而非删除异常</w:t>
      </w:r>
      <w:r>
        <w:t xml:space="preserve">：建议保留该异常并加注说明（如 CodeBuddy 报告中已做的红色标注框），而不是删除或平滑处理——这段"模型失效"的可视化证据恰恰真实反映了冻结式 LLM 在分布外场景下的局限性，是审稿人应该看到的诚实结果，也是论文"未来工作"部分可以正面讨论的内容。</w:t>
      </w:r>
    </w:p>
    <w:p>
      <w:pPr>
        <w:pStyle w:val="Heading3"/>
      </w:pPr>
      <w:r>
        <w:t xml:space="preserve">代码验证结果（本次复现实验新增结果）</w:t>
      </w:r>
    </w:p>
    <w:p>
      <w:pPr>
        <w:pStyle w:val="Quote"/>
        <w:ind w:left="360"/>
      </w:pPr>
      <w:r>
        <w:rPr>
          <w:b/>
        </w:rPr>
        <w:t xml:space="preserve">来源标注：(b) 本次复现实验新增结果</w:t>
      </w:r>
    </w:p>
    <w:p>
      <w:pPr>
        <w:pStyle w:val="Quote"/>
        <w:ind w:left="360"/>
      </w:pPr>
      <w:r>
        <w:t xml:space="preserve">生成脚本：</w:t>
      </w:r>
      <w:r>
        <w:rPr>
          <w:rFonts w:ascii="Consolas" w:hAnsi="Consolas"/>
        </w:rPr>
        <w:t xml:space="preserve">scripts/q2_alignment_check.py</w:t>
      </w:r>
      <w:r>
        <w:t xml:space="preserve">；产物：</w:t>
      </w:r>
      <w:r>
        <w:rPr>
          <w:rFonts w:ascii="Consolas" w:hAnsi="Consolas"/>
        </w:rPr>
        <w:t xml:space="preserve">results/ili/metrics/q2_alignment_check.csv</w:t>
      </w:r>
      <w:r>
        <w:t xml:space="preserve">、</w:t>
      </w:r>
      <w:r>
        <w:rPr>
          <w:rFonts w:ascii="Consolas" w:hAnsi="Consolas"/>
        </w:rPr>
        <w:t xml:space="preserve">results/ili/figures/fig_q2_alignment_precovid_vs_covid.png</w:t>
      </w:r>
    </w:p>
    <w:p>
      <w:pPr>
        <w:pStyle w:val="Quote"/>
        <w:ind w:left="360"/>
      </w:pPr>
      <w:r>
        <w:t xml:space="preserve">同样为纯重聚合，不需要 GPU。</w:t>
      </w:r>
    </w:p>
    <w:p>
      <w:r>
        <w:rPr>
          <w:b/>
        </w:rPr>
        <w:t xml:space="preserve">(1) 测试集日期核实 —— 直接回答"是否覆盖 COVID 2020–2021"</w:t>
      </w:r>
    </w:p>
    <w:p>
      <w:r>
        <w:t xml:space="preserve">脚本输出的原始测试集区间为：</w:t>
      </w:r>
    </w:p>
    <w:p>
      <w:pPr>
        <w:shd w:val="clear" w:color="auto" w:fill="F2F2F2"/>
        <w:ind w:left="360"/>
      </w:pPr>
      <w:r>
        <w:rPr>
          <w:rFonts w:ascii="Consolas" w:hAnsi="Consolas"/>
        </w:rPr>
        <w:t xml:space="preserve">[L=24] RAW TEST SPLIT : 2018-01-28 -&gt; 2021-12-26  (rows=4368)</w:t>
      </w:r>
    </w:p>
    <w:p>
      <w:pPr>
        <w:shd w:val="clear" w:color="auto" w:fill="F2F2F2"/>
        <w:ind w:left="360"/>
      </w:pPr>
      <w:r>
        <w:rPr>
          <w:rFonts w:ascii="Consolas" w:hAnsi="Consolas"/>
        </w:rPr>
        <w:t xml:space="preserve">[L=36] RAW TEST SPLIT : 2018-01-28 -&gt; 2021-12-26  (rows=6120)</w:t>
      </w:r>
    </w:p>
    <w:p>
      <w:pPr>
        <w:shd w:val="clear" w:color="auto" w:fill="F2F2F2"/>
        <w:ind w:left="360"/>
      </w:pPr>
      <w:r>
        <w:rPr>
          <w:rFonts w:ascii="Consolas" w:hAnsi="Consolas"/>
        </w:rPr>
        <w:t xml:space="preserve">[L=48] RAW TEST SPLIT : 2018-01-28 -&gt; 2021-12-26  (rows=7584)</w:t>
      </w:r>
    </w:p>
    <w:p>
      <w:pPr>
        <w:shd w:val="clear" w:color="auto" w:fill="F2F2F2"/>
        <w:ind w:left="360"/>
      </w:pPr>
      <w:r>
        <w:rPr>
          <w:rFonts w:ascii="Consolas" w:hAnsi="Consolas"/>
        </w:rPr>
        <w:t xml:space="preserve">[L=60] RAW TEST SPLIT : 2018-01-28 -&gt; 2021-12-26  (rows=8760)</w:t>
      </w:r>
    </w:p>
    <w:p>
      <w:r>
        <w:rPr>
          <w:b/>
        </w:rPr>
        <w:t xml:space="preserve">结论：测试集为 2018-01-28 至 2021-12-26，确认完全覆盖 2020–2021 COVID 异常期。</w:t>
      </w:r>
      <w:r>
        <w:t xml:space="preserve"> 报告中"测试集天然包含 COVID 期"的推断得到代码层面的直接确认。</w:t>
      </w:r>
    </w:p>
    <w:p>
      <w:r>
        <w:rPr>
          <w:b/>
        </w:rPr>
        <w:t xml:space="preserve">(2) 正常年份 vs COVID 期对齐交叉验证</w:t>
      </w:r>
    </w:p>
    <w:p>
      <w:r>
        <w:t xml:space="preserve">按 2020-01-01 为界切分（pre-COVID 段 = 2018–2019 两个正常流感季），对比两段的对齐质量：</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1560"/>
        <w:gridCol w:w="1560"/>
        <w:gridCol w:w="1560"/>
        <w:gridCol w:w="1560"/>
        <w:gridCol w:w="1560"/>
        <w:gridCol w:w="1560"/>
      </w:tblGrid>
      <w:tr>
        <w:trPr>
          <w:tblHeader/>
        </w:trPr>
        <w:tc>
          <w:tcPr>
            <w:tcW w:w="1560" w:type="dxa"/>
            <w:shd w:val="clear" w:color="auto" w:fill="E8EEF7"/>
          </w:tcPr>
          <w:p>
            <w:r>
              <w:t xml:space="preserve">L</w:t>
            </w:r>
          </w:p>
        </w:tc>
        <w:tc>
          <w:tcPr>
            <w:tcW w:w="1560" w:type="dxa"/>
            <w:shd w:val="clear" w:color="auto" w:fill="E8EEF7"/>
          </w:tcPr>
          <w:p>
            <w:r>
              <w:t xml:space="preserve">pre-COVID 皮尔逊 r</w:t>
            </w:r>
          </w:p>
        </w:tc>
        <w:tc>
          <w:tcPr>
            <w:tcW w:w="1560" w:type="dxa"/>
            <w:shd w:val="clear" w:color="auto" w:fill="E8EEF7"/>
          </w:tcPr>
          <w:p>
            <w:r>
              <w:t xml:space="preserve">pre-COVID MAE（人）</w:t>
            </w:r>
          </w:p>
        </w:tc>
        <w:tc>
          <w:tcPr>
            <w:tcW w:w="1560" w:type="dxa"/>
            <w:shd w:val="clear" w:color="auto" w:fill="E8EEF7"/>
          </w:tcPr>
          <w:p>
            <w:r>
              <w:t xml:space="preserve">COVID 期 r</w:t>
            </w:r>
          </w:p>
        </w:tc>
        <w:tc>
          <w:tcPr>
            <w:tcW w:w="1560" w:type="dxa"/>
            <w:shd w:val="clear" w:color="auto" w:fill="E8EEF7"/>
          </w:tcPr>
          <w:p>
            <w:r>
              <w:t xml:space="preserve">COVID 期 MAE（人）</w:t>
            </w:r>
          </w:p>
        </w:tc>
        <w:tc>
          <w:tcPr>
            <w:tcW w:w="1560" w:type="dxa"/>
            <w:shd w:val="clear" w:color="auto" w:fill="E8EEF7"/>
          </w:tcPr>
          <w:p>
            <w:r>
              <w:t xml:space="preserve">pre-COVID 峰值周偏差</w:t>
            </w:r>
          </w:p>
        </w:tc>
      </w:tr>
      <w:tr>
        <w:tc>
          <w:tcPr>
            <w:tcW w:w="1560" w:type="dxa"/>
          </w:tcPr>
          <w:p>
            <w:r>
              <w:t xml:space="preserve">24</w:t>
            </w:r>
          </w:p>
        </w:tc>
        <w:tc>
          <w:tcPr>
            <w:tcW w:w="1560" w:type="dxa"/>
          </w:tcPr>
          <w:p>
            <w:r>
              <w:rPr>
                <w:b/>
              </w:rPr>
              <w:t xml:space="preserve">+0.944</w:t>
            </w:r>
          </w:p>
        </w:tc>
        <w:tc>
          <w:tcPr>
            <w:tcW w:w="1560" w:type="dxa"/>
          </w:tcPr>
          <w:p>
            <w:r>
              <w:t xml:space="preserve">6,470</w:t>
            </w:r>
          </w:p>
        </w:tc>
        <w:tc>
          <w:tcPr>
            <w:tcW w:w="1560" w:type="dxa"/>
          </w:tcPr>
          <w:p>
            <w:r>
              <w:t xml:space="preserve">+0.656</w:t>
            </w:r>
          </w:p>
        </w:tc>
        <w:tc>
          <w:tcPr>
            <w:tcW w:w="1560" w:type="dxa"/>
          </w:tcPr>
          <w:p>
            <w:r>
              <w:t xml:space="preserve">14,188</w:t>
            </w:r>
          </w:p>
        </w:tc>
        <w:tc>
          <w:tcPr>
            <w:tcW w:w="1560" w:type="dxa"/>
          </w:tcPr>
          <w:p>
            <w:r>
              <w:t xml:space="preserve">1 周</w:t>
            </w:r>
          </w:p>
        </w:tc>
      </w:tr>
      <w:tr>
        <w:tc>
          <w:tcPr>
            <w:tcW w:w="1560" w:type="dxa"/>
          </w:tcPr>
          <w:p>
            <w:r>
              <w:t xml:space="preserve">36</w:t>
            </w:r>
          </w:p>
        </w:tc>
        <w:tc>
          <w:tcPr>
            <w:tcW w:w="1560" w:type="dxa"/>
          </w:tcPr>
          <w:p>
            <w:r>
              <w:rPr>
                <w:b/>
              </w:rPr>
              <w:t xml:space="preserve">+0.925</w:t>
            </w:r>
          </w:p>
        </w:tc>
        <w:tc>
          <w:tcPr>
            <w:tcW w:w="1560" w:type="dxa"/>
          </w:tcPr>
          <w:p>
            <w:r>
              <w:t xml:space="preserve">5,067</w:t>
            </w:r>
          </w:p>
        </w:tc>
        <w:tc>
          <w:tcPr>
            <w:tcW w:w="1560" w:type="dxa"/>
          </w:tcPr>
          <w:p>
            <w:r>
              <w:t xml:space="preserve">+0.691</w:t>
            </w:r>
          </w:p>
        </w:tc>
        <w:tc>
          <w:tcPr>
            <w:tcW w:w="1560" w:type="dxa"/>
          </w:tcPr>
          <w:p>
            <w:r>
              <w:t xml:space="preserve">16,904</w:t>
            </w:r>
          </w:p>
        </w:tc>
        <w:tc>
          <w:tcPr>
            <w:tcW w:w="1560" w:type="dxa"/>
          </w:tcPr>
          <w:p>
            <w:r>
              <w:t xml:space="preserve">1 周</w:t>
            </w:r>
          </w:p>
        </w:tc>
      </w:tr>
      <w:tr>
        <w:tc>
          <w:tcPr>
            <w:tcW w:w="1560" w:type="dxa"/>
          </w:tcPr>
          <w:p>
            <w:r>
              <w:t xml:space="preserve">48</w:t>
            </w:r>
          </w:p>
        </w:tc>
        <w:tc>
          <w:tcPr>
            <w:tcW w:w="1560" w:type="dxa"/>
          </w:tcPr>
          <w:p>
            <w:r>
              <w:rPr>
                <w:b/>
              </w:rPr>
              <w:t xml:space="preserve">+0.886</w:t>
            </w:r>
          </w:p>
        </w:tc>
        <w:tc>
          <w:tcPr>
            <w:tcW w:w="1560" w:type="dxa"/>
          </w:tcPr>
          <w:p>
            <w:r>
              <w:t xml:space="preserve">6,620</w:t>
            </w:r>
          </w:p>
        </w:tc>
        <w:tc>
          <w:tcPr>
            <w:tcW w:w="1560" w:type="dxa"/>
          </w:tcPr>
          <w:p>
            <w:r>
              <w:t xml:space="preserve">+0.676</w:t>
            </w:r>
          </w:p>
        </w:tc>
        <w:tc>
          <w:tcPr>
            <w:tcW w:w="1560" w:type="dxa"/>
          </w:tcPr>
          <w:p>
            <w:r>
              <w:t xml:space="preserve">18,572</w:t>
            </w:r>
          </w:p>
        </w:tc>
        <w:tc>
          <w:tcPr>
            <w:tcW w:w="1560" w:type="dxa"/>
          </w:tcPr>
          <w:p>
            <w:r>
              <w:t xml:space="preserve">1 周</w:t>
            </w:r>
          </w:p>
        </w:tc>
      </w:tr>
      <w:tr>
        <w:tc>
          <w:tcPr>
            <w:tcW w:w="1560" w:type="dxa"/>
          </w:tcPr>
          <w:p>
            <w:r>
              <w:t xml:space="preserve">60</w:t>
            </w:r>
          </w:p>
        </w:tc>
        <w:tc>
          <w:tcPr>
            <w:tcW w:w="1560" w:type="dxa"/>
          </w:tcPr>
          <w:p>
            <w:r>
              <w:t xml:space="preserve">+0.885</w:t>
            </w:r>
          </w:p>
        </w:tc>
        <w:tc>
          <w:tcPr>
            <w:tcW w:w="1560" w:type="dxa"/>
          </w:tcPr>
          <w:p>
            <w:r>
              <w:t xml:space="preserve">9,354</w:t>
            </w:r>
          </w:p>
        </w:tc>
        <w:tc>
          <w:tcPr>
            <w:tcW w:w="1560" w:type="dxa"/>
          </w:tcPr>
          <w:p>
            <w:r>
              <w:t xml:space="preserve">+0.956*</w:t>
            </w:r>
          </w:p>
        </w:tc>
        <w:tc>
          <w:tcPr>
            <w:tcW w:w="1560" w:type="dxa"/>
          </w:tcPr>
          <w:p>
            <w:r>
              <w:t xml:space="preserve">7,366</w:t>
            </w:r>
          </w:p>
        </w:tc>
        <w:tc>
          <w:tcPr>
            <w:tcW w:w="1560" w:type="dxa"/>
          </w:tcPr>
          <w:p>
            <w:r>
              <w:t xml:space="preserve">1 周</w:t>
            </w:r>
          </w:p>
        </w:tc>
      </w:tr>
    </w:tbl>
    <w:p/>
    <w:p>
      <w:r>
        <w:t xml:space="preserve">注：L=60 的 COVID 段仅 45 周、止于 2020-11-08，</w:t>
      </w:r>
      <w:r>
        <w:rPr>
          <w:b/>
        </w:rPr>
        <w:t xml:space="preserve">未覆盖真正的 ILI 崩塌期</w:t>
      </w:r>
      <w:r>
        <w:t xml:space="preserve">（与问题一的覆盖范围发现一致），故其高 r 不可与其余三行同等解读。</w:t>
      </w:r>
    </w:p>
    <w:p>
      <w:r>
        <w:drawing>
          <wp:inline distT="0" distB="0" distL="0" distR="0">
            <wp:extent cx="5943600" cy="2517289"/>
            <wp:effectExtent l="0" t="0" r="0" b="0"/>
            <wp:docPr id="5" name="Picture 5" descr="Q2 对齐交叉验证：正常年份 vs COVID 期"/>
            <a:graphic xmlns:a="http://schemas.openxmlformats.org/drawingml/2006/main">
              <a:graphicData uri="http://schemas.openxmlformats.org/drawingml/2006/picture">
                <pic:pic xmlns:pic="http://schemas.openxmlformats.org/drawingml/2006/picture">
                  <pic:nvPicPr>
                    <pic:cNvPr id="5" name="Q2 对齐交叉验证：正常年份 vs COVID 期" descr="Q2 对齐交叉验证：正常年份 vs COVID 期"/>
                    <pic:cNvPicPr/>
                  </pic:nvPicPr>
                  <pic:blipFill>
                    <a:blip r:embed="rId13"/>
                    <a:stretch>
                      <a:fillRect/>
                    </a:stretch>
                  </pic:blipFill>
                  <pic:spPr>
                    <a:xfrm>
                      <a:off x="0" y="0"/>
                      <a:ext cx="5943600" cy="2517289"/>
                    </a:xfrm>
                    <a:prstGeom prst="rect">
                      <a:avLst/>
                    </a:prstGeom>
                  </pic:spPr>
                </pic:pic>
              </a:graphicData>
            </a:graphic>
          </wp:inline>
        </w:drawing>
      </w:r>
    </w:p>
    <w:p>
      <w:r>
        <w:rPr>
          <w:b/>
        </w:rPr>
        <w:t xml:space="preserve">判读：</w:t>
      </w:r>
    </w:p>
    <w:p>
      <w:pPr>
        <w:numPr>
          <w:ilvl w:val="0"/>
          <w:numId w:val="1"/>
        </w:numPr>
        <w:ind w:left="720" w:hanging="360"/>
      </w:pPr>
      <w:r>
        <w:t xml:space="preserve">在</w:t>
      </w:r>
      <w:r>
        <w:rPr>
          <w:b/>
        </w:rPr>
        <w:t xml:space="preserve">正常流感季（2018–2019）</w:t>
      </w:r>
      <w:r>
        <w:t xml:space="preserve">，四个 horizon 的皮尔逊相关系数均达 </w:t>
      </w:r>
      <w:r>
        <w:rPr>
          <w:b/>
        </w:rPr>
        <w:t xml:space="preserve">0.885–0.944</w:t>
      </w:r>
      <w:r>
        <w:t xml:space="preserve">，且</w:t>
      </w:r>
      <w:r>
        <w:rPr>
          <w:b/>
        </w:rPr>
        <w:t xml:space="preserve">峰值周定位偏差仅 1 周</w:t>
      </w:r>
      <w:r>
        <w:t xml:space="preserve">。这直接满足报告建议中的判据："若这些年份中红蓝两线吻合良好（无论幅度还是峰值周），说明整体 index 对齐、绘图逻辑没有问题"。</w:t>
      </w:r>
    </w:p>
    <w:p>
      <w:pPr>
        <w:numPr>
          <w:ilvl w:val="0"/>
          <w:numId w:val="1"/>
        </w:numPr>
        <w:ind w:left="720" w:hanging="360"/>
      </w:pPr>
      <w:r>
        <w:t xml:space="preserve">进入 </w:t>
      </w:r>
      <w:r>
        <w:rPr>
          <w:b/>
        </w:rPr>
        <w:t xml:space="preserve">COVID 期</w:t>
      </w:r>
      <w:r>
        <w:t xml:space="preserve">，L=24/36/48 的相关系数降至 </w:t>
      </w:r>
      <w:r>
        <w:rPr>
          <w:b/>
        </w:rPr>
        <w:t xml:space="preserve">0.656–0.691</w:t>
      </w:r>
      <w:r>
        <w:t xml:space="preserve">，MAE 上升约 </w:t>
      </w:r>
      <w:r>
        <w:rPr>
          <w:b/>
        </w:rPr>
        <w:t xml:space="preserve">2–3 倍</w:t>
      </w:r>
      <w:r>
        <w:t xml:space="preserve">。</w:t>
      </w:r>
    </w:p>
    <w:p>
      <w:pPr>
        <w:numPr>
          <w:ilvl w:val="0"/>
          <w:numId w:val="1"/>
        </w:numPr>
        <w:ind w:left="720" w:hanging="360"/>
      </w:pPr>
      <w:r>
        <w:t xml:space="preserve">因此，代码层面的独立核查结果</w:t>
      </w:r>
      <w:r>
        <w:rPr>
          <w:b/>
        </w:rPr>
        <w:t xml:space="preserve">支持"分布漂移"解释，而不支持"数组索引错位"解释</w:t>
      </w:r>
      <w:r>
        <w:t xml:space="preserve">——若为索引错位，正常年份同样会失配，但实测正常年份吻合良好。</w:t>
      </w:r>
    </w:p>
    <w:p>
      <w:pPr>
        <w:numPr>
          <w:ilvl w:val="0"/>
          <w:numId w:val="1"/>
        </w:numPr>
        <w:ind w:left="720" w:hanging="360"/>
      </w:pPr>
      <w:r>
        <w:t xml:space="preserve">该结论属于</w:t>
      </w:r>
      <w:r>
        <w:rPr>
          <w:b/>
        </w:rPr>
        <w:t xml:space="preserve">本次实验观测</w:t>
      </w:r>
      <w:r>
        <w:t xml:space="preserve">，而非文献引用。它与"frozen LLM 在分布漂移下依赖预训练季节性先验"的解释方向一致，但如【订正】所述，仍不应表述为"已被证实的幻觉现象"。</w:t>
      </w:r>
    </w:p>
    <w:p>
      <w:r>
        <w:rPr>
          <w:b/>
        </w:rPr>
        <w:t xml:space="preserve">(3) 保留异常的处理</w:t>
      </w:r>
      <w:r>
        <w:t xml:space="preserve">：已在 </w:t>
      </w:r>
      <w:r>
        <w:rPr>
          <w:rFonts w:ascii="Consolas" w:hAnsi="Consolas"/>
        </w:rPr>
        <w:t xml:space="preserve">make_submission_figures.make_continuous</w:t>
      </w:r>
      <w:r>
        <w:t xml:space="preserve"> 中保留 COVID 阴影与幻觉峰值标注（如 2021-02-07 pred=30,524 vs gt=14,108，约 2.2× 高估），未做删除或平滑，符合报告建议。</w:t>
      </w:r>
    </w:p>
    <w:p>
      <w:r>
        <w:drawing>
          <wp:inline distT="0" distB="0" distL="0" distR="0">
            <wp:extent cx="5943600" cy="3566160"/>
            <wp:effectExtent l="0" t="0" r="0" b="0"/>
            <wp:docPr id="6" name="Picture 6" descr="MIFlu 连续预测（L=24，含 COVID 幻觉峰标注）"/>
            <a:graphic xmlns:a="http://schemas.openxmlformats.org/drawingml/2006/main">
              <a:graphicData uri="http://schemas.openxmlformats.org/drawingml/2006/picture">
                <pic:pic xmlns:pic="http://schemas.openxmlformats.org/drawingml/2006/picture">
                  <pic:nvPicPr>
                    <pic:cNvPr id="6" name="MIFlu 连续预测（L=24，含 COVID 幻觉峰标注）" descr="MIFlu 连续预测（L=24，含 COVID 幻觉峰标注）"/>
                    <pic:cNvPicPr/>
                  </pic:nvPicPr>
                  <pic:blipFill>
                    <a:blip r:embed="rId14"/>
                    <a:stretch>
                      <a:fillRect/>
                    </a:stretch>
                  </pic:blipFill>
                  <pic:spPr>
                    <a:xfrm>
                      <a:off x="0" y="0"/>
                      <a:ext cx="5943600" cy="3566160"/>
                    </a:xfrm>
                    <a:prstGeom prst="rect">
                      <a:avLst/>
                    </a:prstGeom>
                  </pic:spPr>
                </pic:pic>
              </a:graphicData>
            </a:graphic>
          </wp:inline>
        </w:drawing>
      </w:r>
    </w:p>
    <w:p>
      <w:pPr>
        <w:pBdr>
          <w:bottom w:val="single" w:sz="6" w:space="1" w:color="BBBBBB"/>
        </w:pBdr>
      </w:pPr>
    </w:p>
    <w:p>
      <w:pPr>
        <w:pStyle w:val="Heading2"/>
      </w:pPr>
      <w:r>
        <w:t xml:space="preserve">问题三：Y轴单位错误与 Z-score 反标准化问题</w:t>
      </w:r>
    </w:p>
    <w:p>
      <w:pPr>
        <w:pStyle w:val="Heading3"/>
      </w:pPr>
      <w:r>
        <w:t xml:space="preserve">结论</w:t>
      </w:r>
    </w:p>
    <w:p>
      <w:pPr>
        <w:numPr>
          <w:ilvl w:val="0"/>
          <w:numId w:val="1"/>
        </w:numPr>
        <w:ind w:left="720" w:hanging="360"/>
      </w:pPr>
      <w:r>
        <w:t xml:space="preserve">在 MIFlu 论文的评估指标章节中，作者明确说明 Table V 报告的 MSE/MAE 是在"先用 StandardScaler 归一化"之后的 Z-score 空间中计算的，因此用同一套（训练集拟合的）StandardScaler 做 inverse_transform 来还原物理单位，方法论上与论文原文一致，是正确、可辩护的做法。</w:t>
      </w:r>
    </w:p>
    <w:p>
      <w:pPr>
        <w:numPr>
          <w:ilvl w:val="0"/>
          <w:numId w:val="1"/>
        </w:numPr>
        <w:ind w:left="720" w:hanging="360"/>
      </w:pPr>
      <w:r>
        <w:t xml:space="preserve">但需要注意论文中实际存在两套不同的"归一化"，容易混淆，建议在代码里明确区分并在方法说明中写清楚用的是哪一套。</w:t>
      </w:r>
    </w:p>
    <w:p>
      <w:pPr>
        <w:pStyle w:val="Heading3"/>
      </w:pPr>
      <w:r>
        <w:t xml:space="preserve">论文原文依据</w:t>
      </w:r>
    </w:p>
    <w:p>
      <w:pPr>
        <w:pStyle w:val="Quote"/>
        <w:ind w:left="360"/>
      </w:pPr>
      <w:r>
        <w:t xml:space="preserve">"We first normalize each input variable to a normal distribution using StandardScaler. The mean square error (MSE) and mean absolute error (MAE) are then calculated using (3) and (4)." —— MIFlu 论文 Section V-B Evaluation Metrics</w:t>
      </w:r>
    </w:p>
    <w:p>
      <w:pPr>
        <w:pStyle w:val="Quote"/>
        <w:ind w:left="360"/>
      </w:pPr>
      <w:r>
        <w:t xml:space="preserve">"we impose reversible instance normalization [19] on each variable in Xinput by subtracting the mean Xinput from Xinput and dividing the result by the standard deviation of Xinput." —— MIFlu 论文 Section IV-B Time-Series Input Embedder</w:t>
      </w:r>
    </w:p>
    <w:p>
      <w:pPr>
        <w:pStyle w:val="Heading3"/>
      </w:pPr>
      <w:r>
        <w:t xml:space="preserve">两套归一化的区别（需要在代码中确认用的是哪一套）</w:t>
      </w:r>
    </w:p>
    <w:p>
      <w:pPr>
        <w:numPr>
          <w:ilvl w:val="0"/>
          <w:numId w:val="1"/>
        </w:numPr>
        <w:ind w:left="720" w:hanging="360"/>
      </w:pPr>
      <w:r>
        <w:rPr>
          <w:b/>
        </w:rPr>
        <w:t xml:space="preserve">第一套（评估用，全局 StandardScaler）</w:t>
      </w:r>
      <w:r>
        <w:t xml:space="preserve">：用于计算 Table V/VI 的 MSE/MAE 数值，通常在训练集上拟合一次全局的 mean/std，适用于"把 Z-space 的误差数字还原成物理单位"这个目的——你目前代码里 mean_=9368.3、scale_=8853.4、仅用 train[:717] 拟合、不使用测试集信息，这个做法是正确的，符合防止数据泄漏的基本原则。</w:t>
      </w:r>
    </w:p>
    <w:p>
      <w:pPr>
        <w:numPr>
          <w:ilvl w:val="0"/>
          <w:numId w:val="1"/>
        </w:numPr>
        <w:ind w:left="720" w:hanging="360"/>
      </w:pPr>
      <w:r>
        <w:rPr>
          <w:b/>
        </w:rPr>
        <w:t xml:space="preserve">第二套（模型内部用，RevIN 逐窗口归一化）</w:t>
      </w:r>
      <w:r>
        <w:t xml:space="preserve">：模型每次接收一个长度为T的输入窗口时，会用该窗口自己的均值/标准差做归一化，且是"可逆"的（reversible），推理时模型内部会自动把输出逆变换回该窗口自己的尺度——这是训练时真正驱动模型学习的归一化方式，和整体训练集的全局统计量并不是同一件事。</w:t>
      </w:r>
    </w:p>
    <w:p>
      <w:pPr>
        <w:numPr>
          <w:ilvl w:val="0"/>
          <w:numId w:val="1"/>
        </w:numPr>
        <w:ind w:left="720" w:hanging="360"/>
      </w:pPr>
      <w:r>
        <w:rPr>
          <w:b/>
        </w:rPr>
        <w:t xml:space="preserve">对画图/物理量核对而言</w:t>
      </w:r>
      <w:r>
        <w:t xml:space="preserve">：只要 ground truth 和 prediction 两条线自始至终使用同一套还原参数（都是全局 StandardScaler，或都是各自窗口的 RevIN 逆变换），结果都能正确对齐；最怕的情况是无意中把"全局 StandardScaler 还原的真值"和"RevIN 逐窗口还原的预测值"混在一起画同一张图，这样即使两者数值level接近，也可能存在系统性偏差。建议在代码里加一行注释明确写出"本图两条曲线均使用 train[:717] 拟合的全局 StandardScaler 还原"，避免歧义。</w:t>
      </w:r>
    </w:p>
    <w:p>
      <w:pPr>
        <w:pStyle w:val="Heading3"/>
      </w:pPr>
      <w:r>
        <w:t xml:space="preserve">建议的独立核查方法（比"两条线形状一致"更有说服力）</w:t>
      </w:r>
    </w:p>
    <w:p>
      <w:pPr>
        <w:numPr>
          <w:ilvl w:val="0"/>
          <w:numId w:val="1"/>
        </w:numPr>
        <w:ind w:left="720" w:hanging="360"/>
      </w:pPr>
      <w:r>
        <w:t xml:space="preserve">直接用训练集内部的已知真实值做 sanity check：任选训练集中若干个样本，做 inverse_transform 后，与 MIFlu 论文 Table II 报告的 National-Illness 数据集描述性统计（各变量的 Min/Max）做比对，确认还原后的数值范围落在合理区间（例如 ILITOTAL 应为几千到几万量级），这是用论文自己公开的统计量做交叉验证，比"肉眼看两条线形状一致"更可信、更可复现。</w:t>
      </w:r>
    </w:p>
    <w:p>
      <w:pPr>
        <w:pStyle w:val="Heading3"/>
      </w:pPr>
      <w:r>
        <w:t xml:space="preserve">代码验证结果（本次复现实验新增结果）</w:t>
      </w:r>
    </w:p>
    <w:p>
      <w:pPr>
        <w:pStyle w:val="Quote"/>
        <w:ind w:left="360"/>
      </w:pPr>
      <w:r>
        <w:rPr>
          <w:b/>
        </w:rPr>
        <w:t xml:space="preserve">来源标注：(b) 本次复现实验新增结果</w:t>
      </w:r>
      <w:r>
        <w:t xml:space="preserve">（含一处必须披露的限制，见下）</w:t>
      </w:r>
    </w:p>
    <w:p>
      <w:pPr>
        <w:pStyle w:val="Quote"/>
        <w:ind w:left="360"/>
      </w:pPr>
      <w:r>
        <w:t xml:space="preserve">生成脚本：</w:t>
      </w:r>
      <w:r>
        <w:rPr>
          <w:rFonts w:ascii="Consolas" w:hAnsi="Consolas"/>
        </w:rPr>
        <w:t xml:space="preserve">scripts/q3_scaler_sanity_check.py</w:t>
      </w:r>
      <w:r>
        <w:t xml:space="preserve">；产物：</w:t>
      </w:r>
      <w:r>
        <w:rPr>
          <w:rFonts w:ascii="Consolas" w:hAnsi="Consolas"/>
        </w:rPr>
        <w:t xml:space="preserve">results/ili/metrics/q3_scaler_sanity_check.csv</w:t>
      </w:r>
    </w:p>
    <w:p>
      <w:pPr>
        <w:pStyle w:val="Quote"/>
        <w:ind w:left="360"/>
      </w:pPr>
      <w:r>
        <w:t xml:space="preserve">代码改动：</w:t>
      </w:r>
      <w:r>
        <w:rPr>
          <w:rFonts w:ascii="Consolas" w:hAnsi="Consolas"/>
        </w:rPr>
        <w:t xml:space="preserve">scripts/make_submission_figures.py</w:t>
      </w:r>
      <w:r>
        <w:t xml:space="preserve">（新增反标准化来源标注注释）</w:t>
      </w:r>
    </w:p>
    <w:p>
      <w:r>
        <w:rPr>
          <w:b/>
        </w:rPr>
        <w:t xml:space="preserve">(1) 已按建议在代码中明确标注所用的归一化</w:t>
      </w:r>
    </w:p>
    <w:p>
      <w:r>
        <w:t xml:space="preserve">已在 </w:t>
      </w:r>
      <w:r>
        <w:rPr>
          <w:rFonts w:ascii="Consolas" w:hAnsi="Consolas"/>
        </w:rPr>
        <w:t xml:space="preserve">scripts/make_submission_figures.py</w:t>
      </w:r>
      <w:r>
        <w:t xml:space="preserve"> 的 </w:t>
      </w:r>
      <w:r>
        <w:rPr>
          <w:rFonts w:ascii="Consolas" w:hAnsi="Consolas"/>
        </w:rPr>
        <w:t xml:space="preserve">make_continuous()</w:t>
      </w:r>
      <w:r>
        <w:t xml:space="preserve"> 前加入显式注释，明确写出：</w:t>
      </w:r>
    </w:p>
    <w:p>
      <w:pPr>
        <w:numPr>
          <w:ilvl w:val="0"/>
          <w:numId w:val="1"/>
        </w:numPr>
        <w:ind w:left="720" w:hanging="360"/>
      </w:pPr>
      <w:r>
        <w:t xml:space="preserve">图中</w:t>
      </w:r>
      <w:r>
        <w:rPr>
          <w:b/>
        </w:rPr>
        <w:t xml:space="preserve">两条曲线（真值与预测）均使用同一套还原参数</w:t>
      </w:r>
      <w:r>
        <w:t xml:space="preserve">——即在 </w:t>
      </w:r>
      <w:r>
        <w:rPr>
          <w:rFonts w:ascii="Consolas" w:hAnsi="Consolas"/>
        </w:rPr>
        <w:t xml:space="preserve">train[:717]</w:t>
      </w:r>
      <w:r>
        <w:t xml:space="preserve"> 上拟合的</w:t>
      </w:r>
      <w:r>
        <w:rPr>
          <w:b/>
        </w:rPr>
        <w:t xml:space="preserve">全局 StandardScaler</w:t>
      </w:r>
      <w:r>
        <w:t xml:space="preserve">（ILITOTAL mean = 9368.29，scale = 8853.43，持久化于 </w:t>
      </w:r>
      <w:r>
        <w:rPr>
          <w:rFonts w:ascii="Consolas" w:hAnsi="Consolas"/>
        </w:rPr>
        <w:t xml:space="preserve">data/scaler_miflu_national.json</w:t>
      </w:r>
      <w:r>
        <w:t xml:space="preserve">）；</w:t>
      </w:r>
    </w:p>
    <w:p>
      <w:pPr>
        <w:numPr>
          <w:ilvl w:val="0"/>
          <w:numId w:val="1"/>
        </w:numPr>
        <w:ind w:left="720" w:hanging="360"/>
      </w:pPr>
      <w:r>
        <w:t xml:space="preserve">这</w:t>
      </w:r>
      <w:r>
        <w:rPr>
          <w:b/>
        </w:rPr>
        <w:t xml:space="preserve">不是</w:t>
      </w:r>
      <w:r>
        <w:t xml:space="preserve">模型内部的 RevIN 逐窗口归一化（RevIN 在模型内部、取 loss 之前即已被撤销）；</w:t>
      </w:r>
    </w:p>
    <w:p>
      <w:pPr>
        <w:numPr>
          <w:ilvl w:val="0"/>
          <w:numId w:val="1"/>
        </w:numPr>
        <w:ind w:left="720" w:hanging="360"/>
      </w:pPr>
      <w:r>
        <w:t xml:space="preserve">混用两套还原参数（例如用 RevIN 逆变换的预测值去对比全局 scaler 还原的真值）正是导师所警示的失效模式，而在此处</w:t>
      </w:r>
      <w:r>
        <w:rPr>
          <w:b/>
        </w:rPr>
        <w:t xml:space="preserve">不可能发生</w:t>
      </w:r>
      <w:r>
        <w:t xml:space="preserve">，因为两列均来自 </w:t>
      </w:r>
      <w:r>
        <w:rPr>
          <w:rFonts w:ascii="Consolas" w:hAnsi="Consolas"/>
        </w:rPr>
        <w:t xml:space="preserve">train_ablation.export_prediction_csv</w:t>
      </w:r>
      <w:r>
        <w:t xml:space="preserve"> 的同一次双轨导出。</w:t>
      </w:r>
    </w:p>
    <w:p>
      <w:r>
        <w:rPr>
          <w:b/>
        </w:rPr>
        <w:t xml:space="preserve">(2) 反标准化 sanity check 实测结果</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4680"/>
        <w:gridCol w:w="4680"/>
      </w:tblGrid>
      <w:tr>
        <w:trPr>
          <w:tblHeader/>
        </w:trPr>
        <w:tc>
          <w:tcPr>
            <w:tcW w:w="4680" w:type="dxa"/>
            <w:shd w:val="clear" w:color="auto" w:fill="E8EEF7"/>
          </w:tcPr>
          <w:p>
            <w:r>
              <w:t xml:space="preserve">项目</w:t>
            </w:r>
          </w:p>
        </w:tc>
        <w:tc>
          <w:tcPr>
            <w:tcW w:w="4680" w:type="dxa"/>
            <w:shd w:val="clear" w:color="auto" w:fill="E8EEF7"/>
          </w:tcPr>
          <w:p>
            <w:r>
              <w:t xml:space="preserve">数值</w:t>
            </w:r>
          </w:p>
        </w:tc>
      </w:tr>
      <w:tr>
        <w:tc>
          <w:tcPr>
            <w:tcW w:w="4680" w:type="dxa"/>
          </w:tcPr>
          <w:p>
            <w:r>
              <w:t xml:space="preserve">全局 StandardScaler（ILITOTAL）</w:t>
            </w:r>
          </w:p>
        </w:tc>
        <w:tc>
          <w:tcPr>
            <w:tcW w:w="4680" w:type="dxa"/>
          </w:tcPr>
          <w:p>
            <w:r>
              <w:t xml:space="preserve">mean = 9368.29，scale = 8853.43，train_end = 717</w:t>
            </w:r>
          </w:p>
        </w:tc>
      </w:tr>
      <w:tr>
        <w:tc>
          <w:tcPr>
            <w:tcW w:w="4680" w:type="dxa"/>
          </w:tcPr>
          <w:p>
            <w:r>
              <w:t xml:space="preserve">往返误差 max |physical − inverse_z(physical)|</w:t>
            </w:r>
          </w:p>
        </w:tc>
        <w:tc>
          <w:tcPr>
            <w:tcW w:w="4680" w:type="dxa"/>
          </w:tcPr>
          <w:p>
            <w:r>
              <w:rPr>
                <w:b/>
              </w:rPr>
              <w:t xml:space="preserve">3.64e-12（OK，精确可逆）</w:t>
            </w:r>
          </w:p>
        </w:tc>
      </w:tr>
      <w:tr>
        <w:tc>
          <w:tcPr>
            <w:tcW w:w="4680" w:type="dxa"/>
          </w:tcPr>
          <w:p>
            <w:r>
              <w:t xml:space="preserve">ILITOTAL 物理值域 — train</w:t>
            </w:r>
          </w:p>
        </w:tc>
        <w:tc>
          <w:tcPr>
            <w:tcW w:w="4680" w:type="dxa"/>
          </w:tcPr>
          <w:p>
            <w:r>
              <w:t xml:space="preserve">min 318，max 69,068，mean 9,368</w:t>
            </w:r>
          </w:p>
        </w:tc>
      </w:tr>
      <w:tr>
        <w:tc>
          <w:tcPr>
            <w:tcW w:w="4680" w:type="dxa"/>
          </w:tcPr>
          <w:p>
            <w:r>
              <w:t xml:space="preserve">ILITOTAL 物理值域 — val</w:t>
            </w:r>
          </w:p>
        </w:tc>
        <w:tc>
          <w:tcPr>
            <w:tcW w:w="4680" w:type="dxa"/>
          </w:tcPr>
          <w:p>
            <w:r>
              <w:t xml:space="preserve">min 4,596，max 63,036</w:t>
            </w:r>
          </w:p>
        </w:tc>
      </w:tr>
      <w:tr>
        <w:tc>
          <w:tcPr>
            <w:tcW w:w="4680" w:type="dxa"/>
          </w:tcPr>
          <w:p>
            <w:r>
              <w:t xml:space="preserve">ILITOTAL 物理值域 — test</w:t>
            </w:r>
          </w:p>
        </w:tc>
        <w:tc>
          <w:tcPr>
            <w:tcW w:w="4680" w:type="dxa"/>
          </w:tcPr>
          <w:p>
            <w:r>
              <w:t xml:space="preserve">min 5,497，max 113,921</w:t>
            </w:r>
          </w:p>
        </w:tc>
      </w:tr>
      <w:tr>
        <w:tc>
          <w:tcPr>
            <w:tcW w:w="4680" w:type="dxa"/>
          </w:tcPr>
          <w:p>
            <w:r>
              <w:t xml:space="preserve">测试集预测反变换后值域</w:t>
            </w:r>
          </w:p>
        </w:tc>
        <w:tc>
          <w:tcPr>
            <w:tcW w:w="4680" w:type="dxa"/>
          </w:tcPr>
          <w:p>
            <w:r>
              <w:t xml:space="preserve">min 5,497，max 113,921</w:t>
            </w:r>
          </w:p>
        </w:tc>
      </w:tr>
    </w:tbl>
    <w:p/>
    <w:p>
      <w:r>
        <w:rPr>
          <w:b/>
        </w:rPr>
        <w:t xml:space="preserve">"几千到几万量级"的定性判断得到确认</w:t>
      </w:r>
      <w:r>
        <w:t xml:space="preserve">：测试集反变换后的 ILITOTAL 落在 5,497–113,921 区间，与论文对该变量量级的描述一致；且往返逆变换误差为 1e-12 量级，说明 inverse_transform 实现本身无系统性偏差。</w:t>
      </w:r>
    </w:p>
    <w:p>
      <w:r>
        <w:rPr>
          <w:b/>
        </w:rPr>
        <w:t xml:space="preserve">(3) 一项新发现（非 bug，须披露）</w:t>
      </w:r>
    </w:p>
    <w:p>
      <w:r>
        <w:t xml:space="preserve">测试集 ILITOTAL 的</w:t>
      </w:r>
      <w:r>
        <w:rPr>
          <w:b/>
        </w:rPr>
        <w:t xml:space="preserve">最大值（113,921）是训练集最大值（69,068）的 1.65 倍</w:t>
      </w:r>
      <w:r>
        <w:t xml:space="preserve">。这不是 scaler 错误，而是意味着</w:t>
      </w:r>
      <w:r>
        <w:rPr>
          <w:b/>
        </w:rPr>
        <w:t xml:space="preserve">测试集包含训练期从未出现过的更高 ILI 峰值</w:t>
      </w:r>
      <w:r>
        <w:t xml:space="preserve">（2019–20 重流感季），模型必须在其归一化范围之外</w:t>
      </w:r>
      <w:r>
        <w:rPr>
          <w:b/>
        </w:rPr>
        <w:t xml:space="preserve">外推</w:t>
      </w:r>
      <w:r>
        <w:t xml:space="preserve">。这一点本身即是 COVID 期失效的一个促成因素，建议在论文"局限性"部分提及。</w:t>
      </w:r>
    </w:p>
    <w:p>
      <w:r>
        <w:rPr>
          <w:b/>
        </w:rPr>
        <w:t xml:space="preserve">(4) ⚠️ 必须披露的限制：未能与论文 Table II 原始数据逐格比对</w:t>
      </w:r>
    </w:p>
    <w:p>
      <w:r>
        <w:t xml:space="preserve">报告建议与 MIFlu 论文 Table II 的 Min/Max 逐格比对。经核查，</w:t>
      </w:r>
      <w:r>
        <w:rPr>
          <w:b/>
        </w:rPr>
        <w:t xml:space="preserve">该精确数值在本地代码库中不可用</w:t>
      </w:r>
      <w:r>
        <w:t xml:space="preserve">：仓库内的论文副本 </w:t>
      </w:r>
      <w:r>
        <w:rPr>
          <w:rFonts w:ascii="Consolas" w:hAnsi="Consolas"/>
        </w:rPr>
        <w:t xml:space="preserve">MIFlu_paper.md</w:t>
      </w:r>
      <w:r>
        <w:t xml:space="preserve">（§V-A）明确记载——</w:t>
      </w:r>
    </w:p>
    <w:p>
      <w:pPr>
        <w:pStyle w:val="Quote"/>
        <w:ind w:left="360"/>
      </w:pPr>
      <w:r>
        <w:t xml:space="preserve">"Exact numeric cell values are not machine-extractable from the source PDF table image; see Fig. 2(a) boxen plot below for the visual distribution of each of the seven variables."</w:t>
      </w:r>
    </w:p>
    <w:p>
      <w:r>
        <w:t xml:space="preserve">即 Table II 在原始 PDF 中是</w:t>
      </w:r>
      <w:r>
        <w:rPr>
          <w:b/>
        </w:rPr>
        <w:t xml:space="preserve">扫描表格图片</w:t>
      </w:r>
      <w:r>
        <w:t xml:space="preserve">，无法机器提取。</w:t>
      </w:r>
      <w:r>
        <w:rPr>
          <w:b/>
        </w:rPr>
        <w:t xml:space="preserve">为避免编造论文数字，本次未做逐格比对</w:t>
      </w:r>
      <w:r>
        <w:t xml:space="preserve">，而是改用</w:t>
      </w:r>
      <w:r>
        <w:rPr>
          <w:b/>
        </w:rPr>
        <w:t xml:space="preserve">同一份 National-Illness 原始数据集的实测描述统计</w:t>
      </w:r>
      <w:r>
        <w:t xml:space="preserve">作为等价的独立交叉验证——二者描述的是同一批数据，若本地管线用错 scaler 或错轴，该检查足以暴露。若后续能取得 Table II 的精确数值，可再做逐格核对并补入。</w:t>
      </w:r>
    </w:p>
    <w:p>
      <w:r>
        <w:drawing>
          <wp:inline distT="0" distB="0" distL="0" distR="0">
            <wp:extent cx="5943600" cy="2103120"/>
            <wp:effectExtent l="0" t="0" r="0" b="0"/>
            <wp:docPr id="7" name="Picture 7" descr="Q3 反标准化验证"/>
            <a:graphic xmlns:a="http://schemas.openxmlformats.org/drawingml/2006/main">
              <a:graphicData uri="http://schemas.openxmlformats.org/drawingml/2006/picture">
                <pic:pic xmlns:pic="http://schemas.openxmlformats.org/drawingml/2006/picture">
                  <pic:nvPicPr>
                    <pic:cNvPr id="7" name="Q3 反标准化验证" descr="Q3 反标准化验证"/>
                    <pic:cNvPicPr/>
                  </pic:nvPicPr>
                  <pic:blipFill>
                    <a:blip r:embed="rId15"/>
                    <a:stretch>
                      <a:fillRect/>
                    </a:stretch>
                  </pic:blipFill>
                  <pic:spPr>
                    <a:xfrm>
                      <a:off x="0" y="0"/>
                      <a:ext cx="5943600" cy="2103120"/>
                    </a:xfrm>
                    <a:prstGeom prst="rect">
                      <a:avLst/>
                    </a:prstGeom>
                  </pic:spPr>
                </pic:pic>
              </a:graphicData>
            </a:graphic>
          </wp:inline>
        </w:drawing>
      </w:r>
    </w:p>
    <w:p>
      <w:pPr>
        <w:pBdr>
          <w:bottom w:val="single" w:sz="6" w:space="1" w:color="BBBBBB"/>
        </w:pBdr>
      </w:pPr>
    </w:p>
    <w:p>
      <w:pPr>
        <w:pStyle w:val="Heading2"/>
      </w:pPr>
      <w:r>
        <w:t xml:space="preserve">问题四：缺失的"训练配方"与超参数调优</w:t>
      </w:r>
    </w:p>
    <w:p>
      <w:pPr>
        <w:pStyle w:val="Heading3"/>
      </w:pPr>
      <w:r>
        <w:t xml:space="preserve">结论</w:t>
      </w:r>
    </w:p>
    <w:p>
      <w:pPr>
        <w:numPr>
          <w:ilvl w:val="0"/>
          <w:numId w:val="1"/>
        </w:numPr>
        <w:ind w:left="720" w:hanging="360"/>
      </w:pPr>
      <w:r>
        <w:t xml:space="preserve">论文确实未披露完整训练细节，这是真实存在的复现缺口（reproducibility gap），不是无中生有的问题。</w:t>
      </w:r>
    </w:p>
    <w:p>
      <w:pPr>
        <w:numPr>
          <w:ilvl w:val="0"/>
          <w:numId w:val="1"/>
        </w:numPr>
        <w:ind w:left="720" w:hanging="360"/>
      </w:pPr>
      <w:r>
        <w:t xml:space="preserve">用网格搜索/系统性对比多组训练配方（optimizer、loss、scheduler、梯度裁剪等）来逼近论文报告的数字，是标准、合理的复现方法论，不需要额外论文来"批准"这种做法本身；但需要把"逼近论文数字"和"找到全局最优超参"这两件事说清楚，避免结论被过度解读。</w:t>
      </w:r>
    </w:p>
    <w:p>
      <w:pPr>
        <w:pStyle w:val="Heading3"/>
      </w:pPr>
      <w:r>
        <w:t xml:space="preserve">论文原文中缺失细节的确认</w:t>
      </w:r>
    </w:p>
    <w:p>
      <w:pPr>
        <w:pStyle w:val="Quote"/>
        <w:ind w:left="360"/>
      </w:pPr>
      <w:r>
        <w:t xml:space="preserve">"We set the number of training epochs and the learning rate for MIFlu empirically because the hyperparameters vary depending on the base model." —— MIFlu 论文 Section V-C Experimental Details</w:t>
      </w:r>
    </w:p>
    <w:p>
      <w:pPr>
        <w:pStyle w:val="Quote"/>
        <w:ind w:left="360"/>
      </w:pPr>
      <w:r>
        <w:t xml:space="preserve">"We implement the proposed model using Python 3.9.18 with PyTorch 2.1.0 and a GeForce RTX 3090." —— 同上</w:t>
      </w:r>
    </w:p>
    <w:p>
      <w:r>
        <w:t xml:space="preserve">论文全文未提及：Adam/AdamW 的具体 β₁/β₂/ε、weight decay 数值、是否使用学习率调度器（及其类型）、是否做梯度裁剪（及阈值）、随机种子、损失函数的精确形式（虽然从上下文可合理推断为 MSE，但未显式声明）。这些正是可能导致数字级（digit-level）差异的关键变量，你的 Q4 前提是成立的。</w:t>
      </w:r>
    </w:p>
    <w:p>
      <w:pPr>
        <w:pStyle w:val="Heading3"/>
      </w:pPr>
      <w:r>
        <w:t xml:space="preserve">对系统性网格搜索方法的评价</w:t>
      </w:r>
    </w:p>
    <w:p>
      <w:pPr>
        <w:numPr>
          <w:ilvl w:val="0"/>
          <w:numId w:val="1"/>
        </w:numPr>
        <w:ind w:left="720" w:hanging="360"/>
      </w:pPr>
      <w:r>
        <w:t xml:space="preserve">四组配方（baseline Adam / AdamW+Cosine+WD / AdamW+Huber+梯度裁剪 / earlystop-only）覆盖了"优化器类型""权重衰减""学习率调度""损失函数鲁棒性""梯度裁剪"这几个最常见、最可能显著影响小样本时间序列微调效果的维度，是合理、有代表性的搜索空间设计。</w:t>
      </w:r>
    </w:p>
    <w:p>
      <w:pPr>
        <w:numPr>
          <w:ilvl w:val="0"/>
          <w:numId w:val="1"/>
        </w:numPr>
        <w:ind w:left="720" w:hanging="360"/>
      </w:pPr>
      <w:r>
        <w:t xml:space="preserve">固定 seed=42 并在四组配方间保持一致，是控制变量法的正确做法，能排除"纯随机波动导致的数字差异"这一混淆因素。</w:t>
      </w:r>
    </w:p>
    <w:p>
      <w:pPr>
        <w:pStyle w:val="Quote"/>
        <w:ind w:left="360"/>
      </w:pPr>
      <w:r>
        <w:rPr>
          <w:b/>
        </w:rPr>
        <w:t xml:space="preserve">【订正】</w:t>
      </w:r>
      <w:r>
        <w:t xml:space="preserve"> 结论"baseline (Adam, lr=5e-4, 无weight decay, 无scheduler, MSE loss, 无梯度裁剪) 因为最接近原论文数字，所以是最优配方"这一表述需要更精确的措辞。"逼近原论文报告的数字"与"该配方本质上是全局最优超参数"是两个不同的主张：前者是本次复现研究的合理目标（用于对比、验证复现的可信度），后者需要更多证据（如在独立验证集上的稳健性、跨随机种子的方差分析）才能成立。建议将结论改写为："在本次复现实验中，baseline 配方在与原论文数字的逼近程度上表现最好，说明原作者很可能使用了与此接近的训练配方"，而不是笼统地宣称这就是"最优训练配方"。</w:t>
      </w:r>
    </w:p>
    <w:p>
      <w:pPr>
        <w:pStyle w:val="Heading3"/>
      </w:pPr>
      <w:r>
        <w:t xml:space="preserve">建议的补充验证</w:t>
      </w:r>
    </w:p>
    <w:p>
      <w:pPr>
        <w:numPr>
          <w:ilvl w:val="0"/>
          <w:numId w:val="1"/>
        </w:numPr>
        <w:ind w:left="720" w:hanging="360"/>
      </w:pPr>
      <w:r>
        <w:t xml:space="preserve">若条件允许，建议对表现最好的 baseline 配方额外跑 3–5 个不同随机种子，报告 MSE/MAE 的均值±标准差，用来说明"3–5倍的差距主要来自超参数选择本身，而不是运气好压中了某个随机种子"，这样能进一步加固"baseline 配方最接近原论文"这一结论的说服力。</w:t>
      </w:r>
    </w:p>
    <w:p>
      <w:pPr>
        <w:pStyle w:val="Heading3"/>
      </w:pPr>
      <w:r>
        <w:t xml:space="preserve">代码验证结果（本次复现实验新增结果）</w:t>
      </w:r>
    </w:p>
    <w:p>
      <w:pPr>
        <w:pStyle w:val="Quote"/>
        <w:ind w:left="360"/>
      </w:pPr>
      <w:r>
        <w:rPr>
          <w:b/>
        </w:rPr>
        <w:t xml:space="preserve">来源标注：(b) 本次复现实验新增结果</w:t>
      </w:r>
    </w:p>
    <w:p>
      <w:pPr>
        <w:pStyle w:val="Quote"/>
        <w:ind w:left="360"/>
      </w:pPr>
      <w:r>
        <w:t xml:space="preserve">生成脚本：</w:t>
      </w:r>
      <w:r>
        <w:rPr>
          <w:rFonts w:ascii="Consolas" w:hAnsi="Consolas"/>
        </w:rPr>
        <w:t xml:space="preserve">scripts/q4_recipe_comparison.py</w:t>
      </w:r>
      <w:r>
        <w:t xml:space="preserve">；产物：</w:t>
      </w:r>
      <w:r>
        <w:rPr>
          <w:rFonts w:ascii="Consolas" w:hAnsi="Consolas"/>
        </w:rPr>
        <w:t xml:space="preserve">results/ili/metrics/q4_recipe_comparison.csv</w:t>
      </w:r>
    </w:p>
    <w:p>
      <w:pPr>
        <w:pStyle w:val="Quote"/>
        <w:ind w:left="360"/>
      </w:pPr>
      <w:r>
        <w:t xml:space="preserve">输入来源（HPC Burgundy）：</w:t>
      </w:r>
      <w:r>
        <w:rPr>
          <w:rFonts w:ascii="Consolas" w:hAnsi="Consolas"/>
        </w:rPr>
        <w:t xml:space="preserve">full_H24/reps_1_to_10/summary.csv</w:t>
      </w:r>
      <w:r>
        <w:t xml:space="preserve">、</w:t>
      </w:r>
      <w:r>
        <w:rPr>
          <w:rFonts w:ascii="Consolas" w:hAnsi="Consolas"/>
        </w:rPr>
        <w:t xml:space="preserve">full__adamw_cosine/...</w:t>
      </w:r>
      <w:r>
        <w:t xml:space="preserve">、</w:t>
      </w:r>
      <w:r>
        <w:rPr>
          <w:rFonts w:ascii="Consolas" w:hAnsi="Consolas"/>
        </w:rPr>
        <w:t xml:space="preserve">full__huber_clip/...</w:t>
      </w:r>
      <w:r>
        <w:t xml:space="preserve">、</w:t>
      </w:r>
      <w:r>
        <w:rPr>
          <w:rFonts w:ascii="Consolas" w:hAnsi="Consolas"/>
        </w:rPr>
        <w:t xml:space="preserve">full__earlystop/...</w:t>
      </w:r>
      <w:r>
        <w:t xml:space="preserve">（已镜像至 </w:t>
      </w:r>
      <w:r>
        <w:rPr>
          <w:rFonts w:ascii="Consolas" w:hAnsi="Consolas"/>
        </w:rPr>
        <w:t xml:space="preserve">results/ili/journal_evidence/recipe_summaries/</w:t>
      </w:r>
      <w:r>
        <w:t xml:space="preserve">）</w:t>
      </w:r>
    </w:p>
    <w:p>
      <w:r>
        <w:rPr>
          <w:b/>
        </w:rPr>
        <w:t xml:space="preserve">(1) 关于"额外跑 3–5 个随机种子"的处理决定</w:t>
      </w:r>
    </w:p>
    <w:p>
      <w:r>
        <w:t xml:space="preserve">经核查代码，</w:t>
      </w:r>
      <w:r>
        <w:rPr>
          <w:rFonts w:ascii="Consolas" w:hAnsi="Consolas"/>
        </w:rPr>
        <w:t xml:space="preserve">train_ablation.py</w:t>
      </w:r>
      <w:r>
        <w:t xml:space="preserve"> 中每次运行的种子为 </w:t>
      </w:r>
      <w:r>
        <w:rPr>
          <w:rFonts w:ascii="Consolas" w:hAnsi="Consolas"/>
        </w:rPr>
        <w:t xml:space="preserve">seed = args.seed + rep - 1</w:t>
      </w:r>
      <w:r>
        <w:t xml:space="preserve">，即 </w:t>
      </w:r>
      <w:r>
        <w:rPr>
          <w:b/>
        </w:rPr>
        <w:t xml:space="preserve">10 个 rep 本身就是种子 42–51</w:t>
      </w:r>
      <w:r>
        <w:t xml:space="preserve">。因此</w:t>
      </w:r>
      <w:r>
        <w:rPr>
          <w:b/>
        </w:rPr>
        <w:t xml:space="preserve">每一组配方已经有 10 个种子的均值±标准差</w:t>
      </w:r>
      <w:r>
        <w:t xml:space="preserve">，无需再消耗 GPU 时间重复跑种子；本次直接汇总现有 n=10 结果并进行显著性检验。</w:t>
      </w:r>
    </w:p>
    <w:p>
      <w:r>
        <w:rPr>
          <w:b/>
        </w:rPr>
        <w:t xml:space="preserve">(2) 同一口径（L=24，n_reps=10）的配方对比</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1872"/>
        <w:gridCol w:w="1872"/>
        <w:gridCol w:w="1872"/>
        <w:gridCol w:w="1872"/>
        <w:gridCol w:w="1872"/>
      </w:tblGrid>
      <w:tr>
        <w:trPr>
          <w:tblHeader/>
        </w:trPr>
        <w:tc>
          <w:tcPr>
            <w:tcW w:w="1872" w:type="dxa"/>
            <w:shd w:val="clear" w:color="auto" w:fill="E8EEF7"/>
          </w:tcPr>
          <w:p>
            <w:r>
              <w:t xml:space="preserve">配方</w:t>
            </w:r>
          </w:p>
        </w:tc>
        <w:tc>
          <w:tcPr>
            <w:tcW w:w="1872" w:type="dxa"/>
            <w:shd w:val="clear" w:color="auto" w:fill="E8EEF7"/>
          </w:tcPr>
          <w:p>
            <w:r>
              <w:t xml:space="preserve">MSE mean</w:t>
            </w:r>
          </w:p>
        </w:tc>
        <w:tc>
          <w:tcPr>
            <w:tcW w:w="1872" w:type="dxa"/>
            <w:shd w:val="clear" w:color="auto" w:fill="E8EEF7"/>
          </w:tcPr>
          <w:p>
            <w:r>
              <w:t xml:space="preserve">MSE std</w:t>
            </w:r>
          </w:p>
        </w:tc>
        <w:tc>
          <w:tcPr>
            <w:tcW w:w="1872" w:type="dxa"/>
            <w:shd w:val="clear" w:color="auto" w:fill="E8EEF7"/>
          </w:tcPr>
          <w:p>
            <w:r>
              <w:t xml:space="preserve">MAE mean</w:t>
            </w:r>
          </w:p>
        </w:tc>
        <w:tc>
          <w:tcPr>
            <w:tcW w:w="1872" w:type="dxa"/>
            <w:shd w:val="clear" w:color="auto" w:fill="E8EEF7"/>
          </w:tcPr>
          <w:p>
            <w:r>
              <w:t xml:space="preserve">MAE std</w:t>
            </w:r>
          </w:p>
        </w:tc>
      </w:tr>
      <w:tr>
        <w:tc>
          <w:tcPr>
            <w:tcW w:w="1872" w:type="dxa"/>
          </w:tcPr>
          <w:p>
            <w:r>
              <w:rPr>
                <w:b/>
              </w:rPr>
              <w:t xml:space="preserve">baseline（Adam, lr=5e-4）</w:t>
            </w:r>
          </w:p>
        </w:tc>
        <w:tc>
          <w:tcPr>
            <w:tcW w:w="1872" w:type="dxa"/>
          </w:tcPr>
          <w:p>
            <w:r>
              <w:rPr>
                <w:b/>
              </w:rPr>
              <w:t xml:space="preserve">2.5187</w:t>
            </w:r>
          </w:p>
        </w:tc>
        <w:tc>
          <w:tcPr>
            <w:tcW w:w="1872" w:type="dxa"/>
          </w:tcPr>
          <w:p>
            <w:r>
              <w:t xml:space="preserve">0.5073</w:t>
            </w:r>
          </w:p>
        </w:tc>
        <w:tc>
          <w:tcPr>
            <w:tcW w:w="1872" w:type="dxa"/>
          </w:tcPr>
          <w:p>
            <w:r>
              <w:t xml:space="preserve">1.0621</w:t>
            </w:r>
          </w:p>
        </w:tc>
        <w:tc>
          <w:tcPr>
            <w:tcW w:w="1872" w:type="dxa"/>
          </w:tcPr>
          <w:p>
            <w:r>
              <w:t xml:space="preserve">0.0543</w:t>
            </w:r>
          </w:p>
        </w:tc>
      </w:tr>
      <w:tr>
        <w:tc>
          <w:tcPr>
            <w:tcW w:w="1872" w:type="dxa"/>
          </w:tcPr>
          <w:p>
            <w:r>
              <w:t xml:space="preserve">adamw_cosine（+WD, cosine）</w:t>
            </w:r>
          </w:p>
        </w:tc>
        <w:tc>
          <w:tcPr>
            <w:tcW w:w="1872" w:type="dxa"/>
          </w:tcPr>
          <w:p>
            <w:r>
              <w:t xml:space="preserve">2.6642</w:t>
            </w:r>
          </w:p>
        </w:tc>
        <w:tc>
          <w:tcPr>
            <w:tcW w:w="1872" w:type="dxa"/>
          </w:tcPr>
          <w:p>
            <w:r>
              <w:t xml:space="preserve">0.5313</w:t>
            </w:r>
          </w:p>
        </w:tc>
        <w:tc>
          <w:tcPr>
            <w:tcW w:w="1872" w:type="dxa"/>
          </w:tcPr>
          <w:p>
            <w:r>
              <w:t xml:space="preserve">1.0670</w:t>
            </w:r>
          </w:p>
        </w:tc>
        <w:tc>
          <w:tcPr>
            <w:tcW w:w="1872" w:type="dxa"/>
          </w:tcPr>
          <w:p>
            <w:r>
              <w:t xml:space="preserve">0.0636</w:t>
            </w:r>
          </w:p>
        </w:tc>
      </w:tr>
      <w:tr>
        <w:tc>
          <w:tcPr>
            <w:tcW w:w="1872" w:type="dxa"/>
          </w:tcPr>
          <w:p>
            <w:r>
              <w:t xml:space="preserve">huber_clip（Huber+clip）</w:t>
            </w:r>
          </w:p>
        </w:tc>
        <w:tc>
          <w:tcPr>
            <w:tcW w:w="1872" w:type="dxa"/>
          </w:tcPr>
          <w:p>
            <w:r>
              <w:t xml:space="preserve">2.7505</w:t>
            </w:r>
          </w:p>
        </w:tc>
        <w:tc>
          <w:tcPr>
            <w:tcW w:w="1872" w:type="dxa"/>
          </w:tcPr>
          <w:p>
            <w:r>
              <w:t xml:space="preserve">0.3637</w:t>
            </w:r>
          </w:p>
        </w:tc>
        <w:tc>
          <w:tcPr>
            <w:tcW w:w="1872" w:type="dxa"/>
          </w:tcPr>
          <w:p>
            <w:r>
              <w:t xml:space="preserve">1.0711</w:t>
            </w:r>
          </w:p>
        </w:tc>
        <w:tc>
          <w:tcPr>
            <w:tcW w:w="1872" w:type="dxa"/>
          </w:tcPr>
          <w:p>
            <w:r>
              <w:t xml:space="preserve">0.0424</w:t>
            </w:r>
          </w:p>
        </w:tc>
      </w:tr>
      <w:tr>
        <w:tc>
          <w:tcPr>
            <w:tcW w:w="1872" w:type="dxa"/>
          </w:tcPr>
          <w:p>
            <w:r>
              <w:t xml:space="preserve">earlystop（peak-aware）</w:t>
            </w:r>
          </w:p>
        </w:tc>
        <w:tc>
          <w:tcPr>
            <w:tcW w:w="1872" w:type="dxa"/>
          </w:tcPr>
          <w:p>
            <w:r>
              <w:t xml:space="preserve">2.8799</w:t>
            </w:r>
          </w:p>
        </w:tc>
        <w:tc>
          <w:tcPr>
            <w:tcW w:w="1872" w:type="dxa"/>
          </w:tcPr>
          <w:p>
            <w:r>
              <w:t xml:space="preserve">0.3139</w:t>
            </w:r>
          </w:p>
        </w:tc>
        <w:tc>
          <w:tcPr>
            <w:tcW w:w="1872" w:type="dxa"/>
          </w:tcPr>
          <w:p>
            <w:r>
              <w:t xml:space="preserve">1.1018</w:t>
            </w:r>
          </w:p>
        </w:tc>
        <w:tc>
          <w:tcPr>
            <w:tcW w:w="1872" w:type="dxa"/>
          </w:tcPr>
          <w:p>
            <w:r>
              <w:t xml:space="preserve">0.0343</w:t>
            </w:r>
          </w:p>
        </w:tc>
      </w:tr>
    </w:tbl>
    <w:p/>
    <w:p>
      <w:pPr>
        <w:pStyle w:val="Quote"/>
        <w:ind w:left="360"/>
      </w:pPr>
      <w:r>
        <w:t xml:space="preserve">数据完整性说明：聚合目录 </w:t>
      </w:r>
      <w:r>
        <w:rPr>
          <w:rFonts w:ascii="Consolas" w:hAnsi="Consolas"/>
        </w:rPr>
        <w:t xml:space="preserve">full/reps_1_to_10/summary.csv</w:t>
      </w:r>
      <w:r>
        <w:t xml:space="preserve"> 只保留了最后写入的 L=60 一行，</w:t>
      </w:r>
      <w:r>
        <w:rPr>
          <w:b/>
        </w:rPr>
        <w:t xml:space="preserve">不可用于配方对比</w:t>
      </w:r>
      <w:r>
        <w:t xml:space="preserve">；正确数值取自各 per-horizon 目录（</w:t>
      </w:r>
      <w:r>
        <w:rPr>
          <w:rFonts w:ascii="Consolas" w:hAnsi="Consolas"/>
        </w:rPr>
        <w:t xml:space="preserve">full_H24</w:t>
      </w:r>
      <w:r>
        <w:t xml:space="preserve"> 等）。</w:t>
      </w:r>
    </w:p>
    <w:p>
      <w:r>
        <w:rPr>
          <w:b/>
        </w:rPr>
        <w:t xml:space="preserve">(3) 显著性检验（Welch t 检验，α = 0.05，对照 baseline）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1560"/>
        <w:gridCol w:w="1560"/>
        <w:gridCol w:w="1560"/>
        <w:gridCol w:w="1560"/>
        <w:gridCol w:w="1560"/>
        <w:gridCol w:w="1560"/>
      </w:tblGrid>
      <w:tr>
        <w:trPr>
          <w:tblHeader/>
        </w:trPr>
        <w:tc>
          <w:tcPr>
            <w:tcW w:w="1560" w:type="dxa"/>
            <w:shd w:val="clear" w:color="auto" w:fill="E8EEF7"/>
          </w:tcPr>
          <w:p>
            <w:r>
              <w:t xml:space="preserve">对比配方</w:t>
            </w:r>
          </w:p>
        </w:tc>
        <w:tc>
          <w:tcPr>
            <w:tcW w:w="1560" w:type="dxa"/>
            <w:shd w:val="clear" w:color="auto" w:fill="E8EEF7"/>
          </w:tcPr>
          <w:p>
            <w:r>
              <w:t xml:space="preserve">ΔMSE</w:t>
            </w:r>
          </w:p>
        </w:tc>
        <w:tc>
          <w:tcPr>
            <w:tcW w:w="1560" w:type="dxa"/>
            <w:shd w:val="clear" w:color="auto" w:fill="E8EEF7"/>
          </w:tcPr>
          <w:p>
            <w:r>
              <w:t xml:space="preserve">t</w:t>
            </w:r>
          </w:p>
        </w:tc>
        <w:tc>
          <w:tcPr>
            <w:tcW w:w="1560" w:type="dxa"/>
            <w:shd w:val="clear" w:color="auto" w:fill="E8EEF7"/>
          </w:tcPr>
          <w:p>
            <w:r>
              <w:t xml:space="preserve">df</w:t>
            </w:r>
          </w:p>
        </w:tc>
        <w:tc>
          <w:tcPr>
            <w:tcW w:w="1560" w:type="dxa"/>
            <w:shd w:val="clear" w:color="auto" w:fill="E8EEF7"/>
          </w:tcPr>
          <w:p>
            <w:r>
              <w:t xml:space="preserve">p 值</w:t>
            </w:r>
          </w:p>
        </w:tc>
        <w:tc>
          <w:tcPr>
            <w:tcW w:w="1560" w:type="dxa"/>
            <w:shd w:val="clear" w:color="auto" w:fill="E8EEF7"/>
          </w:tcPr>
          <w:p>
            <w:r>
              <w:t xml:space="preserve">判定</w:t>
            </w:r>
          </w:p>
        </w:tc>
      </w:tr>
      <w:tr>
        <w:tc>
          <w:tcPr>
            <w:tcW w:w="1560" w:type="dxa"/>
          </w:tcPr>
          <w:p>
            <w:r>
              <w:t xml:space="preserve">adamw_cosine</w:t>
            </w:r>
          </w:p>
        </w:tc>
        <w:tc>
          <w:tcPr>
            <w:tcW w:w="1560" w:type="dxa"/>
          </w:tcPr>
          <w:p>
            <w:r>
              <w:t xml:space="preserve">+0.1455</w:t>
            </w:r>
          </w:p>
        </w:tc>
        <w:tc>
          <w:tcPr>
            <w:tcW w:w="1560" w:type="dxa"/>
          </w:tcPr>
          <w:p>
            <w:r>
              <w:t xml:space="preserve">−0.626</w:t>
            </w:r>
          </w:p>
        </w:tc>
        <w:tc>
          <w:tcPr>
            <w:tcW w:w="1560" w:type="dxa"/>
          </w:tcPr>
          <w:p>
            <w:r>
              <w:t xml:space="preserve">18.0</w:t>
            </w:r>
          </w:p>
        </w:tc>
        <w:tc>
          <w:tcPr>
            <w:tcW w:w="1560" w:type="dxa"/>
          </w:tcPr>
          <w:p>
            <w:r>
              <w:rPr>
                <w:b/>
              </w:rPr>
              <w:t xml:space="preserve">0.5391</w:t>
            </w:r>
          </w:p>
        </w:tc>
        <w:tc>
          <w:tcPr>
            <w:tcW w:w="1560" w:type="dxa"/>
          </w:tcPr>
          <w:p>
            <w:r>
              <w:t xml:space="preserve">不显著</w:t>
            </w:r>
          </w:p>
        </w:tc>
      </w:tr>
      <w:tr>
        <w:tc>
          <w:tcPr>
            <w:tcW w:w="1560" w:type="dxa"/>
          </w:tcPr>
          <w:p>
            <w:r>
              <w:t xml:space="preserve">huber_clip</w:t>
            </w:r>
          </w:p>
        </w:tc>
        <w:tc>
          <w:tcPr>
            <w:tcW w:w="1560" w:type="dxa"/>
          </w:tcPr>
          <w:p>
            <w:r>
              <w:t xml:space="preserve">+0.2318</w:t>
            </w:r>
          </w:p>
        </w:tc>
        <w:tc>
          <w:tcPr>
            <w:tcW w:w="1560" w:type="dxa"/>
          </w:tcPr>
          <w:p>
            <w:r>
              <w:t xml:space="preserve">−1.174</w:t>
            </w:r>
          </w:p>
        </w:tc>
        <w:tc>
          <w:tcPr>
            <w:tcW w:w="1560" w:type="dxa"/>
          </w:tcPr>
          <w:p>
            <w:r>
              <w:t xml:space="preserve">16.3</w:t>
            </w:r>
          </w:p>
        </w:tc>
        <w:tc>
          <w:tcPr>
            <w:tcW w:w="1560" w:type="dxa"/>
          </w:tcPr>
          <w:p>
            <w:r>
              <w:rPr>
                <w:b/>
              </w:rPr>
              <w:t xml:space="preserve">0.2572</w:t>
            </w:r>
          </w:p>
        </w:tc>
        <w:tc>
          <w:tcPr>
            <w:tcW w:w="1560" w:type="dxa"/>
          </w:tcPr>
          <w:p>
            <w:r>
              <w:t xml:space="preserve">不显著</w:t>
            </w:r>
          </w:p>
        </w:tc>
      </w:tr>
      <w:tr>
        <w:tc>
          <w:tcPr>
            <w:tcW w:w="1560" w:type="dxa"/>
          </w:tcPr>
          <w:p>
            <w:r>
              <w:t xml:space="preserve">earlystop</w:t>
            </w:r>
          </w:p>
        </w:tc>
        <w:tc>
          <w:tcPr>
            <w:tcW w:w="1560" w:type="dxa"/>
          </w:tcPr>
          <w:p>
            <w:r>
              <w:t xml:space="preserve">+0.3612</w:t>
            </w:r>
          </w:p>
        </w:tc>
        <w:tc>
          <w:tcPr>
            <w:tcW w:w="1560" w:type="dxa"/>
          </w:tcPr>
          <w:p>
            <w:r>
              <w:t xml:space="preserve">−1.914</w:t>
            </w:r>
          </w:p>
        </w:tc>
        <w:tc>
          <w:tcPr>
            <w:tcW w:w="1560" w:type="dxa"/>
          </w:tcPr>
          <w:p>
            <w:r>
              <w:t xml:space="preserve">15.0</w:t>
            </w:r>
          </w:p>
        </w:tc>
        <w:tc>
          <w:tcPr>
            <w:tcW w:w="1560" w:type="dxa"/>
          </w:tcPr>
          <w:p>
            <w:r>
              <w:rPr>
                <w:b/>
              </w:rPr>
              <w:t xml:space="preserve">0.0748</w:t>
            </w:r>
          </w:p>
        </w:tc>
        <w:tc>
          <w:tcPr>
            <w:tcW w:w="1560" w:type="dxa"/>
          </w:tcPr>
          <w:p>
            <w:r>
              <w:t xml:space="preserve">不显著</w:t>
            </w:r>
          </w:p>
        </w:tc>
      </w:tr>
    </w:tbl>
    <w:p/>
    <w:p>
      <w:r>
        <w:drawing>
          <wp:inline distT="0" distB="0" distL="0" distR="0">
            <wp:extent cx="5943600" cy="3714750"/>
            <wp:effectExtent l="0" t="0" r="0" b="0"/>
            <wp:docPr id="8" name="Picture 8" descr="Q4 训练配方对比"/>
            <a:graphic xmlns:a="http://schemas.openxmlformats.org/drawingml/2006/main">
              <a:graphicData uri="http://schemas.openxmlformats.org/drawingml/2006/picture">
                <pic:pic xmlns:pic="http://schemas.openxmlformats.org/drawingml/2006/picture">
                  <pic:nvPicPr>
                    <pic:cNvPr id="8" name="Q4 训练配方对比" descr="Q4 训练配方对比"/>
                    <pic:cNvPicPr/>
                  </pic:nvPicPr>
                  <pic:blipFill>
                    <a:blip r:embed="rId16"/>
                    <a:stretch>
                      <a:fillRect/>
                    </a:stretch>
                  </pic:blipFill>
                  <pic:spPr>
                    <a:xfrm>
                      <a:off x="0" y="0"/>
                      <a:ext cx="5943600" cy="3714750"/>
                    </a:xfrm>
                    <a:prstGeom prst="rect">
                      <a:avLst/>
                    </a:prstGeom>
                  </pic:spPr>
                </pic:pic>
              </a:graphicData>
            </a:graphic>
          </wp:inline>
        </w:drawing>
      </w:r>
    </w:p>
    <w:p>
      <w:r>
        <w:rPr>
          <w:b/>
        </w:rPr>
        <w:t xml:space="preserve">(4) 按【订正】要求改写后的结论</w:t>
      </w:r>
    </w:p>
    <w:p>
      <w:pPr>
        <w:numPr>
          <w:ilvl w:val="0"/>
          <w:numId w:val="1"/>
        </w:numPr>
        <w:ind w:left="720" w:hanging="360"/>
      </w:pPr>
      <w:r>
        <w:rPr>
          <w:b/>
        </w:rPr>
        <w:t xml:space="preserve">观测到的排序</w:t>
      </w:r>
      <w:r>
        <w:t xml:space="preserve">：baseline &lt; adamw_cosine &lt; huber_clip &lt; earlystop（MSE 由 2.5187 递增至 2.8799）。</w:t>
      </w:r>
    </w:p>
    <w:p>
      <w:pPr>
        <w:numPr>
          <w:ilvl w:val="0"/>
          <w:numId w:val="1"/>
        </w:numPr>
        <w:ind w:left="720" w:hanging="360"/>
      </w:pPr>
      <w:r>
        <w:rPr>
          <w:b/>
        </w:rPr>
        <w:t xml:space="preserve">但差距远小于种子噪声</w:t>
      </w:r>
      <w:r>
        <w:t xml:space="preserve">：baseline 与次优配方（adamw_cosine）的差距仅 </w:t>
      </w:r>
      <w:r>
        <w:rPr>
          <w:b/>
        </w:rPr>
        <w:t xml:space="preserve">0.1455</w:t>
      </w:r>
      <w:r>
        <w:t xml:space="preserve">，而 baseline 自身的种子标准差达 </w:t>
      </w:r>
      <w:r>
        <w:rPr>
          <w:b/>
        </w:rPr>
        <w:t xml:space="preserve">0.5073</w:t>
      </w:r>
      <w:r>
        <w:t xml:space="preserve"> —— </w:t>
      </w:r>
      <w:r>
        <w:rPr>
          <w:b/>
        </w:rPr>
        <w:t xml:space="preserve">gap / seed std = 0.287</w:t>
      </w:r>
      <w:r>
        <w:t xml:space="preserve">，即差距只有噪声的 28.7%。三组配对检验的 p 值分别为 </w:t>
      </w:r>
      <w:r>
        <w:rPr>
          <w:b/>
        </w:rPr>
        <w:t xml:space="preserve">0.5391 / 0.2572 / 0.0748</w:t>
      </w:r>
      <w:r>
        <w:t xml:space="preserve">，</w:t>
      </w:r>
      <w:r>
        <w:rPr>
          <w:b/>
        </w:rPr>
        <w:t xml:space="preserve">在 α=0.05 下均不显著</w:t>
      </w:r>
      <w:r>
        <w:t xml:space="preserve">。</w:t>
      </w:r>
    </w:p>
    <w:p>
      <w:pPr>
        <w:numPr>
          <w:ilvl w:val="0"/>
          <w:numId w:val="1"/>
        </w:numPr>
        <w:ind w:left="720" w:hanging="360"/>
      </w:pPr>
      <w:r>
        <w:rPr>
          <w:b/>
        </w:rPr>
        <w:t xml:space="preserve">因此可辩护的表述是</w:t>
      </w:r>
      <w:r>
        <w:t xml:space="preserve">："在本次复现实验中，baseline 配方在与原论文数字的逼近程度上表现最好，说明原作者很可能使用了与此接近的训练配方"—— 而</w:t>
      </w:r>
      <w:r>
        <w:rPr>
          <w:b/>
        </w:rPr>
        <w:t xml:space="preserve">不能</w:t>
      </w:r>
      <w:r>
        <w:t xml:space="preserve">宣称 baseline 是全局最优超参数，也不能断言该排序在统计上稳健。</w:t>
      </w:r>
    </w:p>
    <w:p>
      <w:pPr>
        <w:numPr>
          <w:ilvl w:val="0"/>
          <w:numId w:val="1"/>
        </w:numPr>
        <w:ind w:left="720" w:hanging="360"/>
      </w:pPr>
      <w:r>
        <w:t xml:space="preserve">需要说明的是：即使增加种子数，标准差也不会显著缩小到使 0.1455 的差距变为显著；</w:t>
      </w:r>
      <w:r>
        <w:rPr>
          <w:b/>
        </w:rPr>
        <w:t xml:space="preserve">"差异在噪声内"本身就是本次实验的结论</w:t>
      </w:r>
      <w:r>
        <w:t xml:space="preserve">，而非证据不足。若审稿人要求更强的结论，正确的做法是扩大配方间的差异（例如更强的正则化/更大的学习率跨度），而不是增加重复次数。</w:t>
      </w:r>
    </w:p>
    <w:p>
      <w:pPr>
        <w:pBdr>
          <w:bottom w:val="single" w:sz="6" w:space="1" w:color="BBBBBB"/>
        </w:pBdr>
      </w:pPr>
    </w:p>
    <w:p>
      <w:pPr>
        <w:pStyle w:val="Heading2"/>
      </w:pPr>
      <w:r>
        <w:t xml:space="preserve">问题五：定义"预测准确"的微调停止标准（Stopping Criteria）</w:t>
      </w:r>
    </w:p>
    <w:p>
      <w:pPr>
        <w:pStyle w:val="Heading3"/>
      </w:pPr>
      <w:r>
        <w:t xml:space="preserve">最终推荐表述（采纳讨论后的修订版）</w:t>
      </w:r>
    </w:p>
    <w:p>
      <w:r>
        <w:rPr>
          <w:b/>
        </w:rPr>
        <w:t xml:space="preserve">(1) 指标定义（有直接文献依据）</w:t>
      </w:r>
      <w:r>
        <w:t xml:space="preserve">：Peak Timing Error (PTE) = |预测峰值周 − 真实峰值周|（单位：周）；Peak Intensity Error (PIE) = |预测峰值强度 − 真实峰值强度| / 真实峰值强度（单位：百分比）。这两个指标及"PTE≤1周、PIE≤25%即判定为命中"的定义，直接引自 Kramer &amp; Shaman (2019, PLOS Computational Biology, DOI: 10.1371/journal.pcbi.1006742)，并与 CDC "Predict the Influenza Season Challenge" 官方判定口径一致。</w:t>
      </w:r>
    </w:p>
    <w:p>
      <w:pPr>
        <w:numPr>
          <w:ilvl w:val="0"/>
          <w:numId w:val="1"/>
        </w:numPr>
        <w:ind w:left="720" w:hanging="360"/>
      </w:pPr>
      <w:r>
        <w:t xml:space="preserve">论文链接：</w:t>
      </w:r>
      <w:hyperlink r:id="rId17">
        <w:r>
          <w:rPr>
            <w:color w:val="0563C1"/>
            <w:u w:val="single"/>
          </w:rPr>
          <w:t xml:space="preserve">https://journals.plos.org/ploscompbiol/article?id=10.1371%2Fjournal.pcbi.1006742</w:t>
        </w:r>
      </w:hyperlink>
    </w:p>
    <w:p>
      <w:r>
        <w:rPr>
          <w:b/>
        </w:rPr>
        <w:t xml:space="preserve">(2) 真正决定"何时停止训练"的机制（有直接文献依据）</w:t>
      </w:r>
      <w:r>
        <w:t xml:space="preserve">：训练层面的停止标准仍是标准的 early stopping on validation loss（监控验证集 MSE/RMSE，patience 设为 5–10 个 epoch，不再改善即停止并回滚到最优权重），这与多篇 ILI/流行病预测顶刊/顶会论文的通用做法一致。</w:t>
      </w:r>
    </w:p>
    <w:p>
      <w:r>
        <w:rPr>
          <w:b/>
        </w:rPr>
        <w:t xml:space="preserve">(3) 两层标准如何配合</w:t>
      </w:r>
      <w:r>
        <w:t xml:space="preserve">：训练过程用 early stopping 决定何时停止微调、产出模型；模型停止训练后，在验证集/测试集上计算 PTE / PIE，作为判断"该模型是否达到可发表精度"的验收标准，而不是作为触发停止训练本身的信号。这样处理既有明确文献依据支撑每个数字，也不会把两种不同性质的判据混为一谈。</w:t>
      </w:r>
    </w:p>
    <w:p>
      <w:pPr>
        <w:pStyle w:val="Heading3"/>
      </w:pPr>
      <w:r>
        <w:t xml:space="preserve">对 CodeBuddy 原始版本的订正</w:t>
      </w:r>
    </w:p>
    <w:p>
      <w:pPr>
        <w:pStyle w:val="Quote"/>
        <w:ind w:left="360"/>
      </w:pPr>
      <w:r>
        <w:rPr>
          <w:b/>
        </w:rPr>
        <w:t xml:space="preserve">【订正1】</w:t>
      </w:r>
      <w:r>
        <w:t xml:space="preserve"> CodeBuddy 报告将"Peak Hit Rate ≥ 0.75、Timing Error ≤ 1.0 周、Peak Intensity Error ≤ 20%"包装为依据"论文 Supplementary indicators"得出的"确切阈值"，这一归因不准确。经核实，MIFlu 原论文（IEEE JBHI, 2025）中不存在任何 Peak Hit Rate / Timing Error / Intensity Error 相关的 Supplementary indicators 或阈值定义，这三个数字并非来自 MIFlu 论文本身。（</w:t>
      </w:r>
      <w:r>
        <w:rPr>
          <w:b/>
        </w:rPr>
        <w:t xml:space="preserve">2026-09 补充</w:t>
      </w:r>
      <w:r>
        <w:t xml:space="preserve">：Peak Hit Rate 指标本身已在本次指标精简中</w:t>
      </w:r>
      <w:r>
        <w:rPr>
          <w:b/>
        </w:rPr>
        <w:t xml:space="preserve">移除</w:t>
      </w:r>
      <w:r>
        <w:t xml:space="preserve">，现仅保留 PTE / PIE 两项；本条订正作为历史记录保留。）</w:t>
      </w:r>
    </w:p>
    <w:p>
      <w:pPr>
        <w:pStyle w:val="Quote"/>
        <w:ind w:left="360"/>
      </w:pPr>
      <w:r>
        <w:rPr>
          <w:b/>
        </w:rPr>
        <w:t xml:space="preserve">【订正2】</w:t>
      </w:r>
      <w:r>
        <w:t xml:space="preserve"> 其中 Peak Intensity Error ≤ 20% 这一具体数值与实际可查证的文献（Kramer &amp; Shaman, 2019）报告的 25% 阈值不一致。如果确实希望保留 20% 这一更严格的数值，应在报告中明确标注为"在文献常见的 25% 基础上主动收紧的自定义工程门槛"，而不是暗示这也是文献标准，否则一旦被追问出处会难以自圆其说。</w:t>
      </w:r>
    </w:p>
    <w:p>
      <w:pPr>
        <w:pStyle w:val="Quote"/>
        <w:ind w:left="360"/>
      </w:pPr>
      <w:r>
        <w:rPr>
          <w:b/>
        </w:rPr>
        <w:t xml:space="preserve">【订正3】</w:t>
      </w:r>
      <w:r>
        <w:t xml:space="preserve">（已于 2026-09 落实：该机制已移除，不再需要为其标注出处）PeakAwareEarlyStopping 中的"双重闸门"机制（val_loss 下降 </w:t>
      </w:r>
      <w:r>
        <w:rPr>
          <w:b/>
        </w:rPr>
        <w:t xml:space="preserve">且</w:t>
      </w:r>
      <w:r>
        <w:t xml:space="preserve"> peak_hit_rate &gt; 0.75 同时满足才保存 checkpoint）虽有一定工程动机，但据检索没有任何顶刊论文使用完全相同的机制，且它依赖本课题自定义的 peak_hit_rate。</w:t>
      </w:r>
      <w:r>
        <w:rPr>
          <w:b/>
        </w:rPr>
        <w:t xml:space="preserve">本次已将补充诊断指标精简为 PTE 与 PIE 两项，peak_hit_rate 被彻底移除，该双闸门机制随之删除</w:t>
      </w:r>
      <w:r>
        <w:t xml:space="preserve">：PeakAwareEarlyStopping 已重写为纯 EarlyStopping（仅监控 val_loss + patience，见 scripts/early_stopping.py）。因此本条订正不再是"如何标注"的问题——该机制已不存在；full__earlystop 已按新口径重跑，早期"双闸门"结果不可与之比较。</w:t>
      </w:r>
    </w:p>
    <w:p>
      <w:pPr>
        <w:pStyle w:val="Heading3"/>
      </w:pPr>
      <w:r>
        <w:t xml:space="preserve">建议的最终写法（可直接用于方法论章节）</w:t>
      </w:r>
    </w:p>
    <w:p>
      <w:pPr>
        <w:numPr>
          <w:ilvl w:val="0"/>
          <w:numId w:val="1"/>
        </w:numPr>
        <w:ind w:left="720" w:hanging="360"/>
      </w:pPr>
      <w:r>
        <w:rPr>
          <w:b/>
        </w:rPr>
        <w:t xml:space="preserve">训练停止</w:t>
      </w:r>
      <w:r>
        <w:t xml:space="preserve">：验证集 MSE/RMSE 早停（patience 5–10 epoch，回滚至最优权重）——有明确文献依据。</w:t>
      </w:r>
    </w:p>
    <w:p>
      <w:pPr>
        <w:numPr>
          <w:ilvl w:val="0"/>
          <w:numId w:val="1"/>
        </w:numPr>
        <w:ind w:left="720" w:hanging="360"/>
      </w:pPr>
      <w:r>
        <w:rPr>
          <w:b/>
        </w:rPr>
        <w:t xml:space="preserve">准确性判定</w:t>
      </w:r>
      <w:r>
        <w:t xml:space="preserve">：PTE ≤ 1 周、PIE ≤ 25%（如需更严格可主动收紧至 20%，但需注明为自定义收紧，而非文献标准）——判定方法有明确文献依据，具体数值的收紧程度是工程选择。</w:t>
      </w:r>
    </w:p>
    <w:p>
      <w:pPr>
        <w:numPr>
          <w:ilvl w:val="0"/>
          <w:numId w:val="1"/>
        </w:numPr>
        <w:ind w:left="720" w:hanging="360"/>
      </w:pPr>
      <w:r>
        <w:rPr>
          <w:b/>
        </w:rPr>
        <w:t xml:space="preserve">样本量限定语（必须同显）</w:t>
      </w:r>
      <w:r>
        <w:t xml:space="preserve">：PTE / PIE 只在</w:t>
      </w:r>
      <w:r>
        <w:rPr>
          <w:b/>
        </w:rPr>
        <w:t xml:space="preserve">匹配峰值</w:t>
      </w:r>
      <w:r>
        <w:t xml:space="preserve">上有定义，报告中必须同时给出匹配峰值计数（如 </w:t>
      </w:r>
      <w:r>
        <w:rPr>
          <w:rFonts w:ascii="Consolas" w:hAnsi="Consolas"/>
        </w:rPr>
        <w:t xml:space="preserve">2/3</w:t>
      </w:r>
      <w:r>
        <w:t xml:space="preserve">），否则读者无法判断该均值取自几个峰。该计数是</w:t>
      </w:r>
      <w:r>
        <w:rPr>
          <w:b/>
        </w:rPr>
        <w:t xml:space="preserve">样本量说明</w:t>
      </w:r>
      <w:r>
        <w:t xml:space="preserve">，不是被报告的指标——峰值命中"率"已随 </w:t>
      </w:r>
      <w:r>
        <w:rPr>
          <w:rFonts w:ascii="Consolas" w:hAnsi="Consolas"/>
        </w:rPr>
        <w:t xml:space="preserve">peak_hit_rate</w:t>
      </w:r>
      <w:r>
        <w:t xml:space="preserve"> 一并移除。</w:t>
      </w:r>
    </w:p>
    <w:p>
      <w:pPr>
        <w:pStyle w:val="Heading3"/>
      </w:pPr>
      <w:r>
        <w:t xml:space="preserve">代码验证结果（本次代码改动）</w:t>
      </w:r>
    </w:p>
    <w:p>
      <w:pPr>
        <w:pStyle w:val="Quote"/>
        <w:ind w:left="360"/>
      </w:pPr>
      <w:r>
        <w:rPr>
          <w:b/>
        </w:rPr>
        <w:t xml:space="preserve">来源标注：(c) 本课题自定义工程决策</w:t>
      </w:r>
      <w:r>
        <w:t xml:space="preserve"> 与 </w:t>
      </w:r>
      <w:r>
        <w:rPr>
          <w:b/>
        </w:rPr>
        <w:t xml:space="preserve">(a) 文献依据</w:t>
      </w:r>
      <w:r>
        <w:t xml:space="preserve"> 的区分已在代码中落地</w:t>
      </w:r>
    </w:p>
    <w:p>
      <w:pPr>
        <w:pStyle w:val="Quote"/>
        <w:ind w:left="360"/>
      </w:pPr>
      <w:r>
        <w:t xml:space="preserve">改动文件：</w:t>
      </w:r>
      <w:r>
        <w:rPr>
          <w:rFonts w:ascii="Consolas" w:hAnsi="Consolas"/>
        </w:rPr>
        <w:t xml:space="preserve">scripts/compute_miflu_indicators.py</w:t>
      </w:r>
      <w:r>
        <w:t xml:space="preserve">（新增 PROVENANCE 注释块）、</w:t>
      </w:r>
      <w:r>
        <w:rPr>
          <w:rFonts w:ascii="Consolas" w:hAnsi="Consolas"/>
        </w:rPr>
        <w:t xml:space="preserve">scripts/early_stopping.py</w:t>
      </w:r>
      <w:r>
        <w:t xml:space="preserve">（新增 PROVENANCE 段落）</w:t>
      </w:r>
    </w:p>
    <w:p>
      <w:r>
        <w:rPr>
          <w:b/>
        </w:rPr>
        <w:t xml:space="preserve">(1) 已在代码中建立三类内容的明确区分</w:t>
      </w:r>
    </w:p>
    <w:p>
      <w:r>
        <w:t xml:space="preserve">在 </w:t>
      </w:r>
      <w:r>
        <w:rPr>
          <w:rFonts w:ascii="Consolas" w:hAnsi="Consolas"/>
        </w:rPr>
        <w:t xml:space="preserve">scripts/compute_miflu_indicators.py</w:t>
      </w:r>
      <w:r>
        <w:t xml:space="preserve"> 中新增 PROVENANCE 注释块，将指标与阈值按来源分为三层：</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3120"/>
        <w:gridCol w:w="3120"/>
        <w:gridCol w:w="3120"/>
      </w:tblGrid>
      <w:tr>
        <w:trPr>
          <w:tblHeader/>
        </w:trPr>
        <w:tc>
          <w:tcPr>
            <w:tcW w:w="3120" w:type="dxa"/>
            <w:shd w:val="clear" w:color="auto" w:fill="E8EEF7"/>
          </w:tcPr>
          <w:p>
            <w:r>
              <w:t xml:space="preserve">层级</w:t>
            </w:r>
          </w:p>
        </w:tc>
        <w:tc>
          <w:tcPr>
            <w:tcW w:w="3120" w:type="dxa"/>
            <w:shd w:val="clear" w:color="auto" w:fill="E8EEF7"/>
          </w:tcPr>
          <w:p>
            <w:r>
              <w:t xml:space="preserve">内容</w:t>
            </w:r>
          </w:p>
        </w:tc>
        <w:tc>
          <w:tcPr>
            <w:tcW w:w="3120" w:type="dxa"/>
            <w:shd w:val="clear" w:color="auto" w:fill="E8EEF7"/>
          </w:tcPr>
          <w:p>
            <w:r>
              <w:t xml:space="preserve">标注</w:t>
            </w:r>
          </w:p>
        </w:tc>
      </w:tr>
      <w:tr>
        <w:tc>
          <w:tcPr>
            <w:tcW w:w="3120" w:type="dxa"/>
          </w:tcPr>
          <w:p>
            <w:r>
              <w:rPr>
                <w:b/>
              </w:rPr>
              <w:t xml:space="preserve">(a) 文献依据</w:t>
            </w:r>
          </w:p>
        </w:tc>
        <w:tc>
          <w:tcPr>
            <w:tcW w:w="3120" w:type="dxa"/>
          </w:tcPr>
          <w:p>
            <w:r>
              <w:t xml:space="preserve">PTE / PIE 的</w:t>
            </w:r>
            <w:r>
              <w:rPr>
                <w:b/>
              </w:rPr>
              <w:t xml:space="preserve">定义</w:t>
            </w:r>
            <w:r>
              <w:t xml:space="preserve">；"PTE ≤ 1 周 且 PIE ≤ 25% 判定命中"的判定约定</w:t>
            </w:r>
          </w:p>
        </w:tc>
        <w:tc>
          <w:tcPr>
            <w:tcW w:w="3120" w:type="dxa"/>
          </w:tcPr>
          <w:p>
            <w:r>
              <w:t xml:space="preserve">Kramer &amp; Shaman, 2019, PLOS Comput Biol, </w:t>
            </w:r>
            <w:r>
              <w:rPr>
                <w:b/>
              </w:rPr>
              <w:t xml:space="preserve">DOI: 10.1371/journal.pcbi.1006742</w:t>
            </w:r>
            <w:r>
              <w:t xml:space="preserve">（与 CDC "Predict the Influenza Season Challenge" 同口径），链接已写入代码注释</w:t>
            </w:r>
          </w:p>
        </w:tc>
      </w:tr>
      <w:tr>
        <w:tc>
          <w:tcPr>
            <w:tcW w:w="3120" w:type="dxa"/>
          </w:tcPr>
          <w:p>
            <w:r>
              <w:rPr>
                <w:b/>
              </w:rPr>
              <w:t xml:space="preserve">(b) 本课题自定义</w:t>
            </w:r>
          </w:p>
        </w:tc>
        <w:tc>
          <w:tcPr>
            <w:tcW w:w="3120" w:type="dxa"/>
          </w:tcPr>
          <w:p>
            <w:r>
              <w:t xml:space="preserve">PTE ≤ </w:t>
            </w:r>
            <w:r>
              <w:rPr>
                <w:b/>
              </w:rPr>
              <w:t xml:space="preserve">2.0 周</w:t>
            </w:r>
            <w:r>
              <w:t xml:space="preserve">（相对文献 1 周</w:t>
            </w:r>
            <w:r>
              <w:rPr>
                <w:b/>
              </w:rPr>
              <w:t xml:space="preserve">放宽</w:t>
            </w:r>
            <w:r>
              <w:t xml:space="preserve">）；PIE ≤ </w:t>
            </w:r>
            <w:r>
              <w:rPr>
                <w:b/>
              </w:rPr>
              <w:t xml:space="preserve">20.0%</w:t>
            </w:r>
            <w:r>
              <w:t xml:space="preserve">（相对文献 25% </w:t>
            </w:r>
            <w:r>
              <w:rPr>
                <w:b/>
              </w:rPr>
              <w:t xml:space="preserve">收紧</w:t>
            </w:r>
            <w:r>
              <w:t xml:space="preserve">）；±2 周的峰值匹配窗口 </w:t>
            </w:r>
            <w:r>
              <w:rPr>
                <w:rFonts w:ascii="Consolas" w:hAnsi="Consolas"/>
              </w:rPr>
              <w:t xml:space="preserve">match_tol</w:t>
            </w:r>
          </w:p>
        </w:tc>
        <w:tc>
          <w:tcPr>
            <w:tcW w:w="3120" w:type="dxa"/>
          </w:tcPr>
          <w:p>
            <w:r>
              <w:t xml:space="preserve">代码中明确标注"NON-LITERATURE, CUSTOM ENGINEERING CHOICES"，并注明若需改用文献口径应传 </w:t>
            </w:r>
            <w:r>
              <w:rPr>
                <w:rFonts w:ascii="Consolas" w:hAnsi="Consolas"/>
              </w:rPr>
              <w:t xml:space="preserve">--thr_mean_abs_delta_t 1.0 --thr_peak_mag_rel_err 25</w:t>
            </w:r>
            <w:r>
              <w:t xml:space="preserve"> 并显式说明</w:t>
            </w:r>
          </w:p>
        </w:tc>
      </w:tr>
      <w:tr>
        <w:tc>
          <w:tcPr>
            <w:tcW w:w="3120" w:type="dxa"/>
          </w:tcPr>
          <w:p>
            <w:r>
              <w:rPr>
                <w:b/>
              </w:rPr>
              <w:t xml:space="preserve">(c) 已移除（2026-09）</w:t>
            </w:r>
          </w:p>
        </w:tc>
        <w:tc>
          <w:tcPr>
            <w:tcW w:w="3120" w:type="dxa"/>
          </w:tcPr>
          <w:p>
            <w:r>
              <w:rPr>
                <w:rFonts w:ascii="Consolas" w:hAnsi="Consolas"/>
              </w:rPr>
              <w:t xml:space="preserve">peak_hit_rate</w:t>
            </w:r>
            <w:r>
              <w:t xml:space="preserve">（峰值命中率）、</w:t>
            </w:r>
            <w:r>
              <w:rPr>
                <w:rFonts w:ascii="Consolas" w:hAnsi="Consolas"/>
              </w:rPr>
              <w:t xml:space="preserve">directional_accuracy</w:t>
            </w:r>
            <w:r>
              <w:t xml:space="preserve">（方向准确率），以及依赖前者的 </w:t>
            </w:r>
            <w:r>
              <w:rPr>
                <w:rFonts w:ascii="Consolas" w:hAnsi="Consolas"/>
              </w:rPr>
              <w:t xml:space="preserve">early_stopping.py</w:t>
            </w:r>
            <w:r>
              <w:t xml:space="preserve"> </w:t>
            </w:r>
            <w:r>
              <w:rPr>
                <w:b/>
              </w:rPr>
              <w:t xml:space="preserve">双闸门</w:t>
            </w:r>
            <w:r>
              <w:t xml:space="preserve">机制</w:t>
            </w:r>
          </w:p>
        </w:tc>
        <w:tc>
          <w:tcPr>
            <w:tcW w:w="3120" w:type="dxa"/>
          </w:tcPr>
          <w:p>
            <w:r>
              <w:t xml:space="preserve">三者已从计算、判定、图形、表格中彻底删除；早停现为纯 </w:t>
            </w:r>
            <w:r>
              <w:rPr>
                <w:rFonts w:ascii="Consolas" w:hAnsi="Consolas"/>
              </w:rPr>
              <w:t xml:space="preserve">val_loss + patience</w:t>
            </w:r>
            <w:r>
              <w:t xml:space="preserve">。</w:t>
            </w:r>
            <w:r>
              <w:rPr>
                <w:rFonts w:ascii="Consolas" w:hAnsi="Consolas"/>
              </w:rPr>
              <w:t xml:space="preserve">full__earlystop</w:t>
            </w:r>
            <w:r>
              <w:t xml:space="preserve"> 已按新口径重跑，旧口径结果不可与之比较</w:t>
            </w:r>
          </w:p>
        </w:tc>
      </w:tr>
    </w:tbl>
    <w:p/>
    <w:p>
      <w:r>
        <w:rPr>
          <w:b/>
        </w:rPr>
        <w:t xml:space="preserve">(2) 原先的一处阈值不一致问题已随机制移除而消失</w:t>
      </w:r>
    </w:p>
    <w:p>
      <w:r>
        <w:t xml:space="preserve">旧代码中存在两个不同的 peak-hit 阈值：</w:t>
      </w:r>
      <w:r>
        <w:rPr>
          <w:rFonts w:ascii="Consolas" w:hAnsi="Consolas"/>
        </w:rPr>
        <w:t xml:space="preserve">early_stopping.PeakAwareEarlyStopping</w:t>
      </w:r>
      <w:r>
        <w:t xml:space="preserve"> 以 </w:t>
      </w:r>
      <w:r>
        <w:rPr>
          <w:b/>
        </w:rPr>
        <w:t xml:space="preserve">0.7</w:t>
      </w:r>
      <w:r>
        <w:t xml:space="preserve"> 控制 checkpoint </w:t>
      </w:r>
      <w:r>
        <w:rPr>
          <w:b/>
        </w:rPr>
        <w:t xml:space="preserve">保存</w:t>
      </w:r>
      <w:r>
        <w:t xml:space="preserve">，而 </w:t>
      </w:r>
      <w:r>
        <w:rPr>
          <w:rFonts w:ascii="Consolas" w:hAnsi="Consolas"/>
        </w:rPr>
        <w:t xml:space="preserve">compute_miflu_indicators</w:t>
      </w:r>
      <w:r>
        <w:t xml:space="preserve"> 以 </w:t>
      </w:r>
      <w:r>
        <w:rPr>
          <w:b/>
        </w:rPr>
        <w:t xml:space="preserve">0.75</w:t>
      </w:r>
      <w:r>
        <w:t xml:space="preserve"> 控制报告中的"accurate"</w:t>
      </w:r>
      <w:r>
        <w:rPr>
          <w:b/>
        </w:rPr>
        <w:t xml:space="preserve">判定</w:t>
      </w:r>
      <w:r>
        <w:t xml:space="preserve">。随着 </w:t>
      </w:r>
      <w:r>
        <w:rPr>
          <w:rFonts w:ascii="Consolas" w:hAnsi="Consolas"/>
        </w:rPr>
        <w:t xml:space="preserve">peak_hit_rate</w:t>
      </w:r>
      <w:r>
        <w:t xml:space="preserve"> 指标与双闸门机制一并移除，这两个自定义阈值都已不复存在，口径不一致问题自然消除（</w:t>
      </w:r>
      <w:r>
        <w:rPr>
          <w:rFonts w:ascii="Consolas" w:hAnsi="Consolas"/>
        </w:rPr>
        <w:t xml:space="preserve">full__earlystop</w:t>
      </w:r>
      <w:r>
        <w:t xml:space="preserve"> 已按纯 val_loss 早停口径重跑）。</w:t>
      </w:r>
    </w:p>
    <w:p>
      <w:r>
        <w:rPr>
          <w:b/>
        </w:rPr>
        <w:t xml:space="preserve">(3) 与【订正】的对应关系</w:t>
      </w:r>
    </w:p>
    <w:p>
      <w:r>
        <w:t xml:space="preserve">上述分层落实了【订正1】【订正2】【订正3】的要求：20% 不再被暗示为"论文阈值"（已标注为自定义收紧）；0.75 与双闸门已</w:t>
      </w:r>
      <w:r>
        <w:rPr>
          <w:b/>
        </w:rPr>
        <w:t xml:space="preserve">直接移除</w:t>
      </w:r>
      <w:r>
        <w:t xml:space="preserve">而非仅作标注；PTE/PIE 的定义与 1 周 / 25% 的判定约定则明确挂到 Kramer &amp; Shaman (2019) 的可核实 DOI 上。</w:t>
      </w:r>
    </w:p>
    <w:p>
      <w:pPr>
        <w:pBdr>
          <w:bottom w:val="single" w:sz="6" w:space="1" w:color="BBBBBB"/>
        </w:pBdr>
      </w:pPr>
    </w:p>
    <w:p>
      <w:pPr>
        <w:pStyle w:val="Heading2"/>
      </w:pPr>
      <w:r>
        <w:t xml:space="preserve">问题六：MIFlu 的多模态注意力是否"名不副实"？（对一条流传结论的核验）</w:t>
      </w:r>
    </w:p>
    <w:p>
      <w:pPr>
        <w:pStyle w:val="Quote"/>
        <w:ind w:left="360"/>
      </w:pPr>
      <w:r>
        <w:rPr>
          <w:b/>
        </w:rPr>
        <w:t xml:space="preserve">本节性质</w:t>
      </w:r>
      <w:r>
        <w:t xml:space="preserve">：本节专门核验一条在本项目内部流传、并被硬编码进 </w:t>
      </w:r>
      <w:r>
        <w:rPr>
          <w:rFonts w:ascii="Consolas" w:hAnsi="Consolas"/>
        </w:rPr>
        <w:t xml:space="preserve">plot_attention_proof.py</w:t>
      </w:r>
      <w:r>
        <w:t xml:space="preserve"> 图注的结论。核验结论是：</w:t>
      </w:r>
      <w:r>
        <w:rPr>
          <w:b/>
        </w:rPr>
        <w:t xml:space="preserve">该说法的"强形式"不成立</w:t>
      </w:r>
      <w:r>
        <w:t xml:space="preserve">。以下逐条给出证据。</w:t>
      </w:r>
    </w:p>
    <w:p>
      <w:pPr>
        <w:pStyle w:val="Heading3"/>
      </w:pPr>
      <w:r>
        <w:t xml:space="preserve">待核验的指控</w:t>
      </w:r>
    </w:p>
    <w:p>
      <w:r>
        <w:t xml:space="preserve">一条结论曾在本项目内被表述为：</w:t>
      </w:r>
    </w:p>
    <w:p>
      <w:pPr>
        <w:pStyle w:val="Quote"/>
        <w:ind w:left="360"/>
      </w:pPr>
      <w:r>
        <w:t xml:space="preserve">"MIFlu 的多模态注意力是假的：text→time 的注意力占比极小，说明文本根本没参与分析；且 MIFlu 架构中除 PE、LayerNorm、LoRA 外几乎全部冻结；消融实验表明原论文用的是 LayerNorm 的间接效应，而非其声称的多模态注意力——因此论文在说谎，且无法复现。"</w:t>
      </w:r>
    </w:p>
    <w:p>
      <w:r>
        <w:t xml:space="preserve">该结论目前被硬编码在 </w:t>
      </w:r>
      <w:r>
        <w:rPr>
          <w:rFonts w:ascii="Consolas" w:hAnsi="Consolas"/>
        </w:rPr>
        <w:t xml:space="preserve">scripts/plot_attention_proof.py</w:t>
      </w:r>
      <w:r>
        <w:t xml:space="preserve"> 的图注中：</w:t>
      </w:r>
    </w:p>
    <w:p>
      <w:pPr>
        <w:pStyle w:val="Quote"/>
        <w:ind w:left="360"/>
      </w:pPr>
      <w:r>
        <w:t xml:space="preserve">"This </w:t>
      </w:r>
      <w:r>
        <w:rPr>
          <w:b/>
        </w:rPr>
        <w:t xml:space="preserve">proves</w:t>
      </w:r>
      <w:r>
        <w:t xml:space="preserve"> the original MIFlu gain was a LayerNorm statistical shortcut, not genuine text understanding."</w:t>
      </w:r>
    </w:p>
    <w:p>
      <w:pPr>
        <w:pStyle w:val="Heading3"/>
      </w:pPr>
      <w:r>
        <w:t xml:space="preserve">结论（先说结论）</w:t>
      </w:r>
    </w:p>
    <w:p>
      <w:r>
        <w:rPr>
          <w:b/>
        </w:rPr>
        <w:t xml:space="preserve">该指控的"强形式"不成立，不应写入论文或答辩材料。</w:t>
      </w:r>
      <w:r>
        <w:t xml:space="preserve"> 逐条判定如下：</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3120"/>
        <w:gridCol w:w="3120"/>
        <w:gridCol w:w="3120"/>
      </w:tblGrid>
      <w:tr>
        <w:trPr>
          <w:tblHeader/>
        </w:trPr>
        <w:tc>
          <w:tcPr>
            <w:tcW w:w="3120" w:type="dxa"/>
            <w:shd w:val="clear" w:color="auto" w:fill="E8EEF7"/>
          </w:tcPr>
          <w:p>
            <w:r>
              <w:t xml:space="preserve">分论点</w:t>
            </w:r>
          </w:p>
        </w:tc>
        <w:tc>
          <w:tcPr>
            <w:tcW w:w="3120" w:type="dxa"/>
            <w:shd w:val="clear" w:color="auto" w:fill="E8EEF7"/>
          </w:tcPr>
          <w:p>
            <w:r>
              <w:t xml:space="preserve">判定</w:t>
            </w:r>
          </w:p>
        </w:tc>
        <w:tc>
          <w:tcPr>
            <w:tcW w:w="3120" w:type="dxa"/>
            <w:shd w:val="clear" w:color="auto" w:fill="E8EEF7"/>
          </w:tcPr>
          <w:p>
            <w:r>
              <w:t xml:space="preserve">依据</w:t>
            </w:r>
          </w:p>
        </w:tc>
      </w:tr>
      <w:tr>
        <w:tc>
          <w:tcPr>
            <w:tcW w:w="3120" w:type="dxa"/>
          </w:tcPr>
          <w:p>
            <w:r>
              <w:t xml:space="preserve">① 文本完全未被使用</w:t>
            </w:r>
          </w:p>
        </w:tc>
        <w:tc>
          <w:tcPr>
            <w:tcW w:w="3120" w:type="dxa"/>
          </w:tcPr>
          <w:p>
            <w:r>
              <w:t xml:space="preserve">❌ </w:t>
            </w:r>
            <w:r>
              <w:rPr>
                <w:b/>
              </w:rPr>
              <w:t xml:space="preserve">被功能消融否定</w:t>
            </w:r>
          </w:p>
        </w:tc>
        <w:tc>
          <w:tcPr>
            <w:tcW w:w="3120" w:type="dxa"/>
          </w:tcPr>
          <w:p>
            <w:r>
              <w:t xml:space="preserve">依据</w:t>
            </w:r>
            <w:r>
              <w:rPr>
                <w:b/>
              </w:rPr>
              <w:t xml:space="preserve">功能消融</w:t>
            </w:r>
            <w:r>
              <w:t xml:space="preserve">而非注意力质量：彻底移除文本（no_multi）使 MSE 显著恶化 +0.705（p=0.011）。注意力质量显示平均文本注意力仅 </w:t>
            </w:r>
            <w:r>
              <w:rPr>
                <w:b/>
              </w:rPr>
              <w:t xml:space="preserve">0.526× 机会水平（低于随机）</w:t>
            </w:r>
            <w:r>
              <w:t xml:space="preserve">，文本是被</w:t>
            </w:r>
            <w:r>
              <w:rPr>
                <w:b/>
              </w:rPr>
              <w:t xml:space="preserve">稀疏、定点</w:t>
            </w:r>
            <w:r>
              <w:t xml:space="preserve">使用的</w:t>
            </w:r>
          </w:p>
        </w:tc>
      </w:tr>
      <w:tr>
        <w:tc>
          <w:tcPr>
            <w:tcW w:w="3120" w:type="dxa"/>
          </w:tcPr>
          <w:p>
            <w:r>
              <w:t xml:space="preserve">② 增益纯粹来自 LayerNorm 捷径</w:t>
            </w:r>
          </w:p>
        </w:tc>
        <w:tc>
          <w:tcPr>
            <w:tcW w:w="3120" w:type="dxa"/>
          </w:tcPr>
          <w:p>
            <w:r>
              <w:t xml:space="preserve">❌ </w:t>
            </w:r>
            <w:r>
              <w:rPr>
                <w:b/>
              </w:rPr>
              <w:t xml:space="preserve">被数据否定</w:t>
            </w:r>
          </w:p>
        </w:tc>
        <w:tc>
          <w:tcPr>
            <w:tcW w:w="3120" w:type="dxa"/>
          </w:tcPr>
          <w:p>
            <w:r>
              <w:t xml:space="preserve">LN 仅解释文本贡献的 44.4%，且不显著（p=0.154）；移除 LN 后文本注意力几乎不变</w:t>
            </w:r>
          </w:p>
        </w:tc>
      </w:tr>
      <w:tr>
        <w:tc>
          <w:tcPr>
            <w:tcW w:w="3120" w:type="dxa"/>
          </w:tcPr>
          <w:p>
            <w:r>
              <w:t xml:space="preserve">③ 架构除 PE/LN/LoRA 外全部冻结</w:t>
            </w:r>
          </w:p>
        </w:tc>
        <w:tc>
          <w:tcPr>
            <w:tcW w:w="3120" w:type="dxa"/>
          </w:tcPr>
          <w:p>
            <w:r>
              <w:t xml:space="preserve">✅ </w:t>
            </w:r>
            <w:r>
              <w:rPr>
                <w:b/>
              </w:rPr>
              <w:t xml:space="preserve">成立，但论文已公开披露</w:t>
            </w:r>
          </w:p>
        </w:tc>
        <w:tc>
          <w:tcPr>
            <w:tcW w:w="3120" w:type="dxa"/>
          </w:tcPr>
          <w:p>
            <w:r>
              <w:t xml:space="preserve">MIFlu 论文 Section IV 原文明确写出，非隐藏信息（见下）</w:t>
            </w:r>
          </w:p>
        </w:tc>
      </w:tr>
      <w:tr>
        <w:tc>
          <w:tcPr>
            <w:tcW w:w="3120" w:type="dxa"/>
          </w:tcPr>
          <w:p>
            <w:r>
              <w:t xml:space="preserve">④ 论文"在说谎"</w:t>
            </w:r>
          </w:p>
        </w:tc>
        <w:tc>
          <w:tcPr>
            <w:tcW w:w="3120" w:type="dxa"/>
          </w:tcPr>
          <w:p>
            <w:r>
              <w:t xml:space="preserve">❌ </w:t>
            </w:r>
            <w:r>
              <w:rPr>
                <w:b/>
              </w:rPr>
              <w:t xml:space="preserve">不可判定</w:t>
            </w:r>
          </w:p>
        </w:tc>
        <w:tc>
          <w:tcPr>
            <w:tcW w:w="3120" w:type="dxa"/>
          </w:tcPr>
          <w:p>
            <w:r>
              <w:t xml:space="preserve">我们没有作者代码，无法推断主观意图；且③属公开披露，与"隐瞒"相矛盾</w:t>
            </w:r>
          </w:p>
        </w:tc>
      </w:tr>
      <w:tr>
        <w:tc>
          <w:tcPr>
            <w:tcW w:w="3120" w:type="dxa"/>
          </w:tcPr>
          <w:p>
            <w:r>
              <w:t xml:space="preserve">⑤ 无法复现</w:t>
            </w:r>
          </w:p>
        </w:tc>
        <w:tc>
          <w:tcPr>
            <w:tcW w:w="3120" w:type="dxa"/>
          </w:tcPr>
          <w:p>
            <w:r>
              <w:t xml:space="preserve">⚠️ </w:t>
            </w:r>
            <w:r>
              <w:rPr>
                <w:b/>
              </w:rPr>
              <w:t xml:space="preserve">部分成立，但表述需修正</w:t>
            </w:r>
          </w:p>
        </w:tc>
        <w:tc>
          <w:tcPr>
            <w:tcW w:w="3120" w:type="dxa"/>
          </w:tcPr>
          <w:p>
            <w:r>
              <w:t xml:space="preserve">确实存在显著的数值复现差距（我们的 L=24 MSE 2.519 vs 论文 1.542），但差异同样可能源于</w:t>
            </w:r>
            <w:r>
              <w:rPr>
                <w:b/>
              </w:rPr>
              <w:t xml:space="preserve">我方实现</w:t>
            </w:r>
            <w:r>
              <w:t xml:space="preserve">与作者实现的差别，不能据此断言论文有误</w:t>
            </w:r>
          </w:p>
        </w:tc>
      </w:tr>
    </w:tbl>
    <w:p/>
    <w:p>
      <w:pPr>
        <w:pStyle w:val="Heading3"/>
      </w:pPr>
      <w:r>
        <w:t xml:space="preserve">证据 — 注意力实测（原论文架构）</w:t>
      </w:r>
    </w:p>
    <w:p>
      <w:pPr>
        <w:pStyle w:val="Quote"/>
        <w:ind w:left="360"/>
      </w:pPr>
      <w:r>
        <w:rPr>
          <w:b/>
        </w:rPr>
        <w:t xml:space="preserve">来源标注：(b) 本次复现实验新增结果</w:t>
      </w:r>
    </w:p>
    <w:p>
      <w:pPr>
        <w:pStyle w:val="Quote"/>
        <w:ind w:left="360"/>
      </w:pPr>
      <w:r>
        <w:t xml:space="preserve">脚本 </w:t>
      </w:r>
      <w:r>
        <w:rPr>
          <w:rFonts w:ascii="Consolas" w:hAnsi="Consolas"/>
        </w:rPr>
        <w:t xml:space="preserve">scripts/q6_text_attention_audit.py</w:t>
      </w:r>
      <w:r>
        <w:t xml:space="preserve">；HPC 作业 </w:t>
      </w:r>
      <w:r>
        <w:rPr>
          <w:rFonts w:ascii="Consolas" w:hAnsi="Consolas"/>
        </w:rPr>
        <w:t xml:space="preserve">521890</w:t>
      </w:r>
      <w:r>
        <w:t xml:space="preserve">（stingy / A100）；产物 </w:t>
      </w:r>
      <w:r>
        <w:rPr>
          <w:rFonts w:ascii="Consolas" w:hAnsi="Consolas"/>
        </w:rPr>
        <w:t xml:space="preserve">results/ili/metrics/q6_text_attention_audit.csv</w:t>
      </w:r>
    </w:p>
    <w:p>
      <w:r>
        <w:rPr>
          <w:b/>
        </w:rPr>
        <w:t xml:space="preserve">方法</w:t>
      </w:r>
      <w:r>
        <w:t xml:space="preserve">：原版 MIFlu 没有独立的 cross-attention 模块，文本以</w:t>
      </w:r>
      <w:r>
        <w:rPr>
          <w:b/>
        </w:rPr>
        <w:t xml:space="preserve">前缀</w:t>
      </w:r>
      <w:r>
        <w:t xml:space="preserve">拼接（</w:t>
      </w:r>
      <w:r>
        <w:rPr>
          <w:rFonts w:ascii="Consolas" w:hAnsi="Consolas"/>
        </w:rPr>
        <w:t xml:space="preserve">hfuse = [htext || htime]</w:t>
      </w:r>
      <w:r>
        <w:t xml:space="preserve">，</w:t>
      </w:r>
      <w:r>
        <w:rPr>
          <w:rFonts w:ascii="Consolas" w:hAnsi="Consolas"/>
        </w:rPr>
        <w:t xml:space="preserve">miflu_model.py:376</w:t>
      </w:r>
      <w:r>
        <w:t xml:space="preserve">），时序 patch </w:t>
      </w:r>
      <w:r>
        <w:rPr>
          <w:b/>
        </w:rPr>
        <w:t xml:space="preserve">通过 GPT-2 因果自注意力</w:t>
      </w:r>
      <w:r>
        <w:t xml:space="preserve">访问文本。因此本次直接 hook GPT-2 的自注意力，测量"时序 query 分配给文本 key 的注意力质量"，并与</w:t>
      </w:r>
      <w:r>
        <w:rPr>
          <w:b/>
        </w:rPr>
        <w:t xml:space="preserve">机会水平</w:t>
      </w:r>
      <w:r>
        <w:t xml:space="preserve">比较（因果掩码下，位置 q 可见 q+1 个 key，其中 n_text 个是文本，故机会水平 = n_text/(q+1)）。</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1560"/>
        <w:gridCol w:w="1560"/>
        <w:gridCol w:w="1560"/>
        <w:gridCol w:w="1560"/>
        <w:gridCol w:w="1560"/>
        <w:gridCol w:w="1560"/>
      </w:tblGrid>
      <w:tr>
        <w:trPr>
          <w:tblHeader/>
        </w:trPr>
        <w:tc>
          <w:tcPr>
            <w:tcW w:w="1560" w:type="dxa"/>
            <w:shd w:val="clear" w:color="auto" w:fill="E8EEF7"/>
          </w:tcPr>
          <w:p>
            <w:r>
              <w:t xml:space="preserve">变体</w:t>
            </w:r>
          </w:p>
        </w:tc>
        <w:tc>
          <w:tcPr>
            <w:tcW w:w="1560" w:type="dxa"/>
            <w:shd w:val="clear" w:color="auto" w:fill="E8EEF7"/>
          </w:tcPr>
          <w:p>
            <w:r>
              <w:t xml:space="preserve">文本注意力质量</w:t>
            </w:r>
          </w:p>
        </w:tc>
        <w:tc>
          <w:tcPr>
            <w:tcW w:w="1560" w:type="dxa"/>
            <w:shd w:val="clear" w:color="auto" w:fill="E8EEF7"/>
          </w:tcPr>
          <w:p>
            <w:r>
              <w:t xml:space="preserve">机会水平</w:t>
            </w:r>
          </w:p>
        </w:tc>
        <w:tc>
          <w:tcPr>
            <w:tcW w:w="1560" w:type="dxa"/>
            <w:shd w:val="clear" w:color="auto" w:fill="E8EEF7"/>
          </w:tcPr>
          <w:p>
            <w:r>
              <w:rPr>
                <w:b/>
              </w:rPr>
              <w:t xml:space="preserve">相对机会</w:t>
            </w:r>
          </w:p>
        </w:tc>
        <w:tc>
          <w:tcPr>
            <w:tcW w:w="1560" w:type="dxa"/>
            <w:shd w:val="clear" w:color="auto" w:fill="E8EEF7"/>
          </w:tcPr>
          <w:p>
            <w:r>
              <w:t xml:space="preserve">峰值注意力</w:t>
            </w:r>
          </w:p>
        </w:tc>
        <w:tc>
          <w:tcPr>
            <w:tcW w:w="1560" w:type="dxa"/>
            <w:shd w:val="clear" w:color="auto" w:fill="E8EEF7"/>
          </w:tcPr>
          <w:p>
            <w:r>
              <w:rPr>
                <w:b/>
              </w:rPr>
              <w:t xml:space="preserve">峰值/机会</w:t>
            </w:r>
          </w:p>
        </w:tc>
      </w:tr>
      <w:tr>
        <w:tc>
          <w:tcPr>
            <w:tcW w:w="1560" w:type="dxa"/>
          </w:tcPr>
          <w:p>
            <w:r>
              <w:rPr>
                <w:b/>
              </w:rPr>
              <w:t xml:space="preserve">full_L24（原论文架构）</w:t>
            </w:r>
          </w:p>
        </w:tc>
        <w:tc>
          <w:tcPr>
            <w:tcW w:w="1560" w:type="dxa"/>
          </w:tcPr>
          <w:p>
            <w:r>
              <w:t xml:space="preserve">0.3858</w:t>
            </w:r>
          </w:p>
        </w:tc>
        <w:tc>
          <w:tcPr>
            <w:tcW w:w="1560" w:type="dxa"/>
          </w:tcPr>
          <w:p>
            <w:r>
              <w:t xml:space="preserve">0.7347</w:t>
            </w:r>
          </w:p>
        </w:tc>
        <w:tc>
          <w:tcPr>
            <w:tcW w:w="1560" w:type="dxa"/>
          </w:tcPr>
          <w:p>
            <w:r>
              <w:rPr>
                <w:b/>
              </w:rPr>
              <w:t xml:space="preserve">0.526× (&lt;1，低于随机)</w:t>
            </w:r>
          </w:p>
        </w:tc>
        <w:tc>
          <w:tcPr>
            <w:tcW w:w="1560" w:type="dxa"/>
          </w:tcPr>
          <w:p>
            <w:r>
              <w:t xml:space="preserve">0.0679</w:t>
            </w:r>
          </w:p>
        </w:tc>
        <w:tc>
          <w:tcPr>
            <w:tcW w:w="1560" w:type="dxa"/>
          </w:tcPr>
          <w:p>
            <w:r>
              <w:rPr>
                <w:b/>
              </w:rPr>
              <w:t xml:space="preserve">34.1×</w:t>
            </w:r>
          </w:p>
        </w:tc>
      </w:tr>
      <w:tr>
        <w:tc>
          <w:tcPr>
            <w:tcW w:w="1560" w:type="dxa"/>
          </w:tcPr>
          <w:p>
            <w:r>
              <w:t xml:space="preserve">no_text_ln（去掉文本 LN）</w:t>
            </w:r>
          </w:p>
        </w:tc>
        <w:tc>
          <w:tcPr>
            <w:tcW w:w="1560" w:type="dxa"/>
          </w:tcPr>
          <w:p>
            <w:r>
              <w:t xml:space="preserve">0.3963</w:t>
            </w:r>
          </w:p>
        </w:tc>
        <w:tc>
          <w:tcPr>
            <w:tcW w:w="1560" w:type="dxa"/>
          </w:tcPr>
          <w:p>
            <w:r>
              <w:t xml:space="preserve">0.7347</w:t>
            </w:r>
          </w:p>
        </w:tc>
        <w:tc>
          <w:tcPr>
            <w:tcW w:w="1560" w:type="dxa"/>
          </w:tcPr>
          <w:p>
            <w:r>
              <w:t xml:space="preserve">0.548×</w:t>
            </w:r>
          </w:p>
        </w:tc>
        <w:tc>
          <w:tcPr>
            <w:tcW w:w="1560" w:type="dxa"/>
          </w:tcPr>
          <w:p>
            <w:r>
              <w:t xml:space="preserve">0.0632</w:t>
            </w:r>
          </w:p>
        </w:tc>
        <w:tc>
          <w:tcPr>
            <w:tcW w:w="1560" w:type="dxa"/>
          </w:tcPr>
          <w:p>
            <w:r>
              <w:t xml:space="preserve">31.7×</w:t>
            </w:r>
          </w:p>
        </w:tc>
      </w:tr>
      <w:tr>
        <w:tc>
          <w:tcPr>
            <w:tcW w:w="1560" w:type="dxa"/>
          </w:tcPr>
          <w:p>
            <w:r>
              <w:t xml:space="preserve">no_lora</w:t>
            </w:r>
          </w:p>
        </w:tc>
        <w:tc>
          <w:tcPr>
            <w:tcW w:w="1560" w:type="dxa"/>
          </w:tcPr>
          <w:p>
            <w:r>
              <w:t xml:space="preserve">0.5554</w:t>
            </w:r>
          </w:p>
        </w:tc>
        <w:tc>
          <w:tcPr>
            <w:tcW w:w="1560" w:type="dxa"/>
          </w:tcPr>
          <w:p>
            <w:r>
              <w:t xml:space="preserve">0.7347</w:t>
            </w:r>
          </w:p>
        </w:tc>
        <w:tc>
          <w:tcPr>
            <w:tcW w:w="1560" w:type="dxa"/>
          </w:tcPr>
          <w:p>
            <w:r>
              <w:t xml:space="preserve">0.762×</w:t>
            </w:r>
          </w:p>
        </w:tc>
        <w:tc>
          <w:tcPr>
            <w:tcW w:w="1560" w:type="dxa"/>
          </w:tcPr>
          <w:p>
            <w:r>
              <w:t xml:space="preserve">0.1199</w:t>
            </w:r>
          </w:p>
        </w:tc>
        <w:tc>
          <w:tcPr>
            <w:tcW w:w="1560" w:type="dxa"/>
          </w:tcPr>
          <w:p>
            <w:r>
              <w:t xml:space="preserve">60.2×</w:t>
            </w:r>
          </w:p>
        </w:tc>
      </w:tr>
      <w:tr>
        <w:tc>
          <w:tcPr>
            <w:tcW w:w="1560" w:type="dxa"/>
          </w:tcPr>
          <w:p>
            <w:r>
              <w:t xml:space="preserve">gated_inject（本课题自定义）</w:t>
            </w:r>
          </w:p>
        </w:tc>
        <w:tc>
          <w:tcPr>
            <w:tcW w:w="1560" w:type="dxa"/>
          </w:tcPr>
          <w:p>
            <w:r>
              <w:t xml:space="preserve">0.00271</w:t>
            </w:r>
          </w:p>
        </w:tc>
        <w:tc>
          <w:tcPr>
            <w:tcW w:w="1560" w:type="dxa"/>
          </w:tcPr>
          <w:p>
            <w:r>
              <w:t xml:space="preserve">0.00271</w:t>
            </w:r>
          </w:p>
        </w:tc>
        <w:tc>
          <w:tcPr>
            <w:tcW w:w="1560" w:type="dxa"/>
          </w:tcPr>
          <w:p>
            <w:r>
              <w:rPr>
                <w:b/>
              </w:rPr>
              <w:t xml:space="preserve">1.000× (恰好均匀)</w:t>
            </w:r>
          </w:p>
        </w:tc>
        <w:tc>
          <w:tcPr>
            <w:tcW w:w="1560" w:type="dxa"/>
          </w:tcPr>
          <w:p>
            <w:r>
              <w:t xml:space="preserve">0.1819</w:t>
            </w:r>
          </w:p>
        </w:tc>
        <w:tc>
          <w:tcPr>
            <w:tcW w:w="1560" w:type="dxa"/>
          </w:tcPr>
          <w:p>
            <w:r>
              <w:t xml:space="preserve">67.1×</w:t>
            </w:r>
          </w:p>
        </w:tc>
      </w:tr>
    </w:tbl>
    <w:p/>
    <w:p>
      <w:pPr>
        <w:pStyle w:val="Quote"/>
        <w:ind w:left="360"/>
      </w:pPr>
      <w:r>
        <w:t xml:space="preserve">注：</w:t>
      </w:r>
      <w:r>
        <w:rPr>
          <w:b/>
        </w:rPr>
        <w:t xml:space="preserve">相对机会 = 实测文本注意力质量 ÷ 因果掩码机会基线</w:t>
      </w:r>
      <w:r>
        <w:t xml:space="preserve">（= n_text/(q+1) 的平均）。full 系列均 &lt;1，说明平均文本注意力</w:t>
      </w:r>
      <w:r>
        <w:rPr>
          <w:b/>
        </w:rPr>
        <w:t xml:space="preserve">低于随机因果基线</w:t>
      </w:r>
      <w:r>
        <w:t xml:space="preserve">（文本占序列 55.6%、机会基线 73.5%）；</w:t>
      </w:r>
      <w:r>
        <w:rPr>
          <w:b/>
        </w:rPr>
        <w:t xml:space="preserve">38.6% 仅是绝对占比，不能读作"文本被大量使用"</w:t>
      </w:r>
      <w:r>
        <w:t xml:space="preserve">。gated_inject 的均值恰好=均匀(1.000×)，其文本路由同样只集中在峰值(67×)。 |</w:t>
      </w:r>
    </w:p>
    <w:p>
      <w:r>
        <w:rPr>
          <w:b/>
        </w:rPr>
        <w:t xml:space="preserve">判读（三点，均很重要）：</w:t>
      </w:r>
    </w:p>
    <w:p>
      <w:pPr>
        <w:numPr>
          <w:ilvl w:val="0"/>
          <w:numId w:val="2"/>
        </w:numPr>
        <w:ind w:left="720" w:hanging="360"/>
      </w:pPr>
      <w:r>
        <w:rPr>
          <w:b/>
        </w:rPr>
        <w:t xml:space="preserve">原版架构的平均文本注意力低于随机，文本被稀疏、定点使用。</w:t>
      </w:r>
      <w:r>
        <w:t xml:space="preserve"> 时序 query 分配给文本 token 的注意力质量均值为 </w:t>
      </w:r>
      <w:r>
        <w:rPr>
          <w:b/>
        </w:rPr>
        <w:t xml:space="preserve">0.386</w:t>
      </w:r>
      <w:r>
        <w:t xml:space="preserve">，但因果掩码下的机会基线为 </w:t>
      </w:r>
      <w:r>
        <w:rPr>
          <w:b/>
        </w:rPr>
        <w:t xml:space="preserve">0.735</w:t>
      </w:r>
      <w:r>
        <w:t xml:space="preserve">（文本占序列 55.6%、且位于序列开头始终可见），故</w:t>
      </w:r>
      <w:r>
        <w:rPr>
          <w:b/>
        </w:rPr>
        <w:t xml:space="preserve">相对机会仅 0.526×——平均而言模型对文本的注意力反而低于随机因果注意力</w:t>
      </w:r>
      <w:r>
        <w:t xml:space="preserve">。唯一高于机会的信号是</w:t>
      </w:r>
      <w:r>
        <w:rPr>
          <w:b/>
        </w:rPr>
        <w:t xml:space="preserve">峰值 34×</w:t>
      </w:r>
      <w:r>
        <w:t xml:space="preserve">，即个别时间 query 对个别文本 token 的定点关注。因此"38.6% 落在文本上"</w:t>
      </w:r>
      <w:r>
        <w:rPr>
          <w:b/>
        </w:rPr>
        <w:t xml:space="preserve">不能读作'文本被大量使用'</w:t>
      </w:r>
      <w:r>
        <w:t xml:space="preserve">；文本"确实参与预测"的硬证据来自下方功能消融（no_multi），而非注意力质量。</w:t>
      </w:r>
    </w:p>
    <w:p>
      <w:pPr>
        <w:numPr>
          <w:ilvl w:val="0"/>
          <w:numId w:val="2"/>
        </w:numPr>
        <w:ind w:left="720" w:hanging="360"/>
      </w:pPr>
      <w:r>
        <w:rPr>
          <w:b/>
        </w:rPr>
        <w:t xml:space="preserve">"相对机会 0.526×"不等于"忽略文本"。</w:t>
      </w:r>
      <w:r>
        <w:t xml:space="preserve"> 文本占序列长度 369/663 ≈ 55.6%，因位于序列开头（因果掩码下始终可见）其机会水平高达 73.5%；模型实际给 38.6%，即</w:t>
      </w:r>
      <w:r>
        <w:rPr>
          <w:b/>
        </w:rPr>
        <w:t xml:space="preserve">相对其数量占比下调了权重，但仍投入超过三分之一的注意力预算</w:t>
      </w:r>
      <w:r>
        <w:t xml:space="preserve">。若真的"完全不用"，该值应趋近 0 而非 0.39。</w:t>
      </w:r>
    </w:p>
    <w:p>
      <w:pPr>
        <w:numPr>
          <w:ilvl w:val="0"/>
          <w:numId w:val="2"/>
        </w:numPr>
        <w:ind w:left="720" w:hanging="360"/>
      </w:pPr>
      <w:r>
        <w:rPr>
          <w:b/>
        </w:rPr>
        <w:t xml:space="preserve">去掉文本 LayerNorm 后，文本注意力几乎不变（0.526× → 0.548×，相对变化约 4%）。</w:t>
      </w:r>
      <w:r>
        <w:t xml:space="preserve"> 这是对"LN 捷径"机制的</w:t>
      </w:r>
      <w:r>
        <w:rPr>
          <w:b/>
        </w:rPr>
        <w:t xml:space="preserve">直接反证</w:t>
      </w:r>
      <w:r>
        <w:t xml:space="preserve">：若文本的影响真的经由 LN 的统计重标定实现，移除 LN 应当显著改变文本的被注意程度，但实测几乎无变化。</w:t>
      </w:r>
    </w:p>
    <w:p>
      <w:pPr>
        <w:pStyle w:val="Heading3"/>
      </w:pPr>
      <w:r>
        <w:t xml:space="preserve">证据 — 消融显著性检验（决定性）</w:t>
      </w:r>
    </w:p>
    <w:p>
      <w:pPr>
        <w:pStyle w:val="Quote"/>
        <w:ind w:left="360"/>
      </w:pPr>
      <w:r>
        <w:rPr>
          <w:b/>
        </w:rPr>
        <w:t xml:space="preserve">来源标注：(b) 本次复现实验新增结果</w:t>
      </w:r>
    </w:p>
    <w:p>
      <w:pPr>
        <w:pStyle w:val="Quote"/>
        <w:ind w:left="360"/>
      </w:pPr>
      <w:r>
        <w:t xml:space="preserve">脚本 </w:t>
      </w:r>
      <w:r>
        <w:rPr>
          <w:rFonts w:ascii="Consolas" w:hAnsi="Consolas"/>
        </w:rPr>
        <w:t xml:space="preserve">scripts/q6_ablation_significance.py</w:t>
      </w:r>
      <w:r>
        <w:t xml:space="preserve">；产物 </w:t>
      </w:r>
      <w:r>
        <w:rPr>
          <w:rFonts w:ascii="Consolas" w:hAnsi="Consolas"/>
        </w:rPr>
        <w:t xml:space="preserve">results/ili/metrics/q6_ablation_significance.csv</w:t>
      </w:r>
    </w:p>
    <w:p>
      <w:pPr>
        <w:pStyle w:val="Quote"/>
        <w:ind w:left="360"/>
      </w:pPr>
      <w:r>
        <w:t xml:space="preserve">数据来自 HPC 各变体的 10 rep（种子 42–51）汇总。</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1872"/>
        <w:gridCol w:w="1872"/>
        <w:gridCol w:w="1872"/>
        <w:gridCol w:w="1872"/>
        <w:gridCol w:w="1872"/>
      </w:tblGrid>
      <w:tr>
        <w:trPr>
          <w:tblHeader/>
        </w:trPr>
        <w:tc>
          <w:tcPr>
            <w:tcW w:w="1872" w:type="dxa"/>
            <w:shd w:val="clear" w:color="auto" w:fill="E8EEF7"/>
          </w:tcPr>
          <w:p>
            <w:r>
              <w:t xml:space="preserve">变体</w:t>
            </w:r>
          </w:p>
        </w:tc>
        <w:tc>
          <w:tcPr>
            <w:tcW w:w="1872" w:type="dxa"/>
            <w:shd w:val="clear" w:color="auto" w:fill="E8EEF7"/>
          </w:tcPr>
          <w:p>
            <w:r>
              <w:t xml:space="preserve">移除的内容</w:t>
            </w:r>
          </w:p>
        </w:tc>
        <w:tc>
          <w:tcPr>
            <w:tcW w:w="1872" w:type="dxa"/>
            <w:shd w:val="clear" w:color="auto" w:fill="E8EEF7"/>
          </w:tcPr>
          <w:p>
            <w:r>
              <w:t xml:space="preserve">ΔMSE</w:t>
            </w:r>
          </w:p>
        </w:tc>
        <w:tc>
          <w:tcPr>
            <w:tcW w:w="1872" w:type="dxa"/>
            <w:shd w:val="clear" w:color="auto" w:fill="E8EEF7"/>
          </w:tcPr>
          <w:p>
            <w:r>
              <w:t xml:space="preserve">p 值</w:t>
            </w:r>
          </w:p>
        </w:tc>
        <w:tc>
          <w:tcPr>
            <w:tcW w:w="1872" w:type="dxa"/>
            <w:shd w:val="clear" w:color="auto" w:fill="E8EEF7"/>
          </w:tcPr>
          <w:p>
            <w:r>
              <w:t xml:space="preserve">判定</w:t>
            </w:r>
          </w:p>
        </w:tc>
      </w:tr>
      <w:tr>
        <w:tc>
          <w:tcPr>
            <w:tcW w:w="1872" w:type="dxa"/>
          </w:tcPr>
          <w:p>
            <w:r>
              <w:rPr>
                <w:b/>
              </w:rPr>
              <w:t xml:space="preserve">no_multi</w:t>
            </w:r>
          </w:p>
        </w:tc>
        <w:tc>
          <w:tcPr>
            <w:tcW w:w="1872" w:type="dxa"/>
          </w:tcPr>
          <w:p>
            <w:r>
              <w:rPr>
                <w:b/>
              </w:rPr>
              <w:t xml:space="preserve">文本输入编码器整体移除</w:t>
            </w:r>
          </w:p>
        </w:tc>
        <w:tc>
          <w:tcPr>
            <w:tcW w:w="1872" w:type="dxa"/>
          </w:tcPr>
          <w:p>
            <w:r>
              <w:rPr>
                <w:b/>
              </w:rPr>
              <w:t xml:space="preserve">+0.7049</w:t>
            </w:r>
          </w:p>
        </w:tc>
        <w:tc>
          <w:tcPr>
            <w:tcW w:w="1872" w:type="dxa"/>
          </w:tcPr>
          <w:p>
            <w:r>
              <w:rPr>
                <w:b/>
              </w:rPr>
              <w:t xml:space="preserve">0.0108</w:t>
            </w:r>
          </w:p>
        </w:tc>
        <w:tc>
          <w:tcPr>
            <w:tcW w:w="1872" w:type="dxa"/>
          </w:tcPr>
          <w:p>
            <w:r>
              <w:rPr>
                <w:b/>
              </w:rPr>
              <w:t xml:space="preserve">显著</w:t>
            </w:r>
          </w:p>
        </w:tc>
      </w:tr>
      <w:tr>
        <w:tc>
          <w:tcPr>
            <w:tcW w:w="1872" w:type="dxa"/>
          </w:tcPr>
          <w:p>
            <w:r>
              <w:t xml:space="preserve">no_text_ln</w:t>
            </w:r>
          </w:p>
        </w:tc>
        <w:tc>
          <w:tcPr>
            <w:tcW w:w="1872" w:type="dxa"/>
          </w:tcPr>
          <w:p>
            <w:r>
              <w:t xml:space="preserve">仅移除文本 LayerNorm</w:t>
            </w:r>
          </w:p>
        </w:tc>
        <w:tc>
          <w:tcPr>
            <w:tcW w:w="1872" w:type="dxa"/>
          </w:tcPr>
          <w:p>
            <w:r>
              <w:t xml:space="preserve">+0.3129</w:t>
            </w:r>
          </w:p>
        </w:tc>
        <w:tc>
          <w:tcPr>
            <w:tcW w:w="1872" w:type="dxa"/>
          </w:tcPr>
          <w:p>
            <w:r>
              <w:t xml:space="preserve">0.1543</w:t>
            </w:r>
          </w:p>
        </w:tc>
        <w:tc>
          <w:tcPr>
            <w:tcW w:w="1872" w:type="dxa"/>
          </w:tcPr>
          <w:p>
            <w:r>
              <w:t xml:space="preserve">不显著</w:t>
            </w:r>
          </w:p>
        </w:tc>
      </w:tr>
      <w:tr>
        <w:tc>
          <w:tcPr>
            <w:tcW w:w="1872" w:type="dxa"/>
          </w:tcPr>
          <w:p>
            <w:r>
              <w:t xml:space="preserve">no_lora</w:t>
            </w:r>
          </w:p>
        </w:tc>
        <w:tc>
          <w:tcPr>
            <w:tcW w:w="1872" w:type="dxa"/>
          </w:tcPr>
          <w:p>
            <w:r>
              <w:t xml:space="preserve">仅移除 LoRA</w:t>
            </w:r>
          </w:p>
        </w:tc>
        <w:tc>
          <w:tcPr>
            <w:tcW w:w="1872" w:type="dxa"/>
          </w:tcPr>
          <w:p>
            <w:r>
              <w:t xml:space="preserve">+0.1613</w:t>
            </w:r>
          </w:p>
        </w:tc>
        <w:tc>
          <w:tcPr>
            <w:tcW w:w="1872" w:type="dxa"/>
          </w:tcPr>
          <w:p>
            <w:r>
              <w:t xml:space="preserve">0.4282</w:t>
            </w:r>
          </w:p>
        </w:tc>
        <w:tc>
          <w:tcPr>
            <w:tcW w:w="1872" w:type="dxa"/>
          </w:tcPr>
          <w:p>
            <w:r>
              <w:t xml:space="preserve">不显著</w:t>
            </w:r>
          </w:p>
        </w:tc>
      </w:tr>
      <w:tr>
        <w:tc>
          <w:tcPr>
            <w:tcW w:w="1872" w:type="dxa"/>
          </w:tcPr>
          <w:p>
            <w:r>
              <w:t xml:space="preserve">no_lora_multi</w:t>
            </w:r>
          </w:p>
        </w:tc>
        <w:tc>
          <w:tcPr>
            <w:tcW w:w="1872" w:type="dxa"/>
          </w:tcPr>
          <w:p>
            <w:r>
              <w:t xml:space="preserve">LoRA + 文本均移除（等价 GPT4TS）</w:t>
            </w:r>
          </w:p>
        </w:tc>
        <w:tc>
          <w:tcPr>
            <w:tcW w:w="1872" w:type="dxa"/>
          </w:tcPr>
          <w:p>
            <w:r>
              <w:t xml:space="preserve">+0.5808</w:t>
            </w:r>
          </w:p>
        </w:tc>
        <w:tc>
          <w:tcPr>
            <w:tcW w:w="1872" w:type="dxa"/>
          </w:tcPr>
          <w:p>
            <w:r>
              <w:t xml:space="preserve">0.0105</w:t>
            </w:r>
          </w:p>
        </w:tc>
        <w:tc>
          <w:tcPr>
            <w:tcW w:w="1872" w:type="dxa"/>
          </w:tcPr>
          <w:p>
            <w:r>
              <w:t xml:space="preserve">显著</w:t>
            </w:r>
          </w:p>
        </w:tc>
      </w:tr>
      <w:tr>
        <w:tc>
          <w:tcPr>
            <w:tcW w:w="1872" w:type="dxa"/>
          </w:tcPr>
          <w:p>
            <w:r>
              <w:t xml:space="preserve">gated_inject</w:t>
            </w:r>
          </w:p>
        </w:tc>
        <w:tc>
          <w:tcPr>
            <w:tcW w:w="1872" w:type="dxa"/>
          </w:tcPr>
          <w:p>
            <w:r>
              <w:t xml:space="preserve">ModalityAligner + 解冻 2 层（本课题自定义）</w:t>
            </w:r>
          </w:p>
        </w:tc>
        <w:tc>
          <w:tcPr>
            <w:tcW w:w="1872" w:type="dxa"/>
          </w:tcPr>
          <w:p>
            <w:r>
              <w:t xml:space="preserve">+0.5200</w:t>
            </w:r>
          </w:p>
        </w:tc>
        <w:tc>
          <w:tcPr>
            <w:tcW w:w="1872" w:type="dxa"/>
          </w:tcPr>
          <w:p>
            <w:r>
              <w:t xml:space="preserve">0.0107</w:t>
            </w:r>
          </w:p>
        </w:tc>
        <w:tc>
          <w:tcPr>
            <w:tcW w:w="1872" w:type="dxa"/>
          </w:tcPr>
          <w:p>
            <w:r>
              <w:t xml:space="preserve">显著</w:t>
            </w:r>
          </w:p>
        </w:tc>
      </w:tr>
    </w:tbl>
    <w:p/>
    <w:p>
      <w:r>
        <w:rPr>
          <w:b/>
        </w:rPr>
        <w:t xml:space="preserve">文本贡献拆解（MSE 单位）：</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3120"/>
        <w:gridCol w:w="3120"/>
        <w:gridCol w:w="3120"/>
      </w:tblGrid>
      <w:tr>
        <w:trPr>
          <w:tblHeader/>
        </w:trPr>
        <w:tc>
          <w:tcPr>
            <w:tcW w:w="3120" w:type="dxa"/>
            <w:shd w:val="clear" w:color="auto" w:fill="E8EEF7"/>
          </w:tcPr>
          <w:p>
            <w:r>
              <w:t xml:space="preserve">项</w:t>
            </w:r>
          </w:p>
        </w:tc>
        <w:tc>
          <w:tcPr>
            <w:tcW w:w="3120" w:type="dxa"/>
            <w:shd w:val="clear" w:color="auto" w:fill="E8EEF7"/>
          </w:tcPr>
          <w:p>
            <w:r>
              <w:t xml:space="preserve">数值</w:t>
            </w:r>
          </w:p>
        </w:tc>
        <w:tc>
          <w:tcPr>
            <w:tcW w:w="3120" w:type="dxa"/>
            <w:shd w:val="clear" w:color="auto" w:fill="E8EEF7"/>
          </w:tcPr>
          <w:p>
            <w:r>
              <w:t xml:space="preserve">占比</w:t>
            </w:r>
          </w:p>
        </w:tc>
      </w:tr>
      <w:tr>
        <w:tc>
          <w:tcPr>
            <w:tcW w:w="3120" w:type="dxa"/>
          </w:tcPr>
          <w:p>
            <w:r>
              <w:t xml:space="preserve">移除全部文本（no_multi）</w:t>
            </w:r>
          </w:p>
        </w:tc>
        <w:tc>
          <w:tcPr>
            <w:tcW w:w="3120" w:type="dxa"/>
          </w:tcPr>
          <w:p>
            <w:r>
              <w:t xml:space="preserve">+0.7049</w:t>
            </w:r>
          </w:p>
        </w:tc>
        <w:tc>
          <w:tcPr>
            <w:tcW w:w="3120" w:type="dxa"/>
          </w:tcPr>
          <w:p>
            <w:r>
              <w:t xml:space="preserve">100%</w:t>
            </w:r>
          </w:p>
        </w:tc>
      </w:tr>
      <w:tr>
        <w:tc>
          <w:tcPr>
            <w:tcW w:w="3120" w:type="dxa"/>
          </w:tcPr>
          <w:p>
            <w:r>
              <w:t xml:space="preserve">其中：可归因于文本 LayerNorm（no_text_ln）</w:t>
            </w:r>
          </w:p>
        </w:tc>
        <w:tc>
          <w:tcPr>
            <w:tcW w:w="3120" w:type="dxa"/>
          </w:tcPr>
          <w:p>
            <w:r>
              <w:t xml:space="preserve">+0.3129</w:t>
            </w:r>
          </w:p>
        </w:tc>
        <w:tc>
          <w:tcPr>
            <w:tcW w:w="3120" w:type="dxa"/>
          </w:tcPr>
          <w:p>
            <w:r>
              <w:rPr>
                <w:b/>
              </w:rPr>
              <w:t xml:space="preserve">44.4%</w:t>
            </w:r>
          </w:p>
        </w:tc>
      </w:tr>
      <w:tr>
        <w:tc>
          <w:tcPr>
            <w:tcW w:w="3120" w:type="dxa"/>
          </w:tcPr>
          <w:p>
            <w:r>
              <w:rPr>
                <w:b/>
              </w:rPr>
              <w:t xml:space="preserve">残差：不经过 LN 的文本贡献</w:t>
            </w:r>
          </w:p>
        </w:tc>
        <w:tc>
          <w:tcPr>
            <w:tcW w:w="3120" w:type="dxa"/>
          </w:tcPr>
          <w:p>
            <w:r>
              <w:rPr>
                <w:b/>
              </w:rPr>
              <w:t xml:space="preserve">+0.3920</w:t>
            </w:r>
          </w:p>
        </w:tc>
        <w:tc>
          <w:tcPr>
            <w:tcW w:w="3120" w:type="dxa"/>
          </w:tcPr>
          <w:p>
            <w:r>
              <w:rPr>
                <w:b/>
              </w:rPr>
              <w:t xml:space="preserve">55.6%</w:t>
            </w:r>
          </w:p>
        </w:tc>
      </w:tr>
    </w:tbl>
    <w:p/>
    <w:p>
      <w:r>
        <w:rPr>
          <w:b/>
        </w:rPr>
        <w:t xml:space="preserve">结论</w:t>
      </w:r>
      <w:r>
        <w:t xml:space="preserve">：彻底移除文本会造成</w:t>
      </w:r>
      <w:r>
        <w:rPr>
          <w:b/>
        </w:rPr>
        <w:t xml:space="preserve">统计显著</w:t>
      </w:r>
      <w:r>
        <w:t xml:space="preserve">的性能损失（p=0.011）；而仅移除文本 LN 的损失</w:t>
      </w:r>
      <w:r>
        <w:rPr>
          <w:b/>
        </w:rPr>
        <w:t xml:space="preserve">不显著</w:t>
      </w:r>
      <w:r>
        <w:t xml:space="preserve">（p=0.154）。</w:t>
      </w:r>
      <w:r>
        <w:rPr>
          <w:b/>
        </w:rPr>
        <w:t xml:space="preserve">超过一半（55.6%）的文本贡献并不经过 LayerNorm</w:t>
      </w:r>
      <w:r>
        <w:t xml:space="preserve">。因此"增益纯粹是 LN 统计捷径"这一机制解释</w:t>
      </w:r>
      <w:r>
        <w:rPr>
          <w:b/>
        </w:rPr>
        <w:t xml:space="preserve">不成立</w:t>
      </w:r>
      <w:r>
        <w:t xml:space="preserve">。</w:t>
      </w:r>
    </w:p>
    <w:p>
      <w:pPr>
        <w:pStyle w:val="Heading3"/>
      </w:pPr>
      <w:r>
        <w:t xml:space="preserve">证据 — 架构事实与复现差距</w:t>
      </w:r>
    </w:p>
    <w:p>
      <w:r>
        <w:rPr>
          <w:b/>
        </w:rPr>
        <w:t xml:space="preserve">(a) 架构确实高度冻结 —— 但论文已公开披露。</w:t>
      </w:r>
    </w:p>
    <w:p>
      <w:r>
        <w:t xml:space="preserve">MIFlu 论文 Section IV 原文（</w:t>
      </w:r>
      <w:r>
        <w:rPr>
          <w:rFonts w:ascii="Consolas" w:hAnsi="Consolas"/>
        </w:rPr>
        <w:t xml:space="preserve">MIFlu_paper.md</w:t>
      </w:r>
      <w:r>
        <w:t xml:space="preserve"> 第 214 行附近）：</w:t>
      </w:r>
    </w:p>
    <w:p>
      <w:pPr>
        <w:pStyle w:val="Quote"/>
        <w:ind w:left="360"/>
      </w:pPr>
      <w:r>
        <w:t xml:space="preserve">"Following standard technique [9], [21], only PE and layer-normalization layers are typically fine-tuned. [...] </w:t>
      </w:r>
      <w:r>
        <w:rPr>
          <w:b/>
        </w:rPr>
        <w:t xml:space="preserve">LoRA is applied only to the multi-head attention layer</w:t>
      </w:r>
      <w:r>
        <w:t xml:space="preserve">, letting the pre-trained LLM learn new relationships in h_fuse without compromising inference speed."</w:t>
      </w:r>
    </w:p>
    <w:p>
      <w:r>
        <w:t xml:space="preserve">即"除 PE / LayerNorm / LoRA 外基本冻结"是论文</w:t>
      </w:r>
      <w:r>
        <w:rPr>
          <w:b/>
        </w:rPr>
        <w:t xml:space="preserve">主动写明</w:t>
      </w:r>
      <w:r>
        <w:t xml:space="preserve">的设计选择，属于公开披露信息。将其作为"隐瞒"或"造假"的证据，与原文直接矛盾。</w:t>
      </w:r>
    </w:p>
    <w:p>
      <w:r>
        <w:rPr>
          <w:b/>
        </w:rPr>
        <w:t xml:space="preserve">(b) 复现差距确实存在（这是真实、可写入论文的发现）。</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2340"/>
        <w:gridCol w:w="2340"/>
        <w:gridCol w:w="2340"/>
        <w:gridCol w:w="2340"/>
      </w:tblGrid>
      <w:tr>
        <w:trPr>
          <w:tblHeader/>
        </w:trPr>
        <w:tc>
          <w:tcPr>
            <w:tcW w:w="2340" w:type="dxa"/>
            <w:shd w:val="clear" w:color="auto" w:fill="E8EEF7"/>
          </w:tcPr>
          <w:p>
            <w:r>
              <w:t xml:space="preserve">指标</w:t>
            </w:r>
          </w:p>
        </w:tc>
        <w:tc>
          <w:tcPr>
            <w:tcW w:w="2340" w:type="dxa"/>
            <w:shd w:val="clear" w:color="auto" w:fill="E8EEF7"/>
          </w:tcPr>
          <w:p>
            <w:r>
              <w:t xml:space="preserve">论文报告值</w:t>
            </w:r>
          </w:p>
        </w:tc>
        <w:tc>
          <w:tcPr>
            <w:tcW w:w="2340" w:type="dxa"/>
            <w:shd w:val="clear" w:color="auto" w:fill="E8EEF7"/>
          </w:tcPr>
          <w:p>
            <w:r>
              <w:t xml:space="preserve">本次复现值</w:t>
            </w:r>
          </w:p>
        </w:tc>
        <w:tc>
          <w:tcPr>
            <w:tcW w:w="2340" w:type="dxa"/>
            <w:shd w:val="clear" w:color="auto" w:fill="E8EEF7"/>
          </w:tcPr>
          <w:p>
            <w:r>
              <w:t xml:space="preserve">比值</w:t>
            </w:r>
          </w:p>
        </w:tc>
      </w:tr>
      <w:tr>
        <w:tc>
          <w:tcPr>
            <w:tcW w:w="2340" w:type="dxa"/>
          </w:tcPr>
          <w:p>
            <w:r>
              <w:t xml:space="preserve">L=24 MSE（Table V）</w:t>
            </w:r>
          </w:p>
        </w:tc>
        <w:tc>
          <w:tcPr>
            <w:tcW w:w="2340" w:type="dxa"/>
          </w:tcPr>
          <w:p>
            <w:r>
              <w:t xml:space="preserve">1.542</w:t>
            </w:r>
          </w:p>
        </w:tc>
        <w:tc>
          <w:tcPr>
            <w:tcW w:w="2340" w:type="dxa"/>
          </w:tcPr>
          <w:p>
            <w:r>
              <w:t xml:space="preserve">2.5187</w:t>
            </w:r>
          </w:p>
        </w:tc>
        <w:tc>
          <w:tcPr>
            <w:tcW w:w="2340" w:type="dxa"/>
          </w:tcPr>
          <w:p>
            <w:r>
              <w:t xml:space="preserve">1.63×</w:t>
            </w:r>
          </w:p>
        </w:tc>
      </w:tr>
      <w:tr>
        <w:tc>
          <w:tcPr>
            <w:tcW w:w="2340" w:type="dxa"/>
          </w:tcPr>
          <w:p>
            <w:r>
              <w:t xml:space="preserve">L=24 MAE（Table V）</w:t>
            </w:r>
          </w:p>
        </w:tc>
        <w:tc>
          <w:tcPr>
            <w:tcW w:w="2340" w:type="dxa"/>
          </w:tcPr>
          <w:p>
            <w:r>
              <w:t xml:space="preserve">0.726</w:t>
            </w:r>
          </w:p>
        </w:tc>
        <w:tc>
          <w:tcPr>
            <w:tcW w:w="2340" w:type="dxa"/>
          </w:tcPr>
          <w:p>
            <w:r>
              <w:t xml:space="preserve">1.0621</w:t>
            </w:r>
          </w:p>
        </w:tc>
        <w:tc>
          <w:tcPr>
            <w:tcW w:w="2340" w:type="dxa"/>
          </w:tcPr>
          <w:p>
            <w:r>
              <w:t xml:space="preserve">1.46×</w:t>
            </w:r>
          </w:p>
        </w:tc>
      </w:tr>
      <w:tr>
        <w:tc>
          <w:tcPr>
            <w:tcW w:w="2340" w:type="dxa"/>
          </w:tcPr>
          <w:p>
            <w:r>
              <w:t xml:space="preserve">四 horizon 平均 MSE（Table VIII）</w:t>
            </w:r>
          </w:p>
        </w:tc>
        <w:tc>
          <w:tcPr>
            <w:tcW w:w="2340" w:type="dxa"/>
          </w:tcPr>
          <w:p>
            <w:r>
              <w:t xml:space="preserve">1.436</w:t>
            </w:r>
          </w:p>
        </w:tc>
        <w:tc>
          <w:tcPr>
            <w:tcW w:w="2340" w:type="dxa"/>
          </w:tcPr>
          <w:p>
            <w:r>
              <w:t xml:space="preserve">3.1700</w:t>
            </w:r>
          </w:p>
        </w:tc>
        <w:tc>
          <w:tcPr>
            <w:tcW w:w="2340" w:type="dxa"/>
          </w:tcPr>
          <w:p>
            <w:r>
              <w:t xml:space="preserve">2.21×</w:t>
            </w:r>
          </w:p>
        </w:tc>
      </w:tr>
      <w:tr>
        <w:tc>
          <w:tcPr>
            <w:tcW w:w="2340" w:type="dxa"/>
          </w:tcPr>
          <w:p>
            <w:r>
              <w:t xml:space="preserve">四 horizon 平均 MAE（Table VIII）</w:t>
            </w:r>
          </w:p>
        </w:tc>
        <w:tc>
          <w:tcPr>
            <w:tcW w:w="2340" w:type="dxa"/>
          </w:tcPr>
          <w:p>
            <w:r>
              <w:t xml:space="preserve">0.745</w:t>
            </w:r>
          </w:p>
        </w:tc>
        <w:tc>
          <w:tcPr>
            <w:tcW w:w="2340" w:type="dxa"/>
          </w:tcPr>
          <w:p>
            <w:r>
              <w:t xml:space="preserve">1.1587</w:t>
            </w:r>
          </w:p>
        </w:tc>
        <w:tc>
          <w:tcPr>
            <w:tcW w:w="2340" w:type="dxa"/>
          </w:tcPr>
          <w:p>
            <w:r>
              <w:t xml:space="preserve">1.56×</w:t>
            </w:r>
          </w:p>
        </w:tc>
      </w:tr>
    </w:tbl>
    <w:p/>
    <w:p>
      <w:r>
        <w:t xml:space="preserve">论文来源：Moon J, Shim J, Kim E, Hwang E. MIFlu: Large Language Model-Based Multimodal Influenza Forecasting Scheme. </w:t>
      </w:r>
      <w:r>
        <w:rPr>
          <w:i/>
        </w:rPr>
        <w:t xml:space="preserve">IEEE J. Biomed. Health Inform.</w:t>
      </w:r>
      <w:r>
        <w:t xml:space="preserve">, vol.29, no.10, pp.7790–7801, Oct. 2025. DOI: 10.1109/JBHI.2025.3561214.</w:t>
      </w:r>
    </w:p>
    <w:p>
      <w:pPr>
        <w:pStyle w:val="Quote"/>
        <w:ind w:left="360"/>
      </w:pPr>
      <w:r>
        <w:rPr>
          <w:b/>
        </w:rPr>
        <w:t xml:space="preserve">⚠️ 必须谨慎表述的一点</w:t>
      </w:r>
      <w:r>
        <w:t xml:space="preserve">：存在数值差距</w:t>
      </w:r>
      <w:r>
        <w:rPr>
          <w:b/>
        </w:rPr>
        <w:t xml:space="preserve">不等于</w:t>
      </w:r>
      <w:r>
        <w:t xml:space="preserve">论文有误。我们</w:t>
      </w:r>
      <w:r>
        <w:rPr>
          <w:b/>
        </w:rPr>
        <w:t xml:space="preserve">没有作者的实现代码</w:t>
      </w:r>
      <w:r>
        <w:t xml:space="preserve">，无法排除差距源于我方实现与作者在提示词模板、数据版本、划分细节、评估口径（例如跨 7 个变量平均 vs 仅 ILITOTAL）等方面的差异。可辩护的表述是"本次独立复现未能复现论文报告的量级"，而</w:t>
      </w:r>
      <w:r>
        <w:rPr>
          <w:b/>
        </w:rPr>
        <w:t xml:space="preserve">不能</w:t>
      </w:r>
      <w:r>
        <w:t xml:space="preserve">表述为"论文数据不实"。</w:t>
      </w:r>
    </w:p>
    <w:p>
      <w:pPr>
        <w:pStyle w:val="Heading3"/>
      </w:pPr>
      <w:r>
        <w:t xml:space="preserve">【订正】关于项目内部流传的这条结论</w:t>
      </w:r>
    </w:p>
    <w:p>
      <w:pPr>
        <w:pStyle w:val="Quote"/>
        <w:ind w:left="360"/>
      </w:pPr>
      <w:r>
        <w:rPr>
          <w:b/>
        </w:rPr>
        <w:t xml:space="preserve">【订正1】</w:t>
      </w:r>
      <w:r>
        <w:t xml:space="preserve"> 支撑"文本未被使用"的两个统计量均不可作为证据：</w:t>
      </w:r>
    </w:p>
    <w:p>
      <w:pPr>
        <w:pStyle w:val="Quote"/>
        <w:ind w:left="720"/>
      </w:pPr>
      <w:r>
        <w:rPr>
          <w:rFonts w:ascii="Consolas" w:hAnsi="Consolas"/>
        </w:rPr>
        <w:t xml:space="preserve">extract_attention.py</w:t>
      </w:r>
      <w:r>
        <w:t xml:space="preserve"> 的 </w:t>
      </w:r>
      <w:r>
        <w:rPr>
          <w:rFonts w:ascii="Consolas" w:hAnsi="Consolas"/>
        </w:rPr>
        <w:t xml:space="preserve">mean_text_attention == uniform</w:t>
      </w:r>
      <w:r>
        <w:t xml:space="preserve">：对 cross-attention 而言，softmax 仅在文本 key 上归一化，故均值恒等于 1/n_text，</w:t>
      </w:r>
      <w:r>
        <w:rPr>
          <w:b/>
        </w:rPr>
        <w:t xml:space="preserve">是数学恒等式，零信息量</w:t>
      </w:r>
      <w:r>
        <w:t xml:space="preserve">。</w:t>
      </w:r>
    </w:p>
    <w:p>
      <w:pPr>
        <w:pStyle w:val="Quote"/>
        <w:ind w:left="720"/>
      </w:pPr>
      <w:r>
        <w:rPr>
          <w:rFonts w:ascii="Consolas" w:hAnsi="Consolas"/>
        </w:rPr>
        <w:t xml:space="preserve">plot_attention_proof.py</w:t>
      </w:r>
      <w:r>
        <w:t xml:space="preserve"> 将 </w:t>
      </w:r>
      <w:r>
        <w:rPr>
          <w:rFonts w:ascii="Consolas" w:hAnsi="Consolas"/>
        </w:rPr>
        <w:t xml:space="preserve">full</w:t>
      </w:r>
      <w:r>
        <w:t xml:space="preserve"> 的文本注意力</w:t>
      </w:r>
      <w:r>
        <w:rPr>
          <w:b/>
        </w:rPr>
        <w:t xml:space="preserve">画成 0</w:t>
      </w:r>
      <w:r>
        <w:t xml:space="preserve">：仅因 </w:t>
      </w:r>
      <w:r>
        <w:rPr>
          <w:rFonts w:ascii="Consolas" w:hAnsi="Consolas"/>
        </w:rPr>
        <w:t xml:space="preserve">full</w:t>
      </w:r>
      <w:r>
        <w:t xml:space="preserve"> 没有可 hook 的 cross-attention 模块。</w:t>
      </w:r>
      <w:r>
        <w:rPr>
          <w:b/>
        </w:rPr>
        <w:t xml:space="preserve">"没有可测量的模块"是测量手段的局限，不是"文本未被使用"的证据</w:t>
      </w:r>
      <w:r>
        <w:t xml:space="preserve">；原版本就通过 GPT-2 因果自注意力实现跨模态交互。</w:t>
      </w:r>
    </w:p>
    <w:p>
      <w:pPr>
        <w:pStyle w:val="Quote"/>
        <w:ind w:left="360"/>
      </w:pPr>
      <w:r>
        <w:rPr>
          <w:b/>
        </w:rPr>
        <w:t xml:space="preserve">【订正2】</w:t>
      </w:r>
      <w:r>
        <w:t xml:space="preserve"> </w:t>
      </w:r>
      <w:r>
        <w:rPr>
          <w:rFonts w:ascii="Consolas" w:hAnsi="Consolas"/>
        </w:rPr>
        <w:t xml:space="preserve">gated_inject</w:t>
      </w:r>
      <w:r>
        <w:t xml:space="preserve"> 与 </w:t>
      </w:r>
      <w:r>
        <w:rPr>
          <w:rFonts w:ascii="Consolas" w:hAnsi="Consolas"/>
        </w:rPr>
        <w:t xml:space="preserve">full</w:t>
      </w:r>
      <w:r>
        <w:t xml:space="preserve"> 的对比</w:t>
      </w:r>
      <w:r>
        <w:rPr>
          <w:b/>
        </w:rPr>
        <w:t xml:space="preserve">存在混淆变量</w:t>
      </w:r>
      <w:r>
        <w:t xml:space="preserve">。</w:t>
      </w:r>
      <w:r>
        <w:rPr>
          <w:rFonts w:ascii="Consolas" w:hAnsi="Consolas"/>
        </w:rPr>
        <w:t xml:space="preserve">gated_inject</w:t>
      </w:r>
      <w:r>
        <w:t xml:space="preserve"> 相对 </w:t>
      </w:r>
      <w:r>
        <w:rPr>
          <w:rFonts w:ascii="Consolas" w:hAnsi="Consolas"/>
        </w:rPr>
        <w:t xml:space="preserve">full</w:t>
      </w:r>
      <w:r>
        <w:t xml:space="preserve"> 改动了</w:t>
      </w:r>
      <w:r>
        <w:rPr>
          <w:b/>
        </w:rPr>
        <w:t xml:space="preserve">两处</w:t>
      </w:r>
      <w:r>
        <w:t xml:space="preserve">：加入 ModalityAligner </w:t>
      </w:r>
      <w:r>
        <w:rPr>
          <w:b/>
        </w:rPr>
        <w:t xml:space="preserve">以及</w:t>
      </w:r>
      <w:r>
        <w:t xml:space="preserve"> </w:t>
      </w:r>
      <w:r>
        <w:rPr>
          <w:rFonts w:ascii="Consolas" w:hAnsi="Consolas"/>
        </w:rPr>
        <w:t xml:space="preserve">unfreeze_first_k=2</w:t>
      </w:r>
      <w:r>
        <w:t xml:space="preserve">（额外解冻 2 层 GPT-2）。因此 MSE 2.52 → 3.04 的劣化</w:t>
      </w:r>
      <w:r>
        <w:rPr>
          <w:b/>
        </w:rPr>
        <w:t xml:space="preserve">不能单独归因于"强制使用文本"</w:t>
      </w:r>
      <w:r>
        <w:t xml:space="preserve">，部分或全部可能来自解冻带来的优化难度变化。用该对比"证明"LN 捷径，在因果上不成立。</w:t>
      </w:r>
    </w:p>
    <w:p>
      <w:pPr>
        <w:pStyle w:val="Quote"/>
        <w:ind w:left="360"/>
      </w:pPr>
      <w:r>
        <w:rPr>
          <w:b/>
        </w:rPr>
        <w:t xml:space="preserve">【订正3】</w:t>
      </w:r>
      <w:r>
        <w:t xml:space="preserve"> "论文在说谎"属于对</w:t>
      </w:r>
      <w:r>
        <w:rPr>
          <w:b/>
        </w:rPr>
        <w:t xml:space="preserve">主观意图</w:t>
      </w:r>
      <w:r>
        <w:t xml:space="preserve">的指控，任何代码与数值结果都无法证明。且我们不具备作者代码，缺乏判定所需的关键证据。此类表述一旦写入学位论文或答辩材料，风险极高且无法自证，应当删除。</w:t>
      </w:r>
    </w:p>
    <w:p>
      <w:pPr>
        <w:pStyle w:val="Quote"/>
        <w:ind w:left="360"/>
      </w:pPr>
      <w:r>
        <w:rPr>
          <w:b/>
        </w:rPr>
        <w:t xml:space="preserve">【订正4】</w:t>
      </w:r>
      <w:r>
        <w:t xml:space="preserve"> "多模态注意力是关键机制"这一更强表述</w:t>
      </w:r>
      <w:r>
        <w:rPr>
          <w:b/>
        </w:rPr>
        <w:t xml:space="preserve">未被注意力模式支持</w:t>
      </w:r>
      <w:r>
        <w:t xml:space="preserve">，但"论文在说谎 / 无法复现"仍不可证。原版架构的平均文本注意力仅 </w:t>
      </w:r>
      <w:r>
        <w:rPr>
          <w:b/>
        </w:rPr>
        <w:t xml:space="preserve">0.526× 机会水平（低于随机）</w:t>
      </w:r>
      <w:r>
        <w:t xml:space="preserve">，并无"主导性跨模态关注"；真正将文本以高注意力路由的 </w:t>
      </w:r>
      <w:r>
        <w:rPr>
          <w:b/>
        </w:rPr>
        <w:t xml:space="preserve">ModalityAligner（峰值 67×）是本课题自定义的模块，不在原论文中</w:t>
      </w:r>
      <w:r>
        <w:t xml:space="preserve">。因此本复现支持"文本有真实但小且间接的贡献"，但</w:t>
      </w:r>
      <w:r>
        <w:rPr>
          <w:b/>
        </w:rPr>
        <w:t xml:space="preserve">不支持</w:t>
      </w:r>
      <w:r>
        <w:t xml:space="preserve">"多模态注意力是原论文性能主要来源"这一推断。用户关于"原论文多模态注意力被夸大"的直觉</w:t>
      </w:r>
      <w:r>
        <w:rPr>
          <w:b/>
        </w:rPr>
        <w:t xml:space="preserve">部分成立</w:t>
      </w:r>
      <w:r>
        <w:t xml:space="preserve">；但"说谎""无法复现"属主观意图与作者实现层面，本复现无证据支撑，应删除。</w:t>
      </w:r>
    </w:p>
    <w:p>
      <w:pPr>
        <w:pStyle w:val="Heading3"/>
      </w:pPr>
      <w:r>
        <w:t xml:space="preserve">建议（方法论章节可采用的写法）</w:t>
      </w:r>
    </w:p>
    <w:p>
      <w:r>
        <w:t xml:space="preserve">建议采用如下可辩护的表述，它既如实报告了复现发现，又不越过证据边界：</w:t>
      </w:r>
    </w:p>
    <w:p>
      <w:pPr>
        <w:numPr>
          <w:ilvl w:val="0"/>
          <w:numId w:val="2"/>
        </w:numPr>
        <w:ind w:left="720" w:hanging="360"/>
      </w:pPr>
      <w:r>
        <w:rPr>
          <w:b/>
        </w:rPr>
        <w:t xml:space="preserve">关于多模态机制</w:t>
      </w:r>
      <w:r>
        <w:t xml:space="preserve">："在我们的独立实现中，移除文本输入编码器会造成统计显著的性能损失（ΔMSE +0.705, p=0.011），表明文本模态</w:t>
      </w:r>
      <w:r>
        <w:rPr>
          <w:b/>
        </w:rPr>
        <w:t xml:space="preserve">确实参与了预测</w:t>
      </w:r>
      <w:r>
        <w:t xml:space="preserve">。但注意力质量分析显示，时序 query 对文本的平均注意力仅 </w:t>
      </w:r>
      <w:r>
        <w:rPr>
          <w:b/>
        </w:rPr>
        <w:t xml:space="preserve">0.526× 机会水平（峰值 34×）</w:t>
      </w:r>
      <w:r>
        <w:t xml:space="preserve">，即文本是被</w:t>
      </w:r>
      <w:r>
        <w:rPr>
          <w:b/>
        </w:rPr>
        <w:t xml:space="preserve">稀疏、定点</w:t>
      </w:r>
      <w:r>
        <w:t xml:space="preserve">使用的，</w:t>
      </w:r>
      <w:r>
        <w:rPr>
          <w:b/>
        </w:rPr>
        <w:t xml:space="preserve">并非主导性的跨模态关注</w:t>
      </w:r>
      <w:r>
        <w:t xml:space="preserve">；原论文'多模态注意力是关键机制'的表述在本复现的注意力模式下</w:t>
      </w:r>
      <w:r>
        <w:rPr>
          <w:b/>
        </w:rPr>
        <w:t xml:space="preserve">未得到支持</w:t>
      </w:r>
      <w:r>
        <w:t xml:space="preserve">。"</w:t>
      </w:r>
    </w:p>
    <w:p>
      <w:pPr>
        <w:numPr>
          <w:ilvl w:val="0"/>
          <w:numId w:val="2"/>
        </w:numPr>
        <w:ind w:left="720" w:hanging="360"/>
      </w:pPr>
      <w:r>
        <w:rPr>
          <w:b/>
        </w:rPr>
        <w:t xml:space="preserve">关于 LayerNorm 的作用</w:t>
      </w:r>
      <w:r>
        <w:t xml:space="preserve">："文本 LayerNorm 可解释文本总贡献的 44.4%，但其单独移除的效应未达显著（p=0.154），且移除后文本注意力模式几乎不变。因此'增益纯由 LN 统计效应导致'的解释</w:t>
      </w:r>
      <w:r>
        <w:rPr>
          <w:b/>
        </w:rPr>
        <w:t xml:space="preserve">未获支持</w:t>
      </w:r>
      <w:r>
        <w:t xml:space="preserve">；同时也提示 LN 贡献了相当比重，值得在正文中如实报告这一构成。"</w:t>
      </w:r>
    </w:p>
    <w:p>
      <w:pPr>
        <w:numPr>
          <w:ilvl w:val="0"/>
          <w:numId w:val="2"/>
        </w:numPr>
        <w:ind w:left="720" w:hanging="360"/>
      </w:pPr>
      <w:r>
        <w:rPr>
          <w:b/>
        </w:rPr>
        <w:t xml:space="preserve">关于复现差距</w:t>
      </w:r>
      <w:r>
        <w:t xml:space="preserve">："本复现的 L=24 MSE 为 2.519，与论文报告的 1.542 存在 1.63× 差距；四 horizon 平均差距为 2.21×。由于论文未公开代码与部分实验细节（见问题四），</w:t>
      </w:r>
      <w:r>
        <w:rPr>
          <w:b/>
        </w:rPr>
        <w:t xml:space="preserve">我们无法判定差距来源</w:t>
      </w:r>
      <w:r>
        <w:t xml:space="preserve">，该差距同样可能与本报告的实现选择有关。"</w:t>
      </w:r>
    </w:p>
    <w:p>
      <w:pPr>
        <w:numPr>
          <w:ilvl w:val="0"/>
          <w:numId w:val="2"/>
        </w:numPr>
        <w:ind w:left="720" w:hanging="360"/>
      </w:pPr>
      <w:r>
        <w:rPr>
          <w:b/>
        </w:rPr>
        <w:t xml:space="preserve">关于原流程图的处置</w:t>
      </w:r>
      <w:r>
        <w:t xml:space="preserve">：建议将 </w:t>
      </w:r>
      <w:r>
        <w:rPr>
          <w:rFonts w:ascii="Consolas" w:hAnsi="Consolas"/>
        </w:rPr>
        <w:t xml:space="preserve">plot_attention_proof.py</w:t>
      </w:r>
      <w:r>
        <w:t xml:space="preserve"> 中"proves the original MIFlu gain was a LayerNorm statistical shortcut"的图注</w:t>
      </w:r>
      <w:r>
        <w:rPr>
          <w:b/>
        </w:rPr>
        <w:t xml:space="preserve">删除或改写</w:t>
      </w:r>
      <w:r>
        <w:t xml:space="preserve">，因为该"证明"依赖被混淆的对比与不可作为证据的统计量。</w:t>
      </w:r>
    </w:p>
    <w:p>
      <w:pPr>
        <w:pStyle w:val="Heading3"/>
      </w:pPr>
      <w:r>
        <w:t xml:space="preserve">代码验证结果（本次复现实验新增结果汇总）</w:t>
      </w:r>
    </w:p>
    <w:p>
      <w:pPr>
        <w:pStyle w:val="Quote"/>
        <w:ind w:left="360"/>
      </w:pPr>
      <w:r>
        <w:rPr>
          <w:b/>
        </w:rPr>
        <w:t xml:space="preserve">来源标注：(b) 本次复现实验新增结果</w:t>
      </w:r>
      <w:r>
        <w:t xml:space="preserve">（除非另注明）</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2340"/>
        <w:gridCol w:w="2340"/>
        <w:gridCol w:w="2340"/>
        <w:gridCol w:w="2340"/>
      </w:tblGrid>
      <w:tr>
        <w:trPr>
          <w:tblHeader/>
        </w:trPr>
        <w:tc>
          <w:tcPr>
            <w:tcW w:w="2340" w:type="dxa"/>
            <w:shd w:val="clear" w:color="auto" w:fill="E8EEF7"/>
          </w:tcPr>
          <w:p>
            <w:r>
              <w:t xml:space="preserve">#</w:t>
            </w:r>
          </w:p>
        </w:tc>
        <w:tc>
          <w:tcPr>
            <w:tcW w:w="2340" w:type="dxa"/>
            <w:shd w:val="clear" w:color="auto" w:fill="E8EEF7"/>
          </w:tcPr>
          <w:p>
            <w:r>
              <w:t xml:space="preserve">核验项</w:t>
            </w:r>
          </w:p>
        </w:tc>
        <w:tc>
          <w:tcPr>
            <w:tcW w:w="2340" w:type="dxa"/>
            <w:shd w:val="clear" w:color="auto" w:fill="E8EEF7"/>
          </w:tcPr>
          <w:p>
            <w:r>
              <w:t xml:space="preserve">结果</w:t>
            </w:r>
          </w:p>
        </w:tc>
        <w:tc>
          <w:tcPr>
            <w:tcW w:w="2340" w:type="dxa"/>
            <w:shd w:val="clear" w:color="auto" w:fill="E8EEF7"/>
          </w:tcPr>
          <w:p>
            <w:r>
              <w:t xml:space="preserve">判定</w:t>
            </w:r>
          </w:p>
        </w:tc>
      </w:tr>
      <w:tr>
        <w:tc>
          <w:tcPr>
            <w:tcW w:w="2340" w:type="dxa"/>
          </w:tcPr>
          <w:p>
            <w:r>
              <w:t xml:space="preserve">1</w:t>
            </w:r>
          </w:p>
        </w:tc>
        <w:tc>
          <w:tcPr>
            <w:tcW w:w="2340" w:type="dxa"/>
          </w:tcPr>
          <w:p>
            <w:r>
              <w:t xml:space="preserve">原版架构平均文本注意力（相对机会）</w:t>
            </w:r>
          </w:p>
        </w:tc>
        <w:tc>
          <w:tcPr>
            <w:tcW w:w="2340" w:type="dxa"/>
          </w:tcPr>
          <w:p>
            <w:r>
              <w:t xml:space="preserve">0.526× 机会水平（峰值 34.1×）</w:t>
            </w:r>
          </w:p>
        </w:tc>
        <w:tc>
          <w:tcPr>
            <w:tcW w:w="2340" w:type="dxa"/>
          </w:tcPr>
          <w:p>
            <w:r>
              <w:t xml:space="preserve">平均低于随机、文本被稀疏使用；①由 no_multi 功能消融否定</w:t>
            </w:r>
          </w:p>
        </w:tc>
      </w:tr>
      <w:tr>
        <w:tc>
          <w:tcPr>
            <w:tcW w:w="2340" w:type="dxa"/>
          </w:tcPr>
          <w:p>
            <w:r>
              <w:t xml:space="preserve">2</w:t>
            </w:r>
          </w:p>
        </w:tc>
        <w:tc>
          <w:tcPr>
            <w:tcW w:w="2340" w:type="dxa"/>
          </w:tcPr>
          <w:p>
            <w:r>
              <w:t xml:space="preserve">彻底移除文本（no_multi）</w:t>
            </w:r>
          </w:p>
        </w:tc>
        <w:tc>
          <w:tcPr>
            <w:tcW w:w="2340" w:type="dxa"/>
          </w:tcPr>
          <w:p>
            <w:r>
              <w:t xml:space="preserve">ΔMSE +0.7049, p=0.0108</w:t>
            </w:r>
          </w:p>
        </w:tc>
        <w:tc>
          <w:tcPr>
            <w:tcW w:w="2340" w:type="dxa"/>
          </w:tcPr>
          <w:p>
            <w:r>
              <w:t xml:space="preserve">文本贡献显著 → ①不成立</w:t>
            </w:r>
          </w:p>
        </w:tc>
      </w:tr>
      <w:tr>
        <w:tc>
          <w:tcPr>
            <w:tcW w:w="2340" w:type="dxa"/>
          </w:tcPr>
          <w:p>
            <w:r>
              <w:t xml:space="preserve">3</w:t>
            </w:r>
          </w:p>
        </w:tc>
        <w:tc>
          <w:tcPr>
            <w:tcW w:w="2340" w:type="dxa"/>
          </w:tcPr>
          <w:p>
            <w:r>
              <w:t xml:space="preserve">仅移除文本 LN（no_text_ln）</w:t>
            </w:r>
          </w:p>
        </w:tc>
        <w:tc>
          <w:tcPr>
            <w:tcW w:w="2340" w:type="dxa"/>
          </w:tcPr>
          <w:p>
            <w:r>
              <w:t xml:space="preserve">ΔMSE +0.3129, p=0.1543（不显著）</w:t>
            </w:r>
          </w:p>
        </w:tc>
        <w:tc>
          <w:tcPr>
            <w:tcW w:w="2340" w:type="dxa"/>
          </w:tcPr>
          <w:p>
            <w:r>
              <w:t xml:space="preserve">②不成立</w:t>
            </w:r>
          </w:p>
        </w:tc>
      </w:tr>
      <w:tr>
        <w:tc>
          <w:tcPr>
            <w:tcW w:w="2340" w:type="dxa"/>
          </w:tcPr>
          <w:p>
            <w:r>
              <w:t xml:space="preserve">4</w:t>
            </w:r>
          </w:p>
        </w:tc>
        <w:tc>
          <w:tcPr>
            <w:tcW w:w="2340" w:type="dxa"/>
          </w:tcPr>
          <w:p>
            <w:r>
              <w:t xml:space="preserve">文本贡献中 LN 可解释比例</w:t>
            </w:r>
          </w:p>
        </w:tc>
        <w:tc>
          <w:tcPr>
            <w:tcW w:w="2340" w:type="dxa"/>
          </w:tcPr>
          <w:p>
            <w:r>
              <w:t xml:space="preserve">44.4%（残差 55.6% 非 LN 路径）</w:t>
            </w:r>
          </w:p>
        </w:tc>
        <w:tc>
          <w:tcPr>
            <w:tcW w:w="2340" w:type="dxa"/>
          </w:tcPr>
          <w:p>
            <w:r>
              <w:t xml:space="preserve">②不成立</w:t>
            </w:r>
          </w:p>
        </w:tc>
      </w:tr>
      <w:tr>
        <w:tc>
          <w:tcPr>
            <w:tcW w:w="2340" w:type="dxa"/>
          </w:tcPr>
          <w:p>
            <w:r>
              <w:t xml:space="preserve">5</w:t>
            </w:r>
          </w:p>
        </w:tc>
        <w:tc>
          <w:tcPr>
            <w:tcW w:w="2340" w:type="dxa"/>
          </w:tcPr>
          <w:p>
            <w:r>
              <w:t xml:space="preserve">移除 LN 后文本注意力变化</w:t>
            </w:r>
          </w:p>
        </w:tc>
        <w:tc>
          <w:tcPr>
            <w:tcW w:w="2340" w:type="dxa"/>
          </w:tcPr>
          <w:p>
            <w:r>
              <w:t xml:space="preserve">0.526× → 0.548×（≈4%）</w:t>
            </w:r>
          </w:p>
        </w:tc>
        <w:tc>
          <w:tcPr>
            <w:tcW w:w="2340" w:type="dxa"/>
          </w:tcPr>
          <w:p>
            <w:r>
              <w:t xml:space="preserve">机制上不支持 LN 捷径</w:t>
            </w:r>
          </w:p>
        </w:tc>
      </w:tr>
      <w:tr>
        <w:tc>
          <w:tcPr>
            <w:tcW w:w="2340" w:type="dxa"/>
          </w:tcPr>
          <w:p>
            <w:r>
              <w:t xml:space="preserve">6</w:t>
            </w:r>
          </w:p>
        </w:tc>
        <w:tc>
          <w:tcPr>
            <w:tcW w:w="2340" w:type="dxa"/>
          </w:tcPr>
          <w:p>
            <w:r>
              <w:t xml:space="preserve">架构冻结范围</w:t>
            </w:r>
          </w:p>
        </w:tc>
        <w:tc>
          <w:tcPr>
            <w:tcW w:w="2340" w:type="dxa"/>
          </w:tcPr>
          <w:p>
            <w:r>
              <w:t xml:space="preserve">论文 Section IV 已公开披露</w:t>
            </w:r>
          </w:p>
        </w:tc>
        <w:tc>
          <w:tcPr>
            <w:tcW w:w="2340" w:type="dxa"/>
          </w:tcPr>
          <w:p>
            <w:r>
              <w:t xml:space="preserve">③成立但非隐瞒</w:t>
            </w:r>
          </w:p>
        </w:tc>
      </w:tr>
      <w:tr>
        <w:tc>
          <w:tcPr>
            <w:tcW w:w="2340" w:type="dxa"/>
          </w:tcPr>
          <w:p>
            <w:r>
              <w:t xml:space="preserve">7</w:t>
            </w:r>
          </w:p>
        </w:tc>
        <w:tc>
          <w:tcPr>
            <w:tcW w:w="2340" w:type="dxa"/>
          </w:tcPr>
          <w:p>
            <w:r>
              <w:t xml:space="preserve">与论文数值差距</w:t>
            </w:r>
          </w:p>
        </w:tc>
        <w:tc>
          <w:tcPr>
            <w:tcW w:w="2340" w:type="dxa"/>
          </w:tcPr>
          <w:p>
            <w:r>
              <w:t xml:space="preserve">MSE 1.63× (L=24) / 2.21× (四 horizon 均值)</w:t>
            </w:r>
          </w:p>
        </w:tc>
        <w:tc>
          <w:tcPr>
            <w:tcW w:w="2340" w:type="dxa"/>
          </w:tcPr>
          <w:p>
            <w:r>
              <w:t xml:space="preserve">⑤部分成立</w:t>
            </w:r>
          </w:p>
        </w:tc>
      </w:tr>
    </w:tbl>
    <w:p/>
    <w:p>
      <w:r>
        <w:rPr>
          <w:b/>
        </w:rPr>
        <w:t xml:space="preserve">HPC 作业</w:t>
      </w:r>
      <w:r>
        <w:t xml:space="preserve">：</w:t>
      </w:r>
      <w:r>
        <w:rPr>
          <w:rFonts w:ascii="Consolas" w:hAnsi="Consolas"/>
        </w:rPr>
        <w:t xml:space="preserve">521890</w:t>
      </w:r>
      <w:r>
        <w:t xml:space="preserve">（</w:t>
      </w:r>
      <w:r>
        <w:rPr>
          <w:rFonts w:ascii="Consolas" w:hAnsi="Consolas"/>
        </w:rPr>
        <w:t xml:space="preserve">scripts/submit_q6_attention_audit.sh</w:t>
      </w:r>
      <w:r>
        <w:t xml:space="preserve">，stingy 分区 / A100 / 16G，注意力审计，约 2 分钟）。本次核验</w:t>
      </w:r>
      <w:r>
        <w:rPr>
          <w:b/>
        </w:rPr>
        <w:t xml:space="preserve">未新增训练作业</w:t>
      </w:r>
      <w:r>
        <w:t xml:space="preserve">——所有消融与配方实验此前均已完成 10 rep。</w:t>
      </w:r>
    </w:p>
    <w:p>
      <w:pPr>
        <w:pBdr>
          <w:bottom w:val="single" w:sz="6" w:space="1" w:color="BBBBBB"/>
        </w:pBdr>
      </w:pPr>
    </w:p>
    <w:p>
      <w:pPr>
        <w:pStyle w:val="Heading2"/>
      </w:pPr>
      <w:r>
        <w:t xml:space="preserve">参考文献 / 证据链接汇总</w:t>
      </w:r>
    </w:p>
    <w:p>
      <w:pPr>
        <w:numPr>
          <w:ilvl w:val="0"/>
          <w:numId w:val="2"/>
        </w:numPr>
        <w:ind w:left="720" w:hanging="360"/>
      </w:pPr>
      <w:r>
        <w:t xml:space="preserve">Kramer SC, Shaman J. Development and validation of influenza forecasting for 64 temperate and tropical countries. </w:t>
      </w:r>
      <w:r>
        <w:rPr>
          <w:i/>
        </w:rPr>
        <w:t xml:space="preserve">PLOS Computational Biology</w:t>
      </w:r>
      <w:r>
        <w:t xml:space="preserve">, 2019. DOI: 10.1371/journal.pcbi.1006742. </w:t>
      </w:r>
      <w:hyperlink r:id="rId18">
        <w:r>
          <w:rPr>
            <w:color w:val="0563C1"/>
            <w:u w:val="single"/>
          </w:rPr>
          <w:t xml:space="preserve">https://journals.plos.org/ploscompbiol/article?id=10.1371%2Fjournal.pcbi.1006742</w:t>
        </w:r>
      </w:hyperlink>
    </w:p>
    <w:p>
      <w:pPr>
        <w:numPr>
          <w:ilvl w:val="0"/>
          <w:numId w:val="2"/>
        </w:numPr>
        <w:ind w:left="720" w:hanging="360"/>
      </w:pPr>
      <w:r>
        <w:t xml:space="preserve">McDonald et al. Flusion: Integrating multiple data sources for accurate influenza predictions. arXiv:2407.19054 / ScienceDirect. </w:t>
      </w:r>
      <w:hyperlink r:id="rId19">
        <w:r>
          <w:rPr>
            <w:color w:val="0563C1"/>
            <w:u w:val="single"/>
          </w:rPr>
          <w:t xml:space="preserve">https://www.sciencedirect.com/science/article/pii/S1755436524000719</w:t>
        </w:r>
      </w:hyperlink>
    </w:p>
    <w:p>
      <w:pPr>
        <w:numPr>
          <w:ilvl w:val="0"/>
          <w:numId w:val="2"/>
        </w:numPr>
        <w:ind w:left="720" w:hanging="360"/>
      </w:pPr>
      <w:r>
        <w:t xml:space="preserve">Evaluation of FluSight influenza forecasting in the 2021–22 and 2022–23 seasons with a new target laboratory-confirmed influenza hospitalizations. </w:t>
      </w:r>
      <w:r>
        <w:rPr>
          <w:i/>
        </w:rPr>
        <w:t xml:space="preserve">Nature Communications</w:t>
      </w:r>
      <w:r>
        <w:t xml:space="preserve"> / PMC, 2024. </w:t>
      </w:r>
      <w:hyperlink r:id="rId20">
        <w:r>
          <w:rPr>
            <w:color w:val="0563C1"/>
            <w:u w:val="single"/>
          </w:rPr>
          <w:t xml:space="preserve">https://www.ncbi.nlm.nih.gov/pmc/articles/PMC11282251/</w:t>
        </w:r>
      </w:hyperlink>
    </w:p>
    <w:p>
      <w:pPr>
        <w:numPr>
          <w:ilvl w:val="0"/>
          <w:numId w:val="2"/>
        </w:numPr>
        <w:ind w:left="720" w:hanging="360"/>
      </w:pPr>
      <w:r>
        <w:t xml:space="preserve">Expanding optimization ensemble model methods for forecasting seasonal influenza in the U.S. medRxiv 2025.11.24.25340597 / ScienceDirect. </w:t>
      </w:r>
      <w:hyperlink r:id="rId21">
        <w:r>
          <w:rPr>
            <w:color w:val="0563C1"/>
            <w:u w:val="single"/>
          </w:rPr>
          <w:t xml:space="preserve">https://www.medrxiv.org/content/10.1101/2025.11.24.25340597.full.pdf</w:t>
        </w:r>
      </w:hyperlink>
    </w:p>
    <w:p>
      <w:pPr>
        <w:numPr>
          <w:ilvl w:val="0"/>
          <w:numId w:val="2"/>
        </w:numPr>
        <w:ind w:left="720" w:hanging="360"/>
      </w:pPr>
      <w:r>
        <w:t xml:space="preserve">Washington State Influenza Summary 2020–2021 Season. WA Dept. of Health. </w:t>
      </w:r>
      <w:hyperlink r:id="rId22">
        <w:r>
          <w:rPr>
            <w:color w:val="0563C1"/>
            <w:u w:val="single"/>
          </w:rPr>
          <w:t xml:space="preserve">https://doh.wa.gov/sites/default/files/2022-02/420-100-FluUpdateSeason2021.pdf</w:t>
        </w:r>
      </w:hyperlink>
    </w:p>
    <w:p>
      <w:pPr>
        <w:numPr>
          <w:ilvl w:val="0"/>
          <w:numId w:val="2"/>
        </w:numPr>
        <w:ind w:left="720" w:hanging="360"/>
      </w:pPr>
      <w:r>
        <w:t xml:space="preserve">Decreased Seasonal Influenza Rates Detected in a Crowdsourced ILI Surveillance System During the COVID-19 Pandemic. </w:t>
      </w:r>
      <w:r>
        <w:rPr>
          <w:i/>
        </w:rPr>
        <w:t xml:space="preserve">JMIR Public Health Surveill</w:t>
      </w:r>
      <w:r>
        <w:t xml:space="preserve">, 2023. DOI: 10.2196/40216. </w:t>
      </w:r>
      <w:hyperlink r:id="rId23">
        <w:r>
          <w:rPr>
            <w:color w:val="0563C1"/>
            <w:u w:val="single"/>
          </w:rPr>
          <w:t xml:space="preserve">https://doi.org/10.2196/40216</w:t>
        </w:r>
      </w:hyperlink>
    </w:p>
    <w:p>
      <w:pPr>
        <w:numPr>
          <w:ilvl w:val="0"/>
          <w:numId w:val="2"/>
        </w:numPr>
        <w:ind w:left="720" w:hanging="360"/>
      </w:pPr>
      <w:r>
        <w:t xml:space="preserve">Influenza's Plummeting During the COVID-19 Pandemic: The Roles of Mask-Wearing, Mobility Change, and SARS-CoV-2 Interference. PMC8808434. </w:t>
      </w:r>
      <w:hyperlink r:id="rId24">
        <w:r>
          <w:rPr>
            <w:color w:val="0563C1"/>
            <w:u w:val="single"/>
          </w:rPr>
          <w:t xml:space="preserve">https://pmc.ncbi.nlm.nih.gov/articles/PMC8808434/</w:t>
        </w:r>
      </w:hyperlink>
    </w:p>
    <w:p>
      <w:pPr>
        <w:numPr>
          <w:ilvl w:val="0"/>
          <w:numId w:val="2"/>
        </w:numPr>
        <w:ind w:left="720" w:hanging="360"/>
      </w:pPr>
      <w:r>
        <w:t xml:space="preserve">CDC FluView Summary ending on April 3, 2021. </w:t>
      </w:r>
      <w:hyperlink r:id="rId25">
        <w:r>
          <w:rPr>
            <w:color w:val="0563C1"/>
            <w:u w:val="single"/>
          </w:rPr>
          <w:t xml:space="preserve">https://www.cdc.gov/flu/weekly/weeklyarchives2020-2021/</w:t>
        </w:r>
      </w:hyperlink>
    </w:p>
    <w:p>
      <w:pPr>
        <w:numPr>
          <w:ilvl w:val="0"/>
          <w:numId w:val="2"/>
        </w:numPr>
        <w:ind w:left="720" w:hanging="360"/>
      </w:pPr>
      <w:r>
        <w:t xml:space="preserve">Rethinking the Role of LLMs in Time Series Forecasting. arXiv:2602.14744. </w:t>
      </w:r>
      <w:hyperlink r:id="rId26">
        <w:r>
          <w:rPr>
            <w:color w:val="0563C1"/>
            <w:u w:val="single"/>
          </w:rPr>
          <w:t xml:space="preserve">https://arxiv.org/html/2602.14744v2</w:t>
        </w:r>
      </w:hyperlink>
    </w:p>
    <w:p>
      <w:pPr>
        <w:numPr>
          <w:ilvl w:val="0"/>
          <w:numId w:val="2"/>
        </w:numPr>
        <w:ind w:left="720" w:hanging="360"/>
      </w:pPr>
      <w:r>
        <w:t xml:space="preserve">Moon J, Shim J, Kim E, Hwang E. MIFlu: Large Language Model-Based Multimodal Influenza Forecasting Scheme. </w:t>
      </w:r>
      <w:r>
        <w:rPr>
          <w:i/>
        </w:rPr>
        <w:t xml:space="preserve">IEEE J. Biomed. Health Inform.</w:t>
      </w:r>
      <w:r>
        <w:t xml:space="preserve">, vol.29, no.10, pp.7790–7801, Oct. 2025. DOI: 10.1109/JBHI.2025.3561214.</w:t>
      </w:r>
    </w:p>
    <w:p>
      <w:pPr>
        <w:numPr>
          <w:ilvl w:val="0"/>
          <w:numId w:val="2"/>
        </w:numPr>
        <w:ind w:left="720" w:hanging="360"/>
      </w:pPr>
      <w:r>
        <w:t xml:space="preserve">Enhancing Influenza-Like Illness forecasting: An ensemble approach combining mathematical and deep learning models amidst the COVID-19 pandemic. ScienceDirect, 2026. </w:t>
      </w:r>
      <w:hyperlink r:id="rId27">
        <w:r>
          <w:rPr>
            <w:color w:val="0563C1"/>
            <w:u w:val="single"/>
          </w:rPr>
          <w:t xml:space="preserve">https://www.sciencedirect.com/science/article/pii/S1755436526000174</w:t>
        </w:r>
      </w:hyperlink>
    </w:p>
    <w:p>
      <w:pPr>
        <w:numPr>
          <w:ilvl w:val="0"/>
          <w:numId w:val="2"/>
        </w:numPr>
        <w:ind w:left="720" w:hanging="360"/>
      </w:pPr>
      <w:r>
        <w:t xml:space="preserve">MeteoGST: Meteorology-Driven Spatiotemporal Graph Learning for Epidemic Influenza Forecasting. </w:t>
      </w:r>
      <w:r>
        <w:rPr>
          <w:i/>
        </w:rPr>
        <w:t xml:space="preserve">Applied Sciences</w:t>
      </w:r>
      <w:r>
        <w:t xml:space="preserve"> (MDPI), 2026. </w:t>
      </w:r>
      <w:hyperlink r:id="rId28">
        <w:r>
          <w:rPr>
            <w:color w:val="0563C1"/>
            <w:u w:val="single"/>
          </w:rPr>
          <w:t xml:space="preserve">https://doi.org/10.3390/app16157586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SimSun"/>
        <w:sz w:val="22"/>
      </w:rPr>
    </w:rPrDefault>
  </w:docDefaults>
  <w:style w:type="paragraph" w:default="1" w:styleId="Normal">
    <w:name w:val="Normal"/>
    <w:qFormat/>
    <w:pPr>
      <w:spacing w:after="120" w:line="264" w:lineRule="auto"/>
    </w:pPr>
  </w:style>
  <w:style w:type="paragraph" w:styleId="Heading1">
    <w:name w:val="heading 1"/>
    <w:basedOn w:val="Normal"/>
    <w:qFormat/>
    <w:pPr>
      <w:outlineLvl w:val="0"/>
      <w:spacing w:before="240" w:after="180"/>
    </w:pPr>
    <w:rPr>
      <w:b/>
      <w:sz w:val="36"/>
      <w:color w:val="1F3864"/>
    </w:rPr>
  </w:style>
  <w:style w:type="paragraph" w:styleId="Heading2">
    <w:name w:val="heading 2"/>
    <w:basedOn w:val="Normal"/>
    <w:qFormat/>
    <w:pPr>
      <w:outlineLvl w:val="1"/>
      <w:spacing w:before="280" w:after="160"/>
      <w:pBdr>
        <w:bottom w:val="single" w:sz="6" w:space="2" w:color="8EAADB"/>
      </w:pBdr>
    </w:pPr>
    <w:rPr>
      <w:b/>
      <w:sz w:val="30"/>
      <w:color w:val="2E5496"/>
    </w:rPr>
  </w:style>
  <w:style w:type="paragraph" w:styleId="Heading3">
    <w:name w:val="heading 3"/>
    <w:basedOn w:val="Normal"/>
    <w:qFormat/>
    <w:pPr>
      <w:outlineLvl w:val="2"/>
      <w:spacing w:before="220" w:after="120"/>
    </w:pPr>
    <w:rPr>
      <w:b/>
      <w:sz w:val="26"/>
      <w:color w:val="2E5496"/>
    </w:rPr>
  </w:style>
  <w:style w:type="paragraph" w:styleId="Heading4">
    <w:name w:val="heading 4"/>
    <w:basedOn w:val="Normal"/>
    <w:qFormat/>
    <w:pPr>
      <w:outlineLvl w:val="3"/>
      <w:spacing w:before="180" w:after="100"/>
    </w:pPr>
    <w:rPr>
      <w:b/>
      <w:sz w:val="24"/>
    </w:rPr>
  </w:style>
  <w:style w:type="paragraph" w:styleId="Quote">
    <w:name w:val="Quote"/>
    <w:basedOn w:val="Normal"/>
    <w:qFormat/>
    <w:pPr>
      <w:pBdr>
        <w:left w:val="single" w:sz="18" w:space="8" w:color="C00000"/>
      </w:pBdr>
      <w:shd w:val="clear" w:color="auto" w:fill="FDF2F2"/>
      <w:spacing w:after="120"/>
    </w:pPr>
    <w:rPr>
      <w:color w:val="7F0000"/>
    </w:rPr>
  </w:style>
</w:styles>
</file>

<file path=word/_rels/document.xml.rels><?xml version="1.0" encoding="UTF-8" standalone="yes"?><Relationships xmlns="http://schemas.openxmlformats.org/package/2006/relationships"><Relationship Id="rId1" Type="http://schemas.openxmlformats.org/officeDocument/2006/relationships/hyperlink" Target="https://www.sciencedirect.com/science/article/pii/S1755436524000719" TargetMode="External"/><Relationship Id="rId2" Type="http://schemas.openxmlformats.org/officeDocument/2006/relationships/hyperlink" Target="https://www.ncbi.nlm.nih.gov/pmc/articles/PMC11282251/" TargetMode="External"/><Relationship Id="rId3" Type="http://schemas.openxmlformats.org/officeDocument/2006/relationships/hyperlink" Target="https://www.medrxiv.org/content/10.1101/2025.11.24.25340597.full.pdf"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h.wa.gov/sites/default/files/2022-02/420-100-FluUpdateSeason2021.pdf" TargetMode="External"/><Relationship Id="rId9" Type="http://schemas.openxmlformats.org/officeDocument/2006/relationships/hyperlink" Target="https://doi.org/10.2196/40216" TargetMode="External"/><Relationship Id="rId10" Type="http://schemas.openxmlformats.org/officeDocument/2006/relationships/hyperlink" Target="https://pmc.ncbi.nlm.nih.gov/articles/PMC8808434/" TargetMode="External"/><Relationship Id="rId11" Type="http://schemas.openxmlformats.org/officeDocument/2006/relationships/hyperlink" Target="https://www.cdc.gov/flu/weekly/weeklyarchives2020-2021/" TargetMode="External"/><Relationship Id="rId12" Type="http://schemas.openxmlformats.org/officeDocument/2006/relationships/hyperlink" Target="https://arxiv.org/html/2602.14744v2" TargetMode="Externa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journals.plos.org/ploscompbiol/article?id=10.1371%2Fjournal.pcbi.1006742" TargetMode="External"/><Relationship Id="rId18" Type="http://schemas.openxmlformats.org/officeDocument/2006/relationships/hyperlink" Target="https://journals.plos.org/ploscompbiol/article?id=10.1371%2Fjournal.pcbi.1006742" TargetMode="External"/><Relationship Id="rId19" Type="http://schemas.openxmlformats.org/officeDocument/2006/relationships/hyperlink" Target="https://www.sciencedirect.com/science/article/pii/S1755436524000719" TargetMode="External"/><Relationship Id="rId20" Type="http://schemas.openxmlformats.org/officeDocument/2006/relationships/hyperlink" Target="https://www.ncbi.nlm.nih.gov/pmc/articles/PMC11282251/" TargetMode="External"/><Relationship Id="rId21" Type="http://schemas.openxmlformats.org/officeDocument/2006/relationships/hyperlink" Target="https://www.medrxiv.org/content/10.1101/2025.11.24.25340597.full.pdf" TargetMode="External"/><Relationship Id="rId22" Type="http://schemas.openxmlformats.org/officeDocument/2006/relationships/hyperlink" Target="https://doh.wa.gov/sites/default/files/2022-02/420-100-FluUpdateSeason2021.pdf" TargetMode="External"/><Relationship Id="rId23" Type="http://schemas.openxmlformats.org/officeDocument/2006/relationships/hyperlink" Target="https://doi.org/10.2196/40216" TargetMode="External"/><Relationship Id="rId24" Type="http://schemas.openxmlformats.org/officeDocument/2006/relationships/hyperlink" Target="https://pmc.ncbi.nlm.nih.gov/articles/PMC8808434/" TargetMode="External"/><Relationship Id="rId25" Type="http://schemas.openxmlformats.org/officeDocument/2006/relationships/hyperlink" Target="https://www.cdc.gov/flu/weekly/weeklyarchives2020-2021/" TargetMode="External"/><Relationship Id="rId26" Type="http://schemas.openxmlformats.org/officeDocument/2006/relationships/hyperlink" Target="https://arxiv.org/html/2602.14744v2" TargetMode="External"/><Relationship Id="rId27" Type="http://schemas.openxmlformats.org/officeDocument/2006/relationships/hyperlink" Target="https://www.sciencedirect.com/science/article/pii/S1755436526000174" TargetMode="External"/><Relationship Id="rId28" Type="http://schemas.openxmlformats.org/officeDocument/2006/relationships/hyperlink" Target="https://doi.org/10.3390/app16157586" TargetMode="External"/><Relationship Id="rId29" Type="http://schemas.openxmlformats.org/officeDocument/2006/relationships/styles" Target="styles.xml"/><Relationship Id="rId30" Type="http://schemas.openxmlformats.org/officeDocument/2006/relationships/numbering" Target="numbering.xml"/></Relationships>
</file>