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分子文本表示论文理解与复现指南</w:t>
      </w:r>
    </w:p>
    <w:p>
      <w:pPr>
        <w:pStyle w:val="Subtitle"/>
      </w:pPr>
      <w:r>
        <w:t>Rethinking Molecular Text Representations for LLMs</w:t>
        <w:br/>
        <w:t>供教授汇报准备与 CodeBuddy 本地执行使用</w:t>
      </w:r>
    </w:p>
    <w:p>
      <w:r>
        <w:t>本项目已找到并取得作者公开代码与数据，完成便携 Python 实现、离线数据审计和软件检查。目前没有执行真实 LLM 推理，因此本文件是论文理解与运行指南，不能作为“已成功重现论文成绩”的结果报告。</w:t>
      </w:r>
    </w:p>
    <w:p>
      <w:pPr>
        <w:pStyle w:val="Heading1"/>
      </w:pPr>
      <w:r>
        <w:t>这次要复现什么</w:t>
      </w:r>
    </w:p>
    <w:p>
      <w:r>
        <w:t>论文的问题是：同一个分子换一种文本写法，大语言模型是否仍能理解并完成相同任务？作者比较 9 种分子文本表示、8 类任务和 16 个 LLM 配置。研究对象是模型对不同表示的适应能力，不是在这里训练一个新的分子神经网络。</w:t>
      </w:r>
    </w:p>
    <w:p>
      <w:r>
        <w:t>最小实验单元是一道固定问题。把同一分子分别写成 SMILES、IUPAC、CML 等格式，保持题目和模型条件一致，保存实际回答，再与 RDKit 算出的标准答案比较。表示改变后成绩若改变，才得到可检查的实验现象。</w:t>
      </w:r>
    </w:p>
    <w:p>
      <w:pPr>
        <w:pStyle w:val="Heading1"/>
      </w:pPr>
      <w:r>
        <w:t>已完成与待完成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本次状态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官方来源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作者 arunraja-hub/molrepbench；固定 commit 21d36941cddf0dc1ffb5f3590296592dc68e4ac8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可运行流程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已实现 8 类任务的 9 种表示输入、提示词、推理接口、评分与结果报告入口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离线验证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已生成 270 条 smoke 与 29139 条 paper 请求清单，已完成数据审计与软件测试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真实模型成绩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未运行；需提供本地模型服务或已有 API 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全文所有图表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未完成；FCD、原裁判与机制分析有单独依赖或待核实细节</w:t>
            </w:r>
          </w:p>
        </w:tc>
      </w:tr>
    </w:tbl>
    <w:p>
      <w:pPr>
        <w:spacing w:after="0"/>
      </w:pPr>
    </w:p>
    <w:p>
      <w:r>
        <w:t>原始论文为用户提供的 arXiv:2606.03057v1，2026 年 6 月 2 日。来源与本项目差异详见第 8 页及 README。软件测试使用的模拟回答只验证程序行为，不是 LLM 化学能力。</w:t>
      </w:r>
    </w:p>
    <w:p>
      <w:pPr>
        <w:pStyle w:val="Heading1"/>
        <w:pageBreakBefore/>
      </w:pPr>
      <w:r>
        <w:t>九种表示分别在写什么</w:t>
      </w:r>
    </w:p>
    <w:p>
      <w:r>
        <w:t>分子可看作一张图：原子是节点，化学键是边。表示就是把这张图写成模型能读取的文本。格式还可能携带立体、同位素、电荷等信息；并非每个转换实现都保存全部信息。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888"/>
        <w:gridCol w:w="4248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表示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为何纳入论文比较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阅读与复现时注意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 SMILES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常用紧凑基线，以规范顺序遍历原子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作者转换显式关闭立体信息；“canonical”本身不等于不含立体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 SMILES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在 SMILES 中加入立体及同位素标记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看能否利用 @、斜线等标记区分立体异构体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 SMILES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同一图使用不同遍历顺序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检验是否依赖固定字符串；本包按 seed 冻结具体输入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减少配对括号和环闭合编号的语法困难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语法便利不等于理解更好；作者从非立体 SMILES 转换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 name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名称中的化学词根与自然语言描述有联系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命名或标准化可能折叠互变形式/电荷态，须验证成员映射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设计上提高合法分子解码的稳健性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合法分子未必满足描述；实际输入仍须完整合法且可解码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用 JSON 显式列出原子和化学键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作者所用 schema 不支持立体；不能推广为所有 JSON 格式都如此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用 XML 显式列出原子、键及属性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更长；转换器与具体字段决定保留哪些化学信息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分层写出分子式、连接和状态等信息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标准 InChI 可能规范化某些互变形式，不能仅按字符串不同判错</w:t>
            </w:r>
          </w:p>
        </w:tc>
      </w:tr>
    </w:tbl>
    <w:p>
      <w:pPr>
        <w:spacing w:after="0"/>
      </w:pPr>
    </w:p>
    <w:p>
      <w:pPr>
        <w:pStyle w:val="Heading2"/>
      </w:pPr>
      <w:r>
        <w:t>为何不是随便选九种</w:t>
      </w:r>
    </w:p>
    <w:p>
      <w:r>
        <w:t>论文 §3 明确按现代化学信息工具和深度学习中的常用程度选择。它们覆盖常用字符串、为生成而改写的语法、具有语言线索的名称和显式图结构。比较这些选择，可以检验“更常见”“更容易生成”或“图信息更显式”是否真的适合不同任务。</w:t>
      </w:r>
    </w:p>
    <w:p>
      <w:r>
        <w:t>CML/MolJSON 在结构题上可能更容易读取，但更长、成本更高；IUPAC 可能帮助语义对齐，但前提是名称对应正确结构。这里的“可能”是解释假设，不能代替本次实际结果。</w:t>
      </w:r>
    </w:p>
    <w:p>
      <w:pPr>
        <w:pStyle w:val="Heading1"/>
        <w:pageBreakBefore/>
      </w:pPr>
      <w:r>
        <w:t>八类任务分别测什么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410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要模型做什么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论文规模与主指标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原子计数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数指定元素 C N O S F Cl 的原子数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200 分子；每分子 1 元素；exact accuracy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官能团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分别判断伯胺、酯、醛、磺酰胺、卤代基是否存在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200 × 5 问；Macro-F1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性质估计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估计 LogP、TPSA、HBD 和 HBA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200 × 4 问；连续性质 Spearman，计数 exact accuracy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分子检索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根据自然语言描述，从四个结构中选一个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78 问；top-1 accuracy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同分子判断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判断两种写法是否代表完全相同的分子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500 对；accuracy；立体异构体为 No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描述生成分子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根据描述生成指定表示的分子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200 描述；有效性、exact match、Tanimoto、FCD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互变异构体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判断两结构是否属于同一规范互变异构体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250 对；accuracy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质子化态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判断中和后是否是同一结构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210 对；accuracy</w:t>
            </w:r>
          </w:p>
        </w:tc>
      </w:tr>
    </w:tbl>
    <w:p>
      <w:pPr>
        <w:spacing w:after="0"/>
      </w:pPr>
    </w:p>
    <w:p>
      <w:pPr>
        <w:pStyle w:val="Heading2"/>
      </w:pPr>
      <w:r>
        <w:t>为何需要不同层次的题</w:t>
      </w:r>
    </w:p>
    <w:p>
      <w:r>
        <w:t>原子计数检验能否读出基本组成；官能团要求识别局部连接关系；性质估计要求从图总结化学特征。检索把结构与自然语言联系起来，生成则反向把描述变成结构。三类成对任务分别考查身份、互变关系与质子化关系，不能混成一个“相似度”问题。</w:t>
      </w:r>
    </w:p>
    <w:p>
      <w:pPr>
        <w:pStyle w:val="Heading2"/>
      </w:pPr>
      <w:r>
        <w:t>为什么不直接选药效或毒性</w:t>
      </w:r>
    </w:p>
    <w:p>
      <w:r>
        <w:t>论文 §2 的理由是，很多生化性质依赖实验测量及化学或物理归纳偏置。用这些性质评估文本表示，容易混入模型是否掌握相关实验规律的因素。本文选择能由 RDKit 从图计算的 LogP、TPSA、HBD/HBA，让标准答案更可重复。RDKit 算法值也不等于真实实验测量。</w:t>
      </w:r>
    </w:p>
    <w:p>
      <w:r>
        <w:t>B2 的五类标签用于避免过于常见、容易被简单文本线索识别的官能团占主导；具体选择理由见作者 config.py 注释。SMARTS 定义也是实验的一部分，例如作者 halide 模式限定与 sp3 碳连接的卤素，不能自行扩展含义。</w:t>
      </w:r>
    </w:p>
    <w:p>
      <w:pPr>
        <w:pStyle w:val="Heading1"/>
        <w:pageBreakBefore/>
      </w:pPr>
      <w:r>
        <w:t>零基础需要分清的化学和指标</w:t>
      </w:r>
    </w:p>
    <w:p>
      <w:pPr>
        <w:pStyle w:val="Heading2"/>
      </w:pPr>
      <w:r>
        <w:t>同一分子不等于同一字符串</w:t>
      </w:r>
    </w:p>
    <w:p>
      <w:r>
        <w:t>例如 CCO 和 OCC 都可写乙醇。它们字符串不同，连接图相同，B5 应回答 Yes。立体异构体连接关系可能相同，却具有不同三维排列，B5 应回答 No。互变异构体涉及氢位置和键重排，B9 才问它们能否归为同一互变家族。酸与去质子化后的阴离子属于 B10 的另一种关系。</w:t>
      </w:r>
    </w:p>
    <w:p>
      <w:pPr>
        <w:pStyle w:val="Heading2"/>
      </w:pPr>
      <w:r>
        <w:t>四个性质是什么</w:t>
      </w:r>
    </w:p>
    <w:p>
      <w:r>
        <w:t>LogP 描述分子在两种相中的分配倾向，这里采用 RDKit 的 Wildman-Crippen 算法估计。TPSA 是拓扑极性表面积。HBD 是能作为氢键供体的位点数，HBA 是氢键受体位点数；它们不是简单数所有氢、氮或氧。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816"/>
        <w:gridCol w:w="453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直观解释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为什么这样用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准确率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答对题数除以计划题数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原子数和离散判断有明确标准答案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Macro-F1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先算五种官能团各自 F1，再平均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让较少出现的官能团也有相同权重；不是总准确率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Spearman 相关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比较预测与真值的排序是否一致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适合 LogP/TPSA 的相对排序；不能说明绝对误差很小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MAE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平均偏差的绝对值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本包作为连续性质的补充指标，不替换论文主指标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Validity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生成串能否解析成合法分子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只检验可解析，不检验是否符合描述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Exact match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生成图是否与参考图相同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主列沿用作者忽略立体的实现，另报含立体列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Tanimoto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比较分子指纹中共同的结构特征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相似不等于完全正确；须说明指纹与无效输出处理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FCD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比较生成集合与参考集合的 ChemNet 分布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是集合指标，不能评价某一个分子，少量样本不稳定</w:t>
            </w:r>
          </w:p>
        </w:tc>
      </w:tr>
    </w:tbl>
    <w:p>
      <w:pPr>
        <w:spacing w:after="0"/>
      </w:pPr>
    </w:p>
    <w:p>
      <w:r>
        <w:t>论文正文 §3 与表 2 为 LogP/TPSA 指定 Spearman；附录 D 的“exact match”措辞存在不一致。本包按正文及公开评分代码的连续性质处理，并显式记录这一选择。QED 不属于本论文 B3。</w:t>
      </w:r>
    </w:p>
    <w:p>
      <w:pPr>
        <w:pStyle w:val="Heading1"/>
        <w:pageBreakBefore/>
      </w:pPr>
      <w:r>
        <w:t>核心代码如何串成一个实验</w:t>
      </w:r>
    </w:p>
    <w:p>
      <w:r>
        <w:t>以 B1 为例，先读入原始 SMILES，让 RDKit 构建分子图并计算参考答案，再把输入换成各表示。LLM 只看任务和该表示文本；标准答案留在本地，等模型回答后评分。</w:t>
      </w:r>
    </w:p>
    <w:p>
      <w:pPr>
        <w:spacing w:line="252" w:lineRule="auto" w:after="120"/>
      </w:pPr>
      <w:r>
        <w:rPr>
          <w:rFonts w:ascii="DejaVu Sans Mono" w:hAnsi="DejaVu Sans Mono"/>
          <w:sz w:val="17"/>
        </w:rPr>
        <w:t>counts = chemistry.get_atom_counts(mol)</w:t>
        <w:br/>
        <w:t>for rep in reps:</w:t>
        <w:br/>
        <w:t xml:space="preserve">    s = enc(row, rep, mid)</w:t>
        <w:br/>
        <w:t xml:space="preserve">    add(1, mid, element, rep,</w:t>
        <w:br/>
        <w:t xml:space="preserve">        prompts.create_atom_counting_prompt(s, element, rep),</w:t>
        <w:br/>
        <w:t xml:space="preserve">        counts[element])</w:t>
      </w:r>
    </w:p>
    <w:p>
      <w:r>
        <w:t>上面节选自 repro/core.py 的实际实现；对失败转换另有 excluded 记录。add 将 ID、表示、实际 prompt、参考答案和 SHA256 写进 manifest。hash 用于确认不同模型是否回答了同一道输入。</w:t>
      </w:r>
    </w:p>
    <w:p>
      <w:pPr>
        <w:spacing w:line="252" w:lineRule="auto" w:after="120"/>
      </w:pPr>
      <w:r>
        <w:rPr>
          <w:rFonts w:ascii="DejaVu Sans Mono" w:hAnsi="DejaVu Sans Mono"/>
          <w:sz w:val="17"/>
        </w:rPr>
        <w:t>body = {</w:t>
        <w:br/>
        <w:t xml:space="preserve">  'model': cfg['model'],</w:t>
        <w:br/>
        <w:t xml:space="preserve">  'messages': [{'role': 'user', 'content': item['prompt']}],</w:t>
        <w:br/>
        <w:t xml:space="preserve">  cfg.get('token_parameter', 'max_tokens'):</w:t>
        <w:br/>
        <w:t xml:space="preserve">      cfg.get('max_tokens', 2048)</w:t>
        <w:br/>
        <w:t>}</w:t>
      </w:r>
    </w:p>
    <w:p>
      <w:r>
        <w:t>这段对应 repro/inference.py 的请求构建逻辑。ground_truth 没有放入 messages。若直接把 RDKit 算出的答案当成“模型结果”，就没有测试 LLM；如果把答案放进 prompt，又会造成答案泄漏。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6264"/>
      </w:tblGrid>
      <w:tr>
        <w:trPr>
          <w:cantSplit/>
          <w:tblHeader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6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读它能回答什么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repro/core.py</w:t>
            </w:r>
          </w:p>
        </w:tc>
        <w:tc>
          <w:tcPr>
            <w:tcW w:type="dxa" w:w="6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样本怎么选、9 种表示怎么准备、每道题怎么固定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vendor 的 utils/prompts.py</w:t>
            </w:r>
          </w:p>
        </w:tc>
        <w:tc>
          <w:tcPr>
            <w:tcW w:type="dxa" w:w="6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作者原始任务提示词是什么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vendor 的 config.py 和 chemistry.py</w:t>
            </w:r>
          </w:p>
        </w:tc>
        <w:tc>
          <w:tcPr>
            <w:tcW w:type="dxa" w:w="6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官能团 SMARTS、元素、性质的标准答案怎么定义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vendor 的 representations.py 和 moljson/conversion.py</w:t>
            </w:r>
          </w:p>
        </w:tc>
        <w:tc>
          <w:tcPr>
            <w:tcW w:type="dxa" w:w="6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格式转换保存或丢失了哪些信息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repro/inference.py</w:t>
            </w:r>
          </w:p>
        </w:tc>
        <w:tc>
          <w:tcPr>
            <w:tcW w:type="dxa" w:w="6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模型实际收到什么、如何保存原回答及续跑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repro/scoring.py</w:t>
            </w:r>
          </w:p>
        </w:tc>
        <w:tc>
          <w:tcPr>
            <w:tcW w:type="dxa" w:w="6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如何解析最后答案、计分并保留失败分母</w:t>
            </w:r>
          </w:p>
        </w:tc>
      </w:tr>
    </w:tbl>
    <w:p>
      <w:pPr>
        <w:spacing w:after="0"/>
      </w:pPr>
    </w:p>
    <w:p>
      <w:r>
        <w:t>本包的新增工作是便携执行、审计和可追溯评分。作者已有的格式与提示词实现保留来源；不能把整个 vendor 目录称为自己原创。</w:t>
      </w:r>
    </w:p>
    <w:p>
      <w:pPr>
        <w:pStyle w:val="Heading1"/>
        <w:pageBreakBefore/>
      </w:pPr>
      <w:r>
        <w:t>实际任务提示词如何使用</w:t>
      </w:r>
    </w:p>
    <w:p>
      <w:r>
        <w:t>任务 prompt 沿用作者源码。除输入的分子表示变化外，任务文字保持一致。模型推理开关通过后端配置控制，不能简单删掉“reason step by step”就声称对应论文的 non-reasoning 条件。</w:t>
      </w:r>
    </w:p>
    <w:p>
      <w:pPr>
        <w:pStyle w:val="Heading2"/>
      </w:pPr>
      <w:r>
        <w:t>一条已经生成的真实 B1 请求</w:t>
      </w:r>
    </w:p>
    <w:p>
      <w:pPr>
        <w:spacing w:line="252" w:lineRule="auto" w:after="120"/>
      </w:pPr>
      <w:r>
        <w:rPr>
          <w:rFonts w:ascii="DejaVu Sans Mono" w:hAnsi="DejaVu Sans Mono"/>
          <w:sz w:val="17"/>
        </w:rPr>
        <w:t>How many C atoms are in the following molecule?</w:t>
        <w:br/>
        <w:t>Molecule: Nc1ncnc2c1ncn2C1OC(COP(=O)(O)OP(=O)(O)OCC(O)C(=O)O)C(O)C1O</w:t>
        <w:br/>
        <w:br/>
        <w:t>Please reason step by step, and put your final answer within \boxed{}.</w:t>
        <w:br/>
        <w:br/>
        <w:t>Example format: After reasoning, conclude with: The answer is \boxed{42}</w:t>
      </w:r>
    </w:p>
    <w:p>
      <w:r>
        <w:t>问题 ID 为 B1:439741:C:canonical_smiles；RDKit 参考答案为 13。这是请求清单中的真实问题；当前尚无模型回答，因此不能给出模型得分。</w:t>
      </w:r>
    </w:p>
    <w:p>
      <w:pPr>
        <w:pStyle w:val="Heading2"/>
      </w:pPr>
      <w:r>
        <w:t>其他任务的提问形式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91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作者 prompt 的问题部分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</w:t>
            </w:r>
          </w:p>
        </w:tc>
        <w:tc>
          <w:tcPr>
            <w:tcW w:type="dxa" w:w="91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Does the following molecule contain a {functional_group}?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</w:t>
            </w:r>
          </w:p>
        </w:tc>
        <w:tc>
          <w:tcPr>
            <w:tcW w:type="dxa" w:w="91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Estimate the {property_display} of the following molecule.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91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Which of the following molecules matches this description? 后接描述及 A 到 D 四个表示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</w:t>
            </w:r>
          </w:p>
        </w:tc>
        <w:tc>
          <w:tcPr>
            <w:tcW w:type="dxa" w:w="91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Do the following two molecular representations refer to the same molecule?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</w:t>
            </w:r>
          </w:p>
        </w:tc>
        <w:tc>
          <w:tcPr>
            <w:tcW w:type="dxa" w:w="91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Are the following two molecules tautomeric forms of the same compound?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</w:t>
            </w:r>
          </w:p>
        </w:tc>
        <w:tc>
          <w:tcPr>
            <w:tcW w:type="dxa" w:w="91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Are the following two molecules different protonation states of the same compound?</w:t>
            </w:r>
          </w:p>
        </w:tc>
      </w:tr>
    </w:tbl>
    <w:p>
      <w:pPr>
        <w:spacing w:after="0"/>
      </w:pPr>
    </w:p>
    <w:p>
      <w:r>
        <w:t>这些题要求把最后数字、Yes/No 或选项字母放入 LaTeX boxed 标记。本包只读取明确的最终答案或纯答案，不把推理正文中随意出现的第一个数字当作答案。</w:t>
      </w:r>
    </w:p>
    <w:p>
      <w:r>
        <w:t>docs/actual_prompt_examples.txt 收录 8 类任务各一条完整 canonical SMILES 实际请求及其参考答案。全部 9 种表示的实际请求在重新运行 prepare 后的 manifest.jsonl。</w:t>
      </w:r>
    </w:p>
    <w:p>
      <w:pPr>
        <w:pStyle w:val="Heading1"/>
        <w:pageBreakBefore/>
      </w:pPr>
      <w:r>
        <w:t>生成任务与运行步骤</w:t>
      </w:r>
    </w:p>
    <w:p>
      <w:pPr>
        <w:pStyle w:val="Heading2"/>
      </w:pPr>
      <w:r>
        <w:t>B6 与其他任务有什么不同</w:t>
      </w:r>
    </w:p>
    <w:p>
      <w:r>
        <w:t>B6 的输入是 ChEBI 的自然语言描述，输出才是指定表示的分子。不能把参考 SMILES 作为生成模型的输入。作者额外要求简短回答，避免复述描述；本包沿用同一 generation prompt builder，要求 JSON 格式输出。</w:t>
      </w:r>
    </w:p>
    <w:p>
      <w:pPr>
        <w:spacing w:line="252" w:lineRule="auto" w:after="120"/>
      </w:pPr>
      <w:r>
        <w:rPr>
          <w:rFonts w:ascii="DejaVu Sans Mono" w:hAnsi="DejaVu Sans Mono"/>
          <w:sz w:val="17"/>
        </w:rPr>
        <w:t>Given a description of a molecule, generate</w:t>
        <w:br/>
        <w:t>the corresponding {rep_name} string.</w:t>
        <w:br/>
        <w:br/>
        <w:t>Description: {description}</w:t>
        <w:br/>
        <w:br/>
        <w:t>For non-MolJSON output:</w:t>
        <w:br/>
        <w:t>{"molecule": "..."}</w:t>
      </w:r>
    </w:p>
    <w:p>
      <w:r>
        <w:t>MolJSON 则直接输出含 atoms、bonds、charges、aromatic_n_h 的对象，并按作者 schema 约束。其他格式即使包在 JSON 中，内部字符串仍必须是对应分子表示。schema 只约束形状，不能保证化学含义正确。</w:t>
      </w:r>
    </w:p>
    <w:p>
      <w:pPr>
        <w:pStyle w:val="Heading2"/>
      </w:pPr>
      <w:r>
        <w:t>本地执行顺序</w:t>
      </w:r>
    </w:p>
    <w:p>
      <w:pPr>
        <w:spacing w:line="252" w:lineRule="auto" w:after="120"/>
      </w:pPr>
      <w:r>
        <w:rPr>
          <w:rFonts w:ascii="DejaVu Sans Mono" w:hAnsi="DejaVu Sans Mono"/>
          <w:sz w:val="17"/>
        </w:rPr>
        <w:t>python reproduce.py doctor</w:t>
        <w:br/>
        <w:t>python reproduce.py verify-vendor</w:t>
        <w:br/>
        <w:t>python reproduce.py setup</w:t>
        <w:br/>
        <w:t>python -m unittest discover -s tests -v</w:t>
        <w:br/>
        <w:t>python reproduce.py prepare --profile smoke --out plans/smoke</w:t>
        <w:br/>
        <w:t>python reproduce.py run --plan plans/smoke \</w:t>
        <w:br/>
        <w:t xml:space="preserve">  --settings settings.json --out results/smoke --max-requests 1</w:t>
      </w:r>
    </w:p>
    <w:p>
      <w:r>
        <w:t>上述 python 应为项目 .venv 中的解释器。模型服务与 settings 准备好后先调用一条；确认真实响应、token 用量和最后答案，再续跑 270 条 smoke。smoke 只检查链路，不能据此选“最佳表示”。</w:t>
      </w:r>
    </w:p>
    <w:p>
      <w:pPr>
        <w:pStyle w:val="Heading2"/>
      </w:pPr>
      <w:r>
        <w:t>转入正式比较</w:t>
      </w:r>
    </w:p>
    <w:p>
      <w:r>
        <w:t>先审核 IUPAC 输入，再生成 paper_verified 清单。明确模型、模式与预算后运行正式实验，执行 score、bootstrap 和 report。模型、参数、输入或 seed 改变后建立新结果目录，保留旧结果，不能混在同一份 JSONL 中。</w:t>
      </w:r>
    </w:p>
    <w:p>
      <w:r>
        <w:t>本次公开名称路线共 29139 请求/模型/条件，其中 B5 少 1 个 IUPAC 输入，B10 少 2 个 IUPAC 输入。已审核路线的数量可能更小，需按实际 plan 与共同样本报告。</w:t>
      </w:r>
    </w:p>
    <w:p>
      <w:pPr>
        <w:pStyle w:val="Heading1"/>
        <w:pageBreakBefore/>
      </w:pPr>
      <w:r>
        <w:t>公开材料的差异与本包处理</w:t>
      </w:r>
    </w:p>
    <w:p>
      <w:r>
        <w:t>可运行不代表与作者当年实验完全相同。以下差异已经检查，必须进入向教授的汇报，不能把它们当作无关的安装问题。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当前处理与含义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的 375 对标签差异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CSV 250 Yes / 250 No 与 RDKit 身份判断一致；本包使用 CSV。作者 runner/evaluator 的 natural/stereoisomer 规则不符合当前 CSV 与同分子问题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B9/B10 的数据源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公开 CSV 全标 ChEBI-20，论文附录 C 写 ZINC250K。保留公开数据来源声明，未重建未核实的 ZINC 实验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预存 SELFIES 成员不匹配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有 183 个、B10 有 118 个成员解码后不等于对应 SMILES。本包非 IUPAC 表示全部从每个成员结构重新生成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互变异构体标签争议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当前 RDKit 默认规则下有 4/250 对不一致，枚举也出现默认限制警告。保留公开标签并记录索引；原因待版本和算法条件核实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 名称可能折叠状态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B9 125 对、B10 105 对不同结构共享同名。须借 OPSIN 审核，区分信息折叠与模型错误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解码与采样差异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按论文取 200，公开配置为 250；本包固定随机输入与共同选项顺序，且取消空行停止。都记录为协议改动</w:t>
            </w:r>
          </w:p>
        </w:tc>
      </w:tr>
    </w:tbl>
    <w:p>
      <w:pPr>
        <w:spacing w:after="0"/>
      </w:pPr>
    </w:p>
    <w:p>
      <w:pPr>
        <w:pStyle w:val="Heading2"/>
      </w:pPr>
      <w:r>
        <w:t>如何理解 IUPAC 的审核路线</w:t>
      </w:r>
    </w:p>
    <w:p>
      <w:r>
        <w:t>released 路线保留公开名称，并标为输入未验证。verified 路线只保留 OPSIN 解码后与成员 SMILES 的立体身份完全一致的名称。它不能自动修复坏映射；不一致、网络失败和无法解析各有记录。过滤后必须比较共同样本，不能只比较聚合排名。</w:t>
      </w:r>
    </w:p>
    <w:p>
      <w:r>
        <w:t>“同一个 IUPAC 名称出现在两个状态”本身不必然证明名称错误，但它意味着模型无法只凭该字符串区分这些状态。是否应标准化、是否应保留某种差异，是任务定义和表示能力的问题。</w:t>
      </w:r>
    </w:p>
    <w:p>
      <w:pPr>
        <w:pStyle w:val="Heading1"/>
        <w:pageBreakBefore/>
      </w:pPr>
      <w:r>
        <w:t>怎样解释未来得到的成绩</w:t>
      </w:r>
    </w:p>
    <w:p>
      <w:pPr>
        <w:pStyle w:val="Heading2"/>
      </w:pPr>
      <w:r>
        <w:t>先看证据完整性</w:t>
      </w:r>
    </w:p>
    <w:p>
      <w:r>
        <w:t>查看预定条数、实际调用成功数、最终答案解析率及解码状态。API 成功返回并不保证有最终答案；finish_reason 为 length 表示可能截断。IUPAC 未联网解码时应标未评估，不记为无效分子。</w:t>
      </w:r>
    </w:p>
    <w:p>
      <w:pPr>
        <w:pStyle w:val="Heading2"/>
      </w:pPr>
      <w:r>
        <w:t>再看公平比较</w:t>
      </w:r>
    </w:p>
    <w:p>
      <w:r>
        <w:t>比较表示时使用同一模型、相同问题和可比较的推理/解码条件。不同表示有缺失时，应在共同问题 ID 上做配对比较，并同时报告完整计划覆盖率。不同模型或样本规模的两行成绩，不能直接用来证明表示带来的差异。</w:t>
      </w:r>
    </w:p>
    <w:p>
      <w:r>
        <w:t>连续性质仅在可解析数字上计算 Spearman 和 MAE，须同时显示覆盖率。官能团若有无法解析的回答，本包不填主 Macro-F1，只给 valid-only 值作参考及全体准确率。离散题的缺答案按计划分母计错。</w:t>
      </w:r>
    </w:p>
    <w:p>
      <w:pPr>
        <w:pStyle w:val="Heading2"/>
      </w:pPr>
      <w:r>
        <w:t>论文结论与我的结果要分开</w:t>
      </w:r>
    </w:p>
    <w:p>
      <w:r>
        <w:t>原论文报告 CML/MolJSON 更适合某些结构任务、IUPAC 更适合语义任务，并强调没有一种表示在所有任务上最好。这是论文作者在其模型和设置下的观察。我的正式实验只有实际跑完并保存证据后，才能说明是否支持同样的趋势。</w:t>
      </w:r>
    </w:p>
    <w:p>
      <w:r>
        <w:t>若趋势不同，先检查标签、数据源、格式转换、模型版本、推理模式、token 预算、schema、样本缺失和评分定义。排除实现差异后，再讨论模型本身的变化。不能直接把差异解释为我改进了原论文。</w:t>
      </w:r>
    </w:p>
    <w:p>
      <w:pPr>
        <w:pStyle w:val="Heading2"/>
      </w:pPr>
      <w:r>
        <w:t>哪些内容仍然属于扩展范围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部分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完成它需要什么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FCD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真实生成结果、ChemNet 依赖和权重、足够样本；本次未计算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LLM 裁判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对齐论文 Gemini 3 Flash、样本与 rubric；本包 judge 是标注清楚的改编入口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Tokenizer 审计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实际 tokenizer 与固定分子样本；提供入口但尚未下载/运行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线性探针与注意力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核实层、span、池化、训练划分及 GPU；公开文件未提供可直接重放全部图的完整流程</w:t>
            </w:r>
          </w:p>
        </w:tc>
      </w:tr>
    </w:tbl>
    <w:p>
      <w:pPr>
        <w:spacing w:after="0"/>
      </w:pPr>
    </w:p>
    <w:p>
      <w:r>
        <w:t>这些项目不应因为主任务脚本跑通而自动标为成功。项目状态文件始终把全文复现状态与主任务执行分开。</w:t>
      </w:r>
    </w:p>
    <w:p>
      <w:pPr>
        <w:pStyle w:val="Heading1"/>
        <w:pageBreakBefore/>
      </w:pPr>
      <w:r>
        <w:t>向教授汇报时怎样说清楚</w:t>
      </w:r>
    </w:p>
    <w:p>
      <w:pPr>
        <w:pStyle w:val="Heading2"/>
      </w:pPr>
      <w:r>
        <w:t>目前可以如实汇报的版本</w:t>
      </w:r>
    </w:p>
    <w:p>
      <w:r>
        <w:t>我已找到原论文的作者仓库，核对了九种分子表示、八类任务及实际提示词。我把作者代码和公开数据固定到一个 commit，并实现了可以在本地 Python 环境运行的流程。现在完成的是数据、提示词和软件验证，还没有运行真实模型，所以还不能报告 LLM 复现成绩。</w:t>
      </w:r>
    </w:p>
    <w:p>
      <w:r>
        <w:t>我理解这篇论文是在测试“分子的写法会不会改变模型的能力”。我会固定分子、题目和模型，改变表示，再保存原始回答并与 RDKit 标准答案对比。原子计数测基本解析，官能团与性质估计测结构推理，检索和生成测语言与结构的联系，成对任务则区分身份、互变异构体和质子化关系。</w:t>
      </w:r>
    </w:p>
    <w:p>
      <w:r>
        <w:t>审读代码后我发现，公开脚本的 B5 标签读取与数据不一致，部分分子对预存表示也需要重新生成。公开 B9/B10 的数据源说明与论文有差异。我会明确记录这些修正，因此当前计划是公开材料的审计复现，不先声称逐个数值重现作者表格。</w:t>
      </w:r>
    </w:p>
    <w:p>
      <w:pPr>
        <w:pStyle w:val="Heading2"/>
      </w:pPr>
      <w:r>
        <w:t>运行成功后再补充的内容</w:t>
      </w:r>
    </w:p>
    <w:p>
      <w:r>
        <w:t>实际报告中补入精确模型版本、运行条件、完成条数、每种表示成绩、缺失分母、置信区间和真实失败案例。口述时选一道真实题，展示它的 SMILES、变换后的输入、实际 prompt、模型原始回答、标准答案与评分，逐步解释每一项。不要在这些证据产生前写“我成功验证了某表示最好”。</w:t>
      </w:r>
    </w:p>
    <w:p>
      <w:pPr>
        <w:pStyle w:val="Heading2"/>
      </w:pPr>
      <w:r>
        <w:t>教授可能追问的具体问题</w:t>
      </w:r>
    </w:p>
    <w:p>
      <w:r>
        <w:t>问 为什么选这些任务？</w:t>
        <w:br/>
        <w:t>答 任务覆盖组成、局部图、图属性、语言对齐与不同化学等价关系；标准答案大多可以计算，便于把差异追溯到表示和模型。</w:t>
      </w:r>
    </w:p>
    <w:p>
      <w:r>
        <w:t>问 你的核心代码和 prompt 在哪？</w:t>
        <w:br/>
        <w:t>答 prepare 生成清单，作者 prompts.py 决定任务措辞，inference.py 只发送 prompt，scoring.py 按保存的原始回答重新计分。可现场打开同一 ID 的完整链路。</w:t>
      </w:r>
    </w:p>
    <w:p>
      <w:r>
        <w:t>问 这是否已经完整复现？</w:t>
        <w:br/>
        <w:t>答 当前没有真实 LLM 结果；后续也必须分别说明主任务、模型覆盖、FCD、裁判和机制研究的完成状态。数据与协议偏差会保留，不用“全部完成”掩盖。</w:t>
      </w:r>
    </w:p>
    <w:p>
      <w:r>
        <w:t>来源索引 论文 §2 §3 §4 §6 附录 C D E H I J；作者仓库固定 commit；README；UPSTREAM_PROVENANCE.json；evidence/dataset_audit.json。联网来源 https://arxiv.org/abs/2606.03057 和 https://github.com/arunraja-hub/molrepbench。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MolRepBench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