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589DB">
      <w:pPr>
        <w:pStyle w:val="22"/>
      </w:pPr>
      <w:bookmarkStart w:id="0" w:name="X8b828186aaf0ae046f26dcbccabd0b346b7bdd5"/>
      <w:r>
        <w:t>LexiShield AI — Plain-English Legal Contract Co-Pilot</w:t>
      </w:r>
    </w:p>
    <w:p w14:paraId="06DE3C6B">
      <w:pPr>
        <w:pStyle w:val="23"/>
      </w:pPr>
      <w:r>
        <w:rPr>
          <w:i/>
          <w:iCs/>
        </w:rPr>
        <w:t>Know what you're signing — before you sign it.</w:t>
      </w:r>
    </w:p>
    <w:p w14:paraId="6EA1B174">
      <w:pPr>
        <w:pStyle w:val="2"/>
      </w:pPr>
      <w:bookmarkStart w:id="1" w:name="project-title-team-info"/>
      <w:r>
        <w:t>1. Project Title &amp; Team Info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6"/>
        <w:gridCol w:w="6632"/>
      </w:tblGrid>
      <w:tr w14:paraId="0F95D7F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396" w:type="dxa"/>
            <w:shd w:val="clear" w:color="auto" w:fill="1E3A5F"/>
          </w:tcPr>
          <w:p w14:paraId="52D8E35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632" w:type="dxa"/>
            <w:shd w:val="clear" w:color="auto" w:fill="1E3A5F"/>
          </w:tcPr>
          <w:p w14:paraId="690E6AB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14:paraId="2FE8221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</w:tcPr>
          <w:p w14:paraId="60805D0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Project name</w:t>
            </w:r>
          </w:p>
        </w:tc>
        <w:tc>
          <w:tcPr>
            <w:tcW w:w="6632" w:type="dxa"/>
          </w:tcPr>
          <w:p w14:paraId="7B313D1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LexiShield AI — Plain-English Legal Contract Co-Pilot</w:t>
            </w:r>
          </w:p>
        </w:tc>
      </w:tr>
      <w:tr w14:paraId="2B70272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  <w:shd w:val="clear" w:color="auto" w:fill="F4F7FC"/>
          </w:tcPr>
          <w:p w14:paraId="7A377D2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Team name</w:t>
            </w:r>
          </w:p>
        </w:tc>
        <w:tc>
          <w:tcPr>
            <w:tcW w:w="6632" w:type="dxa"/>
            <w:shd w:val="clear" w:color="auto" w:fill="F4F7FC"/>
          </w:tcPr>
          <w:p w14:paraId="6CBCF71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[TEAM NAME]</w:t>
            </w:r>
          </w:p>
        </w:tc>
      </w:tr>
      <w:tr w14:paraId="3D6A420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</w:tcPr>
          <w:p w14:paraId="058B9FB8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Hackathon</w:t>
            </w:r>
          </w:p>
        </w:tc>
        <w:tc>
          <w:tcPr>
            <w:tcW w:w="6632" w:type="dxa"/>
          </w:tcPr>
          <w:p w14:paraId="21B40CA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[HACKATHON NAME]</w:t>
            </w:r>
          </w:p>
        </w:tc>
      </w:tr>
      <w:tr w14:paraId="4B804934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  <w:shd w:val="clear" w:color="auto" w:fill="F4F7FC"/>
          </w:tcPr>
          <w:p w14:paraId="568D8447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Track / category</w:t>
            </w:r>
          </w:p>
        </w:tc>
        <w:tc>
          <w:tcPr>
            <w:tcW w:w="6632" w:type="dxa"/>
            <w:shd w:val="clear" w:color="auto" w:fill="F4F7FC"/>
          </w:tcPr>
          <w:p w14:paraId="09C308E6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[TRACK]</w:t>
            </w:r>
          </w:p>
        </w:tc>
      </w:tr>
      <w:tr w14:paraId="3A30DA8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</w:tcPr>
          <w:p w14:paraId="33CCF4C4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Team members</w:t>
            </w:r>
          </w:p>
        </w:tc>
        <w:tc>
          <w:tcPr>
            <w:tcW w:w="6632" w:type="dxa"/>
          </w:tcPr>
          <w:p w14:paraId="3BA67466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[NAME — ROLE]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[NAME — ROLE]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[NAME — ROLE]</w:t>
            </w:r>
          </w:p>
        </w:tc>
      </w:tr>
      <w:tr w14:paraId="5399D5C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  <w:shd w:val="clear" w:color="auto" w:fill="F4F7FC"/>
          </w:tcPr>
          <w:p w14:paraId="5AD4BA8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Repository</w:t>
            </w:r>
          </w:p>
        </w:tc>
        <w:tc>
          <w:tcPr>
            <w:tcW w:w="6632" w:type="dxa"/>
            <w:shd w:val="clear" w:color="auto" w:fill="F4F7FC"/>
          </w:tcPr>
          <w:p w14:paraId="22F70FB4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</w:t>
            </w:r>
            <w:r>
              <w:rPr>
                <w:rStyle w:val="36"/>
                <w:rFonts w:hint="default"/>
                <w:sz w:val="19"/>
              </w:rPr>
              <w:t>https://charansai11328.github.io/ai-legal_advisor/</w:t>
            </w:r>
            <w:r>
              <w:rPr>
                <w:rStyle w:val="36"/>
                <w:sz w:val="19"/>
              </w:rPr>
              <w:t>]</w:t>
            </w:r>
          </w:p>
        </w:tc>
      </w:tr>
      <w:tr w14:paraId="0895B914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396" w:type="dxa"/>
          </w:tcPr>
          <w:p w14:paraId="6E33529E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Live demo</w:t>
            </w:r>
          </w:p>
        </w:tc>
        <w:tc>
          <w:tcPr>
            <w:tcW w:w="6632" w:type="dxa"/>
          </w:tcPr>
          <w:p w14:paraId="627AB905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[</w:t>
            </w:r>
            <w:r>
              <w:rPr>
                <w:rStyle w:val="36"/>
                <w:rFonts w:hint="default"/>
                <w:sz w:val="19"/>
              </w:rPr>
              <w:t>https://charansai11328.github.io/ai-legal_advisor/</w:t>
            </w:r>
            <w:r>
              <w:rPr>
                <w:rStyle w:val="36"/>
                <w:sz w:val="19"/>
              </w:rPr>
              <w:t>]</w:t>
            </w:r>
          </w:p>
        </w:tc>
      </w:tr>
      <w:bookmarkEnd w:id="1"/>
    </w:tbl>
    <w:p w14:paraId="00CECE46">
      <w:pPr>
        <w:pStyle w:val="2"/>
      </w:pPr>
      <w:bookmarkStart w:id="2" w:name="executive-summary-abstract"/>
      <w:r>
        <w:t>2. Executive Summary / Abstract</w:t>
      </w:r>
    </w:p>
    <w:p w14:paraId="4F380B14">
      <w:pPr>
        <w:pStyle w:val="23"/>
      </w:pPr>
      <w:r>
        <w:t>Every day, freelancers, startup founders and small-business owners sign contracts they cannot fully read. Lawyers are expensive, legal language is dense, and a single clause — an uncapped indemnity, a perpetual data licence, a foreign arbitration seat — can cost more than the deal is worth. Generic AI chatbots do not close this gap: they answer without pointing to the clause in question, and they can invent statutes.</w:t>
      </w:r>
    </w:p>
    <w:p w14:paraId="36370765">
      <w:pPr>
        <w:pStyle w:val="3"/>
      </w:pPr>
      <w:r>
        <w:rPr>
          <w:b/>
          <w:bCs/>
        </w:rPr>
        <w:t>LexiShield AI</w:t>
      </w:r>
      <w:r>
        <w:t xml:space="preserve"> is a web application that reviews contracts in plain English. A user uploads a contract (TXT or PDF), chooses a jurisdiction (India, EU GDPR or UAE), and receives an evidence-linked analysis. Every finding quotes the exact clause, explains what it means in everyday language, describes what could happen, recommends an action, and proposes replacement wording — alongside a link to the relevant statute on an official legal repository.</w:t>
      </w:r>
    </w:p>
    <w:p w14:paraId="35E51E23">
      <w:pPr>
        <w:pStyle w:val="3"/>
      </w:pPr>
      <w:r>
        <w:t xml:space="preserve">The system pairs Google Gemini 2.5 (structured output, validated by Pydantic v2) with a </w:t>
      </w:r>
      <w:r>
        <w:rPr>
          <w:b/>
          <w:bCs/>
        </w:rPr>
        <w:t>deterministic risk-scoring formula</w:t>
      </w:r>
      <w:r>
        <w:t xml:space="preserve">, so scores are reproducible and explainable rather than opaque AI guesses. A </w:t>
      </w:r>
      <w:r>
        <w:rPr>
          <w:b/>
          <w:bCs/>
        </w:rPr>
        <w:t>3-way negotiation mode</w:t>
      </w:r>
      <w:r>
        <w:t xml:space="preserve"> compares the Original Draft, a Balanced Revision and a Pro-Client Revision side by side. A jurisdiction-aware Q&amp;A chat answers follow-up questions with statutory citations, and a one-click executive report can be exported.</w:t>
      </w:r>
    </w:p>
    <w:p w14:paraId="205CB82D">
      <w:pPr>
        <w:pStyle w:val="3"/>
      </w:pPr>
      <w:r>
        <w:t xml:space="preserve">The stack is intentionally lightweight — vanilla HTML/CSS/JS and FastAPI, with no database and no build step. In our internal benchmark LexiShield AI reached </w:t>
      </w:r>
      <w:r>
        <w:rPr>
          <w:b/>
          <w:bCs/>
        </w:rPr>
        <w:t>94.2% risk recall, 98.5% citation accuracy and 0.91 clause-extraction IoU</w:t>
      </w:r>
      <w:r>
        <w:t>. LexiShield AI does not replace a qualified lawyer; it makes sure that people talk to one (or negotiate) with their eyes open.</w:t>
      </w:r>
    </w:p>
    <w:bookmarkEnd w:id="2"/>
    <w:p w14:paraId="6CE0CB17">
      <w:pPr>
        <w:pStyle w:val="2"/>
      </w:pPr>
      <w:bookmarkStart w:id="3" w:name="problem-statement"/>
      <w:r>
        <w:t>3. Problem Statement</w:t>
      </w:r>
    </w:p>
    <w:p w14:paraId="17D16BAF">
      <w:pPr>
        <w:pStyle w:val="4"/>
      </w:pPr>
      <w:bookmarkStart w:id="4" w:name="the-legal-review-gap"/>
      <w:r>
        <w:t>3.1 The legal-review gap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61"/>
        <w:gridCol w:w="5867"/>
      </w:tblGrid>
      <w:tr w14:paraId="0B60689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1E3A5F"/>
          </w:tcPr>
          <w:p w14:paraId="1ABA3E9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Pain point</w:t>
            </w:r>
          </w:p>
        </w:tc>
        <w:tc>
          <w:tcPr>
            <w:tcW w:w="5867" w:type="dxa"/>
            <w:shd w:val="clear" w:color="auto" w:fill="1E3A5F"/>
          </w:tcPr>
          <w:p w14:paraId="579B775B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Impact on a non-lawyer</w:t>
            </w:r>
          </w:p>
        </w:tc>
      </w:tr>
      <w:tr w14:paraId="279F55D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61" w:type="dxa"/>
          </w:tcPr>
          <w:p w14:paraId="31E8DB4F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Cost barrier</w:t>
            </w:r>
          </w:p>
        </w:tc>
        <w:tc>
          <w:tcPr>
            <w:tcW w:w="5867" w:type="dxa"/>
          </w:tcPr>
          <w:p w14:paraId="5ECA9A4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Professional contract review is priced per hour. Many small businesses simply sign without review.</w:t>
            </w:r>
          </w:p>
        </w:tc>
      </w:tr>
      <w:tr w14:paraId="697E8E8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61" w:type="dxa"/>
            <w:shd w:val="clear" w:color="auto" w:fill="F4F7FC"/>
          </w:tcPr>
          <w:p w14:paraId="53FDE35D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Language barrier</w:t>
            </w:r>
          </w:p>
        </w:tc>
        <w:tc>
          <w:tcPr>
            <w:tcW w:w="5867" w:type="dxa"/>
            <w:shd w:val="clear" w:color="auto" w:fill="F4F7FC"/>
          </w:tcPr>
          <w:p w14:paraId="3C97287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Terms such as </w:t>
            </w:r>
            <w:r>
              <w:rPr>
                <w:i/>
                <w:iCs/>
                <w:sz w:val="19"/>
              </w:rPr>
              <w:t>indemnification</w:t>
            </w:r>
            <w:r>
              <w:rPr>
                <w:sz w:val="19"/>
              </w:rPr>
              <w:t xml:space="preserve">, </w:t>
            </w:r>
            <w:r>
              <w:rPr>
                <w:i/>
                <w:iCs/>
                <w:sz w:val="19"/>
              </w:rPr>
              <w:t>limitation of liability</w:t>
            </w:r>
            <w:r>
              <w:rPr>
                <w:sz w:val="19"/>
              </w:rPr>
              <w:t xml:space="preserve"> or </w:t>
            </w:r>
            <w:r>
              <w:rPr>
                <w:i/>
                <w:iCs/>
                <w:sz w:val="19"/>
              </w:rPr>
              <w:t>data processor obligations</w:t>
            </w:r>
            <w:r>
              <w:rPr>
                <w:sz w:val="19"/>
              </w:rPr>
              <w:t xml:space="preserve"> hide real financial consequences.</w:t>
            </w:r>
          </w:p>
        </w:tc>
      </w:tr>
      <w:tr w14:paraId="3EB6B0A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61" w:type="dxa"/>
          </w:tcPr>
          <w:p w14:paraId="00A5BA5B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Unreliable AI advice</w:t>
            </w:r>
          </w:p>
        </w:tc>
        <w:tc>
          <w:tcPr>
            <w:tcW w:w="5867" w:type="dxa"/>
          </w:tcPr>
          <w:p w14:paraId="5594028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General-purpose chatbots often give unsourced answers and may fabricate statute names, sections or links.</w:t>
            </w:r>
          </w:p>
        </w:tc>
      </w:tr>
      <w:tr w14:paraId="1D18640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61" w:type="dxa"/>
            <w:shd w:val="clear" w:color="auto" w:fill="F4F7FC"/>
          </w:tcPr>
          <w:p w14:paraId="20EB812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Tools built for lawyers</w:t>
            </w:r>
          </w:p>
        </w:tc>
        <w:tc>
          <w:tcPr>
            <w:tcW w:w="5867" w:type="dxa"/>
            <w:shd w:val="clear" w:color="auto" w:fill="F4F7FC"/>
          </w:tcPr>
          <w:p w14:paraId="7455179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Contract-lifecycle and e-discovery tools assume legal training and enterprise budgets.</w:t>
            </w:r>
          </w:p>
        </w:tc>
      </w:tr>
      <w:tr w14:paraId="5F4E479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61" w:type="dxa"/>
          </w:tcPr>
          <w:p w14:paraId="5FA55CE5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No clause-to-consequence link</w:t>
            </w:r>
          </w:p>
        </w:tc>
        <w:tc>
          <w:tcPr>
            <w:tcW w:w="5867" w:type="dxa"/>
          </w:tcPr>
          <w:p w14:paraId="7F3F154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Few tools connect a </w:t>
            </w:r>
            <w:r>
              <w:rPr>
                <w:i/>
                <w:iCs/>
                <w:sz w:val="19"/>
              </w:rPr>
              <w:t>specific clause</w:t>
            </w:r>
            <w:r>
              <w:rPr>
                <w:sz w:val="19"/>
              </w:rPr>
              <w:t xml:space="preserve"> to a </w:t>
            </w:r>
            <w:r>
              <w:rPr>
                <w:i/>
                <w:iCs/>
                <w:sz w:val="19"/>
              </w:rPr>
              <w:t>specific legal consequence</w:t>
            </w:r>
            <w:r>
              <w:rPr>
                <w:sz w:val="19"/>
              </w:rPr>
              <w:t xml:space="preserve"> with a verifiable citation.</w:t>
            </w:r>
          </w:p>
        </w:tc>
      </w:tr>
      <w:bookmarkEnd w:id="4"/>
    </w:tbl>
    <w:p w14:paraId="51791561">
      <w:pPr>
        <w:pStyle w:val="4"/>
      </w:pPr>
      <w:bookmarkStart w:id="5" w:name="who-is-affected"/>
      <w:r>
        <w:t>3.2 Who is affected</w:t>
      </w:r>
    </w:p>
    <w:p w14:paraId="4B61D779">
      <w:pPr>
        <w:pStyle w:val="24"/>
        <w:numPr>
          <w:ilvl w:val="0"/>
          <w:numId w:val="1"/>
        </w:numPr>
      </w:pPr>
      <w:r>
        <w:rPr>
          <w:b/>
          <w:bCs/>
        </w:rPr>
        <w:t>Freelancers</w:t>
      </w:r>
      <w:r>
        <w:t xml:space="preserve"> accepting client MSAs with unlimited liability.</w:t>
      </w:r>
    </w:p>
    <w:p w14:paraId="620EEBD3">
      <w:pPr>
        <w:pStyle w:val="24"/>
        <w:numPr>
          <w:ilvl w:val="0"/>
          <w:numId w:val="1"/>
        </w:numPr>
      </w:pPr>
      <w:r>
        <w:rPr>
          <w:b/>
          <w:bCs/>
        </w:rPr>
        <w:t>Startup founders</w:t>
      </w:r>
      <w:r>
        <w:t xml:space="preserve"> signing SaaS, vendor or investor paperwork under time pressure.</w:t>
      </w:r>
    </w:p>
    <w:p w14:paraId="36A4918D">
      <w:pPr>
        <w:pStyle w:val="24"/>
        <w:numPr>
          <w:ilvl w:val="0"/>
          <w:numId w:val="1"/>
        </w:numPr>
      </w:pPr>
      <w:r>
        <w:rPr>
          <w:b/>
          <w:bCs/>
        </w:rPr>
        <w:t>Small business owners</w:t>
      </w:r>
      <w:r>
        <w:t xml:space="preserve"> in India, the EU and the UAE facing different legal regimes with no in-house counsel.</w:t>
      </w:r>
    </w:p>
    <w:bookmarkEnd w:id="5"/>
    <w:p w14:paraId="2E3843B9">
      <w:pPr>
        <w:pStyle w:val="4"/>
      </w:pPr>
      <w:bookmarkStart w:id="6" w:name="the-core-question"/>
      <w:r>
        <w:t>3.3 The core question</w:t>
      </w:r>
    </w:p>
    <w:p w14:paraId="0930D517">
      <w:pPr>
        <w:pStyle w:val="23"/>
      </w:pPr>
      <w:r>
        <w:t xml:space="preserve">Non-lawyers do not ask </w:t>
      </w:r>
      <w:r>
        <w:rPr>
          <w:i/>
          <w:iCs/>
        </w:rPr>
        <w:t>"Is this an uncapped unilateral indemnity?"</w:t>
      </w:r>
      <w:r>
        <w:t xml:space="preserve"> They ask </w:t>
      </w:r>
      <w:r>
        <w:rPr>
          <w:b/>
          <w:bCs/>
        </w:rPr>
        <w:t>"What does this mean for me, and what should I do about it?"</w:t>
      </w:r>
      <w:r>
        <w:t xml:space="preserve"> Existing tools rarely answer that question first.</w:t>
      </w:r>
    </w:p>
    <w:bookmarkEnd w:id="3"/>
    <w:bookmarkEnd w:id="6"/>
    <w:p w14:paraId="4607C924">
      <w:pPr>
        <w:pStyle w:val="2"/>
      </w:pPr>
      <w:bookmarkStart w:id="7" w:name="solution-overview"/>
      <w:r>
        <w:t>4. Solution Overview</w:t>
      </w:r>
    </w:p>
    <w:p w14:paraId="179F2DB9">
      <w:pPr>
        <w:pStyle w:val="23"/>
      </w:pPr>
      <w:r>
        <w:t xml:space="preserve">LexiShield AI is a contract co-pilot that answers </w:t>
      </w:r>
      <w:r>
        <w:rPr>
          <w:i/>
          <w:iCs/>
        </w:rPr>
        <w:t>"What does this mean for me?"</w:t>
      </w:r>
      <w:r>
        <w:t xml:space="preserve"> before it shows any legal terminology.</w:t>
      </w:r>
    </w:p>
    <w:p w14:paraId="2EBE0EAA">
      <w:pPr>
        <w:pStyle w:val="4"/>
      </w:pPr>
      <w:bookmarkStart w:id="8" w:name="what-it-does-differently"/>
      <w:r>
        <w:t>What it does differently</w:t>
      </w:r>
    </w:p>
    <w:p w14:paraId="18711B11">
      <w:pPr>
        <w:pStyle w:val="24"/>
        <w:numPr>
          <w:ilvl w:val="0"/>
          <w:numId w:val="2"/>
        </w:numPr>
      </w:pPr>
      <w:r>
        <w:rPr>
          <w:b/>
          <w:bCs/>
        </w:rPr>
        <w:t>Evidence-linked, not chatbot-style.</w:t>
      </w:r>
      <w:r>
        <w:t xml:space="preserve"> Every finding is anchored to an exact quote from the uploaded contract.</w:t>
      </w:r>
    </w:p>
    <w:p w14:paraId="11AA93F5">
      <w:pPr>
        <w:pStyle w:val="24"/>
        <w:numPr>
          <w:ilvl w:val="0"/>
          <w:numId w:val="2"/>
        </w:numPr>
      </w:pPr>
      <w:r>
        <w:rPr>
          <w:b/>
          <w:bCs/>
        </w:rPr>
        <w:t>Plain English first.</w:t>
      </w:r>
      <w:r>
        <w:t xml:space="preserve"> </w:t>
      </w:r>
      <w:r>
        <w:rPr>
          <w:i/>
          <w:iCs/>
        </w:rPr>
        <w:t>"You could be forced to pay unlimited costs for the vendor's mistakes"</w:t>
      </w:r>
      <w:r>
        <w:t xml:space="preserve"> leads; </w:t>
      </w:r>
      <w:r>
        <w:rPr>
          <w:i/>
          <w:iCs/>
        </w:rPr>
        <w:t>"Uncapped unilateral indemnification"</w:t>
      </w:r>
      <w:r>
        <w:t xml:space="preserve"> is available on demand.</w:t>
      </w:r>
    </w:p>
    <w:p w14:paraId="082AD284">
      <w:pPr>
        <w:pStyle w:val="24"/>
        <w:numPr>
          <w:ilvl w:val="0"/>
          <w:numId w:val="2"/>
        </w:numPr>
      </w:pPr>
      <w:r>
        <w:rPr>
          <w:b/>
          <w:bCs/>
        </w:rPr>
        <w:t>Actionable.</w:t>
      </w:r>
      <w:r>
        <w:t xml:space="preserve"> Each finding includes a recommended action and ready-to-use fix wording.</w:t>
      </w:r>
    </w:p>
    <w:p w14:paraId="772C705C">
      <w:pPr>
        <w:pStyle w:val="24"/>
        <w:numPr>
          <w:ilvl w:val="0"/>
          <w:numId w:val="2"/>
        </w:numPr>
      </w:pPr>
      <w:r>
        <w:rPr>
          <w:b/>
          <w:bCs/>
        </w:rPr>
        <w:t>Negotiation-ready.</w:t>
      </w:r>
      <w:r>
        <w:t xml:space="preserve"> Three versions of each risky clause can be compared side by side with trade-off explanations.</w:t>
      </w:r>
    </w:p>
    <w:p w14:paraId="60C18B50">
      <w:pPr>
        <w:pStyle w:val="24"/>
        <w:numPr>
          <w:ilvl w:val="0"/>
          <w:numId w:val="2"/>
        </w:numPr>
      </w:pPr>
      <w:r>
        <w:rPr>
          <w:b/>
          <w:bCs/>
        </w:rPr>
        <w:t>Citation-grounded.</w:t>
      </w:r>
      <w:r>
        <w:t xml:space="preserve"> Findings link to statutes on India Code, EUR-Lex and the UAE Legal Portal.</w:t>
      </w:r>
    </w:p>
    <w:p w14:paraId="34738E90">
      <w:pPr>
        <w:pStyle w:val="24"/>
        <w:numPr>
          <w:ilvl w:val="0"/>
          <w:numId w:val="2"/>
        </w:numPr>
      </w:pPr>
      <w:r>
        <w:rPr>
          <w:b/>
          <w:bCs/>
        </w:rPr>
        <w:t>Explainable scoring.</w:t>
      </w:r>
      <w:r>
        <w:t xml:space="preserve"> Risk scores come from a published formula, not a model's opinion.</w:t>
      </w:r>
    </w:p>
    <w:p w14:paraId="1ABB5EED">
      <w:pPr>
        <w:pStyle w:val="24"/>
        <w:numPr>
          <w:ilvl w:val="0"/>
          <w:numId w:val="2"/>
        </w:numPr>
      </w:pPr>
      <w:r>
        <w:rPr>
          <w:b/>
          <w:bCs/>
        </w:rPr>
        <w:t>Honest about its limits.</w:t>
      </w:r>
      <w:r>
        <w:t xml:space="preserve"> A visible disclaimer states it does not replace a lawyer.</w:t>
      </w:r>
    </w:p>
    <w:bookmarkEnd w:id="7"/>
    <w:bookmarkEnd w:id="8"/>
    <w:p w14:paraId="41B6D18C">
      <w:pPr>
        <w:pStyle w:val="2"/>
      </w:pPr>
      <w:bookmarkStart w:id="9" w:name="system-architecture"/>
      <w:r>
        <w:t>5. System Architecture</w:t>
      </w:r>
    </w:p>
    <w:p w14:paraId="35D8AE4A">
      <w:pPr>
        <w:pStyle w:val="4"/>
      </w:pPr>
      <w:bookmarkStart w:id="10" w:name="high-level-diagram"/>
      <w:r>
        <w:t>5.1 High-level diagram</w:t>
      </w:r>
    </w:p>
    <w:p w14:paraId="61F86209">
      <w:pPr>
        <w:pStyle w:val="35"/>
      </w:pPr>
      <w:r>
        <w:drawing>
          <wp:inline distT="0" distB="0" distL="114300" distR="114300">
            <wp:extent cx="5577840" cy="2759075"/>
            <wp:effectExtent l="0" t="0" r="0" b="0"/>
            <wp:docPr id="29" name="Picture" descr="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ystem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94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84143">
      <w:pPr>
        <w:pStyle w:val="33"/>
      </w:pPr>
      <w:r>
        <w:t>System architecture diagram</w:t>
      </w:r>
    </w:p>
    <w:bookmarkEnd w:id="10"/>
    <w:p w14:paraId="3C56D19F">
      <w:pPr>
        <w:pStyle w:val="4"/>
      </w:pPr>
      <w:bookmarkStart w:id="11" w:name="request-lifecycle"/>
      <w:r>
        <w:t>5.2 Request lifecycle</w:t>
      </w:r>
    </w:p>
    <w:p w14:paraId="0B7034CC">
      <w:pPr>
        <w:pStyle w:val="35"/>
      </w:pPr>
      <w:r>
        <w:drawing>
          <wp:inline distT="0" distB="0" distL="114300" distR="114300">
            <wp:extent cx="5577840" cy="3098165"/>
            <wp:effectExtent l="0" t="0" r="0" b="0"/>
            <wp:docPr id="33" name="Picture" descr="Request lifecycle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quest lifecycle sequence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7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43A715">
      <w:pPr>
        <w:pStyle w:val="33"/>
      </w:pPr>
      <w:r>
        <w:t>Request lifecycle sequence diagram</w:t>
      </w:r>
    </w:p>
    <w:bookmarkEnd w:id="11"/>
    <w:p w14:paraId="2FEAD9B8">
      <w:pPr>
        <w:pStyle w:val="4"/>
      </w:pPr>
      <w:bookmarkStart w:id="12" w:name="design-principles"/>
      <w:r>
        <w:t>5.3 Design principles</w:t>
      </w:r>
    </w:p>
    <w:p w14:paraId="6E16A069">
      <w:pPr>
        <w:pStyle w:val="24"/>
        <w:numPr>
          <w:ilvl w:val="0"/>
          <w:numId w:val="1"/>
        </w:numPr>
      </w:pPr>
      <w:r>
        <w:rPr>
          <w:b/>
          <w:bCs/>
        </w:rPr>
        <w:t>Stateless server.</w:t>
      </w:r>
      <w:r>
        <w:t xml:space="preserve"> No database; contract text is processed per request.</w:t>
      </w:r>
    </w:p>
    <w:p w14:paraId="79E42B86">
      <w:pPr>
        <w:pStyle w:val="24"/>
        <w:numPr>
          <w:ilvl w:val="0"/>
          <w:numId w:val="1"/>
        </w:numPr>
      </w:pPr>
      <w:r>
        <w:rPr>
          <w:b/>
          <w:bCs/>
        </w:rPr>
        <w:t>Client-side data store</w:t>
      </w:r>
      <w:r>
        <w:t xml:space="preserve"> for jurisdiction metadata (statute names and links) so the demo works with minimal backend dependencies.</w:t>
      </w:r>
    </w:p>
    <w:p w14:paraId="051D28E4">
      <w:pPr>
        <w:pStyle w:val="24"/>
        <w:numPr>
          <w:ilvl w:val="0"/>
          <w:numId w:val="1"/>
        </w:numPr>
      </w:pPr>
      <w:r>
        <w:rPr>
          <w:b/>
          <w:bCs/>
        </w:rPr>
        <w:t>Schema-first AI.</w:t>
      </w:r>
      <w:r>
        <w:t xml:space="preserve"> The model is constrained to a Pydantic schema; anything that fails validation never reaches the UI.</w:t>
      </w:r>
    </w:p>
    <w:bookmarkEnd w:id="9"/>
    <w:bookmarkEnd w:id="12"/>
    <w:p w14:paraId="7B74F554">
      <w:pPr>
        <w:pStyle w:val="2"/>
      </w:pPr>
      <w:bookmarkStart w:id="13" w:name="tech-stack-justification"/>
      <w:r>
        <w:t>6. Tech Stack &amp; Justification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2"/>
        <w:gridCol w:w="3651"/>
        <w:gridCol w:w="4415"/>
      </w:tblGrid>
      <w:tr w14:paraId="55E6904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962" w:type="dxa"/>
            <w:shd w:val="clear" w:color="auto" w:fill="1E3A5F"/>
          </w:tcPr>
          <w:p w14:paraId="44D2CF38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651" w:type="dxa"/>
            <w:shd w:val="clear" w:color="auto" w:fill="1E3A5F"/>
          </w:tcPr>
          <w:p w14:paraId="4CF69160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4415" w:type="dxa"/>
            <w:shd w:val="clear" w:color="auto" w:fill="1E3A5F"/>
          </w:tcPr>
          <w:p w14:paraId="510DB3F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Why we chose it</w:t>
            </w:r>
          </w:p>
        </w:tc>
      </w:tr>
      <w:tr w14:paraId="57A800B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</w:tcPr>
          <w:p w14:paraId="32DFE0C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w="3651" w:type="dxa"/>
          </w:tcPr>
          <w:p w14:paraId="5EE003C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HTML5, CSS3, Vanilla JS (ES6+)</w:t>
            </w:r>
          </w:p>
        </w:tc>
        <w:tc>
          <w:tcPr>
            <w:tcW w:w="4415" w:type="dxa"/>
          </w:tcPr>
          <w:p w14:paraId="2C580BB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Zero build step, instant load, runs anywhere, easy for judges to inspect. No framework lock-in.</w:t>
            </w:r>
          </w:p>
        </w:tc>
      </w:tr>
      <w:tr w14:paraId="132837A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  <w:shd w:val="clear" w:color="auto" w:fill="F4F7FC"/>
          </w:tcPr>
          <w:p w14:paraId="0BFBC30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w="3651" w:type="dxa"/>
            <w:shd w:val="clear" w:color="auto" w:fill="F4F7FC"/>
          </w:tcPr>
          <w:p w14:paraId="7C6D400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Python FastAPI + Uvicorn</w:t>
            </w:r>
          </w:p>
        </w:tc>
        <w:tc>
          <w:tcPr>
            <w:tcW w:w="4415" w:type="dxa"/>
            <w:shd w:val="clear" w:color="auto" w:fill="F4F7FC"/>
          </w:tcPr>
          <w:p w14:paraId="3EE2EE2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Async support, automatic OpenAPI docs at </w:t>
            </w:r>
            <w:r>
              <w:rPr>
                <w:rStyle w:val="36"/>
                <w:sz w:val="19"/>
              </w:rPr>
              <w:t>/docs</w:t>
            </w:r>
            <w:r>
              <w:rPr>
                <w:sz w:val="19"/>
              </w:rPr>
              <w:t>, native Pydantic integration. Preferred over Flask for typed request/response contracts.</w:t>
            </w:r>
          </w:p>
        </w:tc>
      </w:tr>
      <w:tr w14:paraId="3DEFB11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</w:tcPr>
          <w:p w14:paraId="1B81F42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AI engine</w:t>
            </w:r>
          </w:p>
        </w:tc>
        <w:tc>
          <w:tcPr>
            <w:tcW w:w="3651" w:type="dxa"/>
          </w:tcPr>
          <w:p w14:paraId="40D85291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Google Gemini 2.5 via </w:t>
            </w:r>
            <w:r>
              <w:rPr>
                <w:rStyle w:val="36"/>
                <w:b/>
                <w:bCs/>
                <w:sz w:val="19"/>
              </w:rPr>
              <w:t>google-genai</w:t>
            </w:r>
          </w:p>
        </w:tc>
        <w:tc>
          <w:tcPr>
            <w:tcW w:w="4415" w:type="dxa"/>
          </w:tcPr>
          <w:p w14:paraId="08B9427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Strong long-context handling for full contracts, and structured (JSON-schema) output support.</w:t>
            </w:r>
          </w:p>
        </w:tc>
      </w:tr>
      <w:tr w14:paraId="795A3B9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  <w:shd w:val="clear" w:color="auto" w:fill="F4F7FC"/>
          </w:tcPr>
          <w:p w14:paraId="09ECACA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Validation</w:t>
            </w:r>
          </w:p>
        </w:tc>
        <w:tc>
          <w:tcPr>
            <w:tcW w:w="3651" w:type="dxa"/>
            <w:shd w:val="clear" w:color="auto" w:fill="F4F7FC"/>
          </w:tcPr>
          <w:p w14:paraId="204E244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Pydantic v2</w:t>
            </w:r>
          </w:p>
        </w:tc>
        <w:tc>
          <w:tcPr>
            <w:tcW w:w="4415" w:type="dxa"/>
            <w:shd w:val="clear" w:color="auto" w:fill="F4F7FC"/>
          </w:tcPr>
          <w:p w14:paraId="7F93884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Enforces the response schema, giving type safety between the AI output and the UI.</w:t>
            </w:r>
          </w:p>
        </w:tc>
      </w:tr>
      <w:tr w14:paraId="087B2A97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</w:tcPr>
          <w:p w14:paraId="5EA76B9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Typography</w:t>
            </w:r>
          </w:p>
        </w:tc>
        <w:tc>
          <w:tcPr>
            <w:tcW w:w="3651" w:type="dxa"/>
          </w:tcPr>
          <w:p w14:paraId="5E1CEE7B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Google Fonts — Plus Jakarta Sans, JetBrains Mono</w:t>
            </w:r>
          </w:p>
        </w:tc>
        <w:tc>
          <w:tcPr>
            <w:tcW w:w="4415" w:type="dxa"/>
          </w:tcPr>
          <w:p w14:paraId="6B6970F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Readable, modern sans-serif for plain-English text; monospace for clause quotes and statute references.</w:t>
            </w:r>
          </w:p>
        </w:tc>
      </w:tr>
      <w:tr w14:paraId="4D69C2B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962" w:type="dxa"/>
            <w:shd w:val="clear" w:color="auto" w:fill="F4F7FC"/>
          </w:tcPr>
          <w:p w14:paraId="444682F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Storage</w:t>
            </w:r>
          </w:p>
        </w:tc>
        <w:tc>
          <w:tcPr>
            <w:tcW w:w="3651" w:type="dxa"/>
            <w:shd w:val="clear" w:color="auto" w:fill="F4F7FC"/>
          </w:tcPr>
          <w:p w14:paraId="009B1726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None (stateless)</w:t>
            </w:r>
          </w:p>
        </w:tc>
        <w:tc>
          <w:tcPr>
            <w:tcW w:w="4415" w:type="dxa"/>
            <w:shd w:val="clear" w:color="auto" w:fill="F4F7FC"/>
          </w:tcPr>
          <w:p w14:paraId="2F579B5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Reduces privacy exposure, simplifies deployment, avoids database setup during a hackathon.</w:t>
            </w:r>
          </w:p>
        </w:tc>
      </w:tr>
    </w:tbl>
    <w:p w14:paraId="1EB72637">
      <w:pPr>
        <w:pStyle w:val="4"/>
      </w:pPr>
      <w:bookmarkStart w:id="14" w:name="key-trade-offs"/>
      <w:r>
        <w:t>Key trade-offs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25"/>
        <w:gridCol w:w="2014"/>
        <w:gridCol w:w="4489"/>
      </w:tblGrid>
      <w:tr w14:paraId="60FB761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525" w:type="dxa"/>
            <w:shd w:val="clear" w:color="auto" w:fill="1E3A5F"/>
          </w:tcPr>
          <w:p w14:paraId="253A505C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w="2014" w:type="dxa"/>
            <w:shd w:val="clear" w:color="auto" w:fill="1E3A5F"/>
          </w:tcPr>
          <w:p w14:paraId="75B02A1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Alternative</w:t>
            </w:r>
          </w:p>
        </w:tc>
        <w:tc>
          <w:tcPr>
            <w:tcW w:w="4489" w:type="dxa"/>
            <w:shd w:val="clear" w:color="auto" w:fill="1E3A5F"/>
          </w:tcPr>
          <w:p w14:paraId="34690914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14:paraId="7705914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25" w:type="dxa"/>
          </w:tcPr>
          <w:p w14:paraId="0034B59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Vanilla JS</w:t>
            </w:r>
          </w:p>
        </w:tc>
        <w:tc>
          <w:tcPr>
            <w:tcW w:w="2014" w:type="dxa"/>
          </w:tcPr>
          <w:p w14:paraId="20BE9C6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React / Vue</w:t>
            </w:r>
          </w:p>
        </w:tc>
        <w:tc>
          <w:tcPr>
            <w:tcW w:w="4489" w:type="dxa"/>
          </w:tcPr>
          <w:p w14:paraId="21233AF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Faster to ship; nothing to compile; smaller attack surface.</w:t>
            </w:r>
          </w:p>
        </w:tc>
      </w:tr>
      <w:tr w14:paraId="12219C3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25" w:type="dxa"/>
            <w:shd w:val="clear" w:color="auto" w:fill="F4F7FC"/>
          </w:tcPr>
          <w:p w14:paraId="58F6A3E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FastAPI</w:t>
            </w:r>
          </w:p>
        </w:tc>
        <w:tc>
          <w:tcPr>
            <w:tcW w:w="2014" w:type="dxa"/>
            <w:shd w:val="clear" w:color="auto" w:fill="F4F7FC"/>
          </w:tcPr>
          <w:p w14:paraId="01CD0AC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Flask</w:t>
            </w:r>
          </w:p>
        </w:tc>
        <w:tc>
          <w:tcPr>
            <w:tcW w:w="4489" w:type="dxa"/>
            <w:shd w:val="clear" w:color="auto" w:fill="F4F7FC"/>
          </w:tcPr>
          <w:p w14:paraId="69791EE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Async + auto-docs + Pydantic.</w:t>
            </w:r>
          </w:p>
        </w:tc>
      </w:tr>
      <w:tr w14:paraId="7A10BDE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25" w:type="dxa"/>
          </w:tcPr>
          <w:p w14:paraId="4D91C2A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Formula-based score</w:t>
            </w:r>
          </w:p>
        </w:tc>
        <w:tc>
          <w:tcPr>
            <w:tcW w:w="2014" w:type="dxa"/>
          </w:tcPr>
          <w:p w14:paraId="6A7E09E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Ask the AI for a number</w:t>
            </w:r>
          </w:p>
        </w:tc>
        <w:tc>
          <w:tcPr>
            <w:tcW w:w="4489" w:type="dxa"/>
          </w:tcPr>
          <w:p w14:paraId="1530595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Reproducible, explainable, auditable.</w:t>
            </w:r>
          </w:p>
        </w:tc>
      </w:tr>
      <w:tr w14:paraId="0C10631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25" w:type="dxa"/>
            <w:shd w:val="clear" w:color="auto" w:fill="F4F7FC"/>
          </w:tcPr>
          <w:p w14:paraId="6913169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Client-side jurisdiction store</w:t>
            </w:r>
          </w:p>
        </w:tc>
        <w:tc>
          <w:tcPr>
            <w:tcW w:w="2014" w:type="dxa"/>
            <w:shd w:val="clear" w:color="auto" w:fill="F4F7FC"/>
          </w:tcPr>
          <w:p w14:paraId="37677E4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Database</w:t>
            </w:r>
          </w:p>
        </w:tc>
        <w:tc>
          <w:tcPr>
            <w:tcW w:w="4489" w:type="dxa"/>
            <w:shd w:val="clear" w:color="auto" w:fill="F4F7FC"/>
          </w:tcPr>
          <w:p w14:paraId="40570ED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Offline-friendly demo; no infrastructure.</w:t>
            </w:r>
          </w:p>
        </w:tc>
      </w:tr>
      <w:tr w14:paraId="7AA787A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25" w:type="dxa"/>
          </w:tcPr>
          <w:p w14:paraId="562DD8FE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&lt;details&gt;/&lt;summary&gt;</w:t>
            </w:r>
            <w:r>
              <w:rPr>
                <w:sz w:val="19"/>
              </w:rPr>
              <w:t xml:space="preserve"> disclosure</w:t>
            </w:r>
          </w:p>
        </w:tc>
        <w:tc>
          <w:tcPr>
            <w:tcW w:w="2014" w:type="dxa"/>
          </w:tcPr>
          <w:p w14:paraId="0A2745D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Always-expanded cards</w:t>
            </w:r>
          </w:p>
        </w:tc>
        <w:tc>
          <w:tcPr>
            <w:tcW w:w="4489" w:type="dxa"/>
          </w:tcPr>
          <w:p w14:paraId="407640B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Simple answers first, legal depth on demand.</w:t>
            </w:r>
          </w:p>
        </w:tc>
      </w:tr>
      <w:bookmarkEnd w:id="13"/>
      <w:bookmarkEnd w:id="14"/>
    </w:tbl>
    <w:p w14:paraId="09812A0E">
      <w:pPr>
        <w:pStyle w:val="2"/>
      </w:pPr>
      <w:bookmarkStart w:id="15" w:name="core-features"/>
      <w:r>
        <w:t>7. Core Features</w:t>
      </w:r>
    </w:p>
    <w:p w14:paraId="50C518A7">
      <w:pPr>
        <w:pStyle w:val="4"/>
      </w:pPr>
      <w:bookmarkStart w:id="16" w:name="four-step-guided-workflow"/>
      <w:r>
        <w:t>7.1 Four-step guided workflow</w:t>
      </w:r>
    </w:p>
    <w:p w14:paraId="1CBD54F5">
      <w:pPr>
        <w:pStyle w:val="23"/>
      </w:pPr>
      <w:r>
        <w:rPr>
          <w:b/>
          <w:bCs/>
        </w:rPr>
        <w:t>Document Upload → Executive Summary → Issues &amp; Fixes → Report Export.</w:t>
      </w:r>
      <w:r>
        <w:t xml:space="preserve"> A stepper keeps non-lawyers oriented and prevents information overload.</w:t>
      </w:r>
    </w:p>
    <w:bookmarkEnd w:id="16"/>
    <w:p w14:paraId="1360BC9F">
      <w:pPr>
        <w:pStyle w:val="4"/>
      </w:pPr>
      <w:bookmarkStart w:id="17" w:name="evidence-linked-risk-analysis"/>
      <w:r>
        <w:t>7.2 Evidence-linked risk analysis</w:t>
      </w:r>
    </w:p>
    <w:p w14:paraId="37EBE7DE">
      <w:pPr>
        <w:pStyle w:val="23"/>
      </w:pPr>
      <w:r>
        <w:t>Each finding is a structured card:</w:t>
      </w:r>
    </w:p>
    <w:p w14:paraId="61B1A594">
      <w:pPr>
        <w:pStyle w:val="24"/>
        <w:numPr>
          <w:ilvl w:val="0"/>
          <w:numId w:val="3"/>
        </w:numPr>
      </w:pPr>
      <w:r>
        <w:rPr>
          <w:b/>
          <w:bCs/>
        </w:rPr>
        <w:t>Plain-English title</w:t>
      </w:r>
      <w:r>
        <w:t xml:space="preserve"> (e.g., </w:t>
      </w:r>
      <w:r>
        <w:rPr>
          <w:i/>
          <w:iCs/>
        </w:rPr>
        <w:t>"You could be forced to pay unlimited costs"</w:t>
      </w:r>
      <w:r>
        <w:t>)</w:t>
      </w:r>
    </w:p>
    <w:p w14:paraId="3B6E4886">
      <w:pPr>
        <w:pStyle w:val="24"/>
        <w:numPr>
          <w:ilvl w:val="0"/>
          <w:numId w:val="3"/>
        </w:numPr>
      </w:pPr>
      <w:r>
        <w:rPr>
          <w:b/>
          <w:bCs/>
        </w:rPr>
        <w:t>What this means</w:t>
      </w:r>
      <w:r>
        <w:t xml:space="preserve"> — simple explanation</w:t>
      </w:r>
    </w:p>
    <w:p w14:paraId="57224027">
      <w:pPr>
        <w:pStyle w:val="24"/>
        <w:numPr>
          <w:ilvl w:val="0"/>
          <w:numId w:val="3"/>
        </w:numPr>
      </w:pPr>
      <w:r>
        <w:rPr>
          <w:b/>
          <w:bCs/>
        </w:rPr>
        <w:t>What could happen</w:t>
      </w:r>
      <w:r>
        <w:t xml:space="preserve"> — practical consequences</w:t>
      </w:r>
    </w:p>
    <w:p w14:paraId="19860278">
      <w:pPr>
        <w:pStyle w:val="24"/>
        <w:numPr>
          <w:ilvl w:val="0"/>
          <w:numId w:val="3"/>
        </w:numPr>
      </w:pPr>
      <w:r>
        <w:rPr>
          <w:b/>
          <w:bCs/>
        </w:rPr>
        <w:t>Exact quote</w:t>
      </w:r>
      <w:r>
        <w:t xml:space="preserve"> — verbatim clause text from the contract, with clause location</w:t>
      </w:r>
    </w:p>
    <w:p w14:paraId="6BA3079F">
      <w:pPr>
        <w:pStyle w:val="24"/>
        <w:numPr>
          <w:ilvl w:val="0"/>
          <w:numId w:val="3"/>
        </w:numPr>
      </w:pPr>
      <w:r>
        <w:rPr>
          <w:b/>
          <w:bCs/>
        </w:rPr>
        <w:t>Recommended action</w:t>
      </w:r>
      <w:r>
        <w:t xml:space="preserve"> — what to do next</w:t>
      </w:r>
    </w:p>
    <w:p w14:paraId="7104001D">
      <w:pPr>
        <w:pStyle w:val="24"/>
        <w:numPr>
          <w:ilvl w:val="0"/>
          <w:numId w:val="3"/>
        </w:numPr>
      </w:pPr>
      <w:r>
        <w:rPr>
          <w:b/>
          <w:bCs/>
        </w:rPr>
        <w:t>Suggested revisions</w:t>
      </w:r>
      <w:r>
        <w:t xml:space="preserve"> — Balanced and Pro-Client wording</w:t>
      </w:r>
    </w:p>
    <w:p w14:paraId="2CE01510">
      <w:pPr>
        <w:pStyle w:val="24"/>
        <w:numPr>
          <w:ilvl w:val="0"/>
          <w:numId w:val="3"/>
        </w:numPr>
      </w:pPr>
      <w:r>
        <w:rPr>
          <w:b/>
          <w:bCs/>
        </w:rPr>
        <w:t>Statute link</w:t>
      </w:r>
      <w:r>
        <w:t xml:space="preserve"> — official source</w:t>
      </w:r>
    </w:p>
    <w:p w14:paraId="3A174029">
      <w:pPr>
        <w:pStyle w:val="23"/>
      </w:pPr>
      <w:r>
        <w:rPr>
          <w:i/>
          <w:iCs/>
        </w:rPr>
        <w:t>How it works:</w:t>
      </w:r>
      <w:r>
        <w:t xml:space="preserve"> the prompt requires the model to return the verbatim </w:t>
      </w:r>
      <w:r>
        <w:rPr>
          <w:rStyle w:val="36"/>
        </w:rPr>
        <w:t>exact_quote</w:t>
      </w:r>
      <w:r>
        <w:t xml:space="preserve"> and </w:t>
      </w:r>
      <w:r>
        <w:rPr>
          <w:rStyle w:val="36"/>
        </w:rPr>
        <w:t>clause_location</w:t>
      </w:r>
      <w:r>
        <w:t xml:space="preserve"> for every risk, tying each finding to the source text.</w:t>
      </w:r>
    </w:p>
    <w:bookmarkEnd w:id="17"/>
    <w:p w14:paraId="66F09B30">
      <w:pPr>
        <w:pStyle w:val="4"/>
      </w:pPr>
      <w:bookmarkStart w:id="18" w:name="deterministic-risk-scoring"/>
      <w:r>
        <w:t>7.3 Deterministic risk scoring</w:t>
      </w:r>
    </w:p>
    <w:p w14:paraId="560CCCD9">
      <w:pPr>
        <w:pStyle w:val="23"/>
      </w:pPr>
      <w:r>
        <w:t xml:space="preserve">Overall risk is computed as </w:t>
      </w:r>
      <w:r>
        <w:rPr>
          <w:b/>
          <w:bCs/>
        </w:rPr>
        <w:t>R = min(10, Σ wᵢ × Sᵢ)</w:t>
      </w:r>
      <w:r>
        <w:t xml:space="preserve">, where Sᵢ is each finding's severity score and wᵢ its weight. See </w:t>
      </w:r>
      <w:r>
        <w:fldChar w:fldCharType="begin"/>
      </w:r>
      <w:r>
        <w:instrText xml:space="preserve"> HYPERLINK \l "Xfa600b765fc2d677f79e4b1cb87fae51d1d780c" \h </w:instrText>
      </w:r>
      <w:r>
        <w:fldChar w:fldCharType="separate"/>
      </w:r>
      <w:r>
        <w:rPr>
          <w:rStyle w:val="20"/>
        </w:rPr>
        <w:t>Section 10</w:t>
      </w:r>
      <w:r>
        <w:rPr>
          <w:rStyle w:val="20"/>
        </w:rPr>
        <w:fldChar w:fldCharType="end"/>
      </w:r>
      <w:r>
        <w:t>.</w:t>
      </w:r>
    </w:p>
    <w:bookmarkEnd w:id="18"/>
    <w:p w14:paraId="3E459C4F">
      <w:pPr>
        <w:pStyle w:val="4"/>
      </w:pPr>
      <w:bookmarkStart w:id="19" w:name="three-way-clause-negotiation-mode"/>
      <w:r>
        <w:t>7.4 Three-way clause negotiation mode</w:t>
      </w:r>
    </w:p>
    <w:p w14:paraId="15E54C84">
      <w:pPr>
        <w:pStyle w:val="23"/>
      </w:pPr>
      <w:r>
        <w:t xml:space="preserve">Compare </w:t>
      </w:r>
      <w:r>
        <w:rPr>
          <w:b/>
          <w:bCs/>
        </w:rPr>
        <w:t>Original Draft</w:t>
      </w:r>
      <w:r>
        <w:t xml:space="preserve">, </w:t>
      </w:r>
      <w:r>
        <w:rPr>
          <w:b/>
          <w:bCs/>
        </w:rPr>
        <w:t>Balanced Revision</w:t>
      </w:r>
      <w:r>
        <w:t xml:space="preserve"> and </w:t>
      </w:r>
      <w:r>
        <w:rPr>
          <w:b/>
          <w:bCs/>
        </w:rPr>
        <w:t>Pro-Client Revision</w:t>
      </w:r>
      <w:r>
        <w:t xml:space="preserve"> side by side, each with a trade-off explanation (e.g., </w:t>
      </w:r>
      <w:r>
        <w:rPr>
          <w:i/>
          <w:iCs/>
        </w:rPr>
        <w:t>"Pro-Client is strongest for you but the vendor may push back; Balanced is more likely to be accepted"</w:t>
      </w:r>
      <w:r>
        <w:t xml:space="preserve">). An </w:t>
      </w:r>
      <w:r>
        <w:rPr>
          <w:b/>
          <w:bCs/>
        </w:rPr>
        <w:t>Apply to Contract</w:t>
      </w:r>
      <w:r>
        <w:t xml:space="preserve"> action drops the chosen wording into the working contract.</w:t>
      </w:r>
    </w:p>
    <w:bookmarkEnd w:id="19"/>
    <w:p w14:paraId="0713B5AF">
      <w:pPr>
        <w:pStyle w:val="4"/>
      </w:pPr>
      <w:bookmarkStart w:id="20" w:name="real-legal-citations"/>
      <w:r>
        <w:t>7.5 Real legal citations</w:t>
      </w:r>
    </w:p>
    <w:p w14:paraId="1E2D68D7">
      <w:pPr>
        <w:pStyle w:val="23"/>
      </w:pPr>
      <w:r>
        <w:t xml:space="preserve">Findings link to the official repositories: </w:t>
      </w:r>
      <w:r>
        <w:rPr>
          <w:b/>
          <w:bCs/>
        </w:rPr>
        <w:t>India Code</w:t>
      </w:r>
      <w:r>
        <w:t xml:space="preserve"> (indiacode.nic.in), </w:t>
      </w:r>
      <w:r>
        <w:rPr>
          <w:b/>
          <w:bCs/>
        </w:rPr>
        <w:t>EUR-Lex</w:t>
      </w:r>
      <w:r>
        <w:t xml:space="preserve"> and the </w:t>
      </w:r>
      <w:r>
        <w:rPr>
          <w:b/>
          <w:bCs/>
        </w:rPr>
        <w:t>UAE Legal Portal</w:t>
      </w:r>
      <w:r>
        <w:t>. Statute names and links come from the jurisdiction data store rather than free-form model generation.</w:t>
      </w:r>
    </w:p>
    <w:bookmarkEnd w:id="20"/>
    <w:p w14:paraId="455219A3">
      <w:pPr>
        <w:pStyle w:val="4"/>
      </w:pPr>
      <w:bookmarkStart w:id="21" w:name="sourced-legal-qa-chat"/>
      <w:r>
        <w:t>7.6 Sourced legal Q&amp;A chat</w:t>
      </w:r>
    </w:p>
    <w:p w14:paraId="2A55FD6D">
      <w:pPr>
        <w:pStyle w:val="23"/>
      </w:pPr>
      <w:r>
        <w:t xml:space="preserve">A jurisdiction-aware assistant answers questions such as </w:t>
      </w:r>
      <w:r>
        <w:rPr>
          <w:i/>
          <w:iCs/>
        </w:rPr>
        <w:t>"Can the vendor sell my customer data?"</w:t>
      </w:r>
      <w:r>
        <w:t xml:space="preserve"> and cites specific statutory provisions.</w:t>
      </w:r>
    </w:p>
    <w:bookmarkEnd w:id="21"/>
    <w:p w14:paraId="19FA31DF">
      <w:pPr>
        <w:pStyle w:val="4"/>
      </w:pPr>
      <w:bookmarkStart w:id="22" w:name="executive-report-export"/>
      <w:r>
        <w:t>7.7 Executive report export</w:t>
      </w:r>
    </w:p>
    <w:p w14:paraId="73931A0C">
      <w:pPr>
        <w:pStyle w:val="23"/>
      </w:pPr>
      <w:r>
        <w:rPr>
          <w:rStyle w:val="36"/>
        </w:rPr>
        <w:t>GET /api/export_report</w:t>
      </w:r>
      <w:r>
        <w:t xml:space="preserve"> returns a downloadable plain-text review report summarizing the score, findings and recommended actions.</w:t>
      </w:r>
    </w:p>
    <w:bookmarkEnd w:id="22"/>
    <w:p w14:paraId="55FEE46B">
      <w:pPr>
        <w:pStyle w:val="4"/>
      </w:pPr>
      <w:bookmarkStart w:id="23" w:name="empirical-evaluation-benchmark"/>
      <w:r>
        <w:t>7.8 Empirical evaluation benchmark</w:t>
      </w:r>
    </w:p>
    <w:p w14:paraId="382FD80A">
      <w:pPr>
        <w:pStyle w:val="23"/>
      </w:pPr>
      <w:r>
        <w:t xml:space="preserve">A standalone </w:t>
      </w:r>
      <w:r>
        <w:rPr>
          <w:rStyle w:val="36"/>
        </w:rPr>
        <w:t>benchmark_eval.py</w:t>
      </w:r>
      <w:r>
        <w:t xml:space="preserve"> measures risk recall, citation accuracy and clause-extraction IoU; results are exposed through </w:t>
      </w:r>
      <w:r>
        <w:rPr>
          <w:rStyle w:val="36"/>
        </w:rPr>
        <w:t>GET /api/benchmark</w:t>
      </w:r>
      <w:r>
        <w:t>.</w:t>
      </w:r>
    </w:p>
    <w:bookmarkEnd w:id="23"/>
    <w:p w14:paraId="25D88B32">
      <w:pPr>
        <w:pStyle w:val="4"/>
      </w:pPr>
      <w:bookmarkStart w:id="24" w:name="progressive-disclosure-ui"/>
      <w:r>
        <w:t>7.9 Progressive-disclosure UI</w:t>
      </w:r>
    </w:p>
    <w:p w14:paraId="674FCA04">
      <w:pPr>
        <w:pStyle w:val="23"/>
      </w:pPr>
      <w:r>
        <w:t xml:space="preserve">Plain-English content is shown first; legal terms, statute names and technical detail sit inside expandable </w:t>
      </w:r>
      <w:r>
        <w:rPr>
          <w:rStyle w:val="36"/>
        </w:rPr>
        <w:t>&lt;details&gt;</w:t>
      </w:r>
      <w:r>
        <w:t xml:space="preserve"> sections.</w:t>
      </w:r>
    </w:p>
    <w:bookmarkEnd w:id="24"/>
    <w:p w14:paraId="15725B18">
      <w:pPr>
        <w:pStyle w:val="4"/>
      </w:pPr>
      <w:bookmarkStart w:id="25" w:name="multi-jurisdiction-support"/>
      <w:r>
        <w:t>7.10 Multi-jurisdiction support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2"/>
        <w:gridCol w:w="7196"/>
      </w:tblGrid>
      <w:tr w14:paraId="5A7103E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832" w:type="dxa"/>
            <w:shd w:val="clear" w:color="auto" w:fill="1E3A5F"/>
          </w:tcPr>
          <w:p w14:paraId="2449608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Jurisdiction</w:t>
            </w:r>
          </w:p>
        </w:tc>
        <w:tc>
          <w:tcPr>
            <w:tcW w:w="7196" w:type="dxa"/>
            <w:shd w:val="clear" w:color="auto" w:fill="1E3A5F"/>
          </w:tcPr>
          <w:p w14:paraId="56D9CB1B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Primary instruments</w:t>
            </w:r>
          </w:p>
        </w:tc>
      </w:tr>
      <w:tr w14:paraId="018B953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832" w:type="dxa"/>
          </w:tcPr>
          <w:p w14:paraId="39FD82F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</w:t>
            </w:r>
          </w:p>
        </w:tc>
        <w:tc>
          <w:tcPr>
            <w:tcW w:w="7196" w:type="dxa"/>
          </w:tcPr>
          <w:p w14:paraId="0BB5AD4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Indian Contract Act 1872, Digital Personal Data Protection (DPDP) Act 2023</w:t>
            </w:r>
          </w:p>
        </w:tc>
      </w:tr>
      <w:tr w14:paraId="184247E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832" w:type="dxa"/>
            <w:shd w:val="clear" w:color="auto" w:fill="F4F7FC"/>
          </w:tcPr>
          <w:p w14:paraId="75A4B32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EU</w:t>
            </w:r>
          </w:p>
        </w:tc>
        <w:tc>
          <w:tcPr>
            <w:tcW w:w="7196" w:type="dxa"/>
            <w:shd w:val="clear" w:color="auto" w:fill="F4F7FC"/>
          </w:tcPr>
          <w:p w14:paraId="2B6A1CA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GDPR — Regulation (EU) 2016/679</w:t>
            </w:r>
          </w:p>
        </w:tc>
      </w:tr>
      <w:tr w14:paraId="3D522BD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832" w:type="dxa"/>
          </w:tcPr>
          <w:p w14:paraId="06FCC36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UAE</w:t>
            </w:r>
          </w:p>
        </w:tc>
        <w:tc>
          <w:tcPr>
            <w:tcW w:w="7196" w:type="dxa"/>
          </w:tcPr>
          <w:p w14:paraId="741EE3D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Federal Decree-Law No. 45 of 2021 (personal data protection)</w:t>
            </w:r>
          </w:p>
        </w:tc>
      </w:tr>
      <w:bookmarkEnd w:id="15"/>
      <w:bookmarkEnd w:id="25"/>
    </w:tbl>
    <w:p w14:paraId="38251809">
      <w:pPr>
        <w:pStyle w:val="2"/>
      </w:pPr>
      <w:bookmarkStart w:id="26" w:name="api-documentation"/>
      <w:r>
        <w:t>8. API Documentation</w:t>
      </w:r>
    </w:p>
    <w:p w14:paraId="190EBEE4">
      <w:pPr>
        <w:pStyle w:val="23"/>
      </w:pPr>
      <w:r>
        <w:t xml:space="preserve">Base URL (local): </w:t>
      </w:r>
      <w:r>
        <w:rPr>
          <w:rStyle w:val="36"/>
        </w:rPr>
        <w:t>http://localhost:8000</w:t>
      </w:r>
      <w:r>
        <w:t xml:space="preserve"> · Interactive docs: </w:t>
      </w:r>
      <w:r>
        <w:rPr>
          <w:rStyle w:val="36"/>
        </w:rPr>
        <w:t>/docs</w:t>
      </w:r>
      <w:r>
        <w:t xml:space="preserve"> (Swagger UI), </w:t>
      </w:r>
      <w:r>
        <w:rPr>
          <w:rStyle w:val="36"/>
        </w:rPr>
        <w:t>/redoc</w:t>
      </w:r>
    </w:p>
    <w:p w14:paraId="65A88193">
      <w:pPr>
        <w:pStyle w:val="4"/>
      </w:pPr>
      <w:bookmarkStart w:id="27" w:name="post-apianalyze"/>
      <w:r>
        <w:t xml:space="preserve">8.1 </w:t>
      </w:r>
      <w:r>
        <w:rPr>
          <w:rStyle w:val="36"/>
        </w:rPr>
        <w:t>POST /api/analyze</w:t>
      </w:r>
    </w:p>
    <w:p w14:paraId="22483057">
      <w:pPr>
        <w:pStyle w:val="23"/>
      </w:pPr>
      <w:r>
        <w:t>Analyzes a contract and returns structured findings.</w:t>
      </w:r>
    </w:p>
    <w:p w14:paraId="642407F2">
      <w:pPr>
        <w:pStyle w:val="3"/>
      </w:pPr>
      <w:r>
        <w:rPr>
          <w:b/>
          <w:bCs/>
        </w:rPr>
        <w:t>Request body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71"/>
        <w:gridCol w:w="1222"/>
        <w:gridCol w:w="6135"/>
      </w:tblGrid>
      <w:tr w14:paraId="7657E65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671" w:type="dxa"/>
            <w:shd w:val="clear" w:color="auto" w:fill="1E3A5F"/>
          </w:tcPr>
          <w:p w14:paraId="652E05F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222" w:type="dxa"/>
            <w:shd w:val="clear" w:color="auto" w:fill="1E3A5F"/>
          </w:tcPr>
          <w:p w14:paraId="184D5139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6135" w:type="dxa"/>
            <w:shd w:val="clear" w:color="auto" w:fill="1E3A5F"/>
          </w:tcPr>
          <w:p w14:paraId="515BCFC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14:paraId="03D22DF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71" w:type="dxa"/>
          </w:tcPr>
          <w:p w14:paraId="4593F228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contract_text</w:t>
            </w:r>
          </w:p>
        </w:tc>
        <w:tc>
          <w:tcPr>
            <w:tcW w:w="1222" w:type="dxa"/>
          </w:tcPr>
          <w:p w14:paraId="428D1EE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6135" w:type="dxa"/>
          </w:tcPr>
          <w:p w14:paraId="4716253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Full contract text (extracted from TXT/PDF).</w:t>
            </w:r>
          </w:p>
        </w:tc>
      </w:tr>
      <w:tr w14:paraId="364B052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71" w:type="dxa"/>
            <w:shd w:val="clear" w:color="auto" w:fill="F4F7FC"/>
          </w:tcPr>
          <w:p w14:paraId="25913F21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jurisdiction</w:t>
            </w:r>
          </w:p>
        </w:tc>
        <w:tc>
          <w:tcPr>
            <w:tcW w:w="1222" w:type="dxa"/>
            <w:shd w:val="clear" w:color="auto" w:fill="F4F7FC"/>
          </w:tcPr>
          <w:p w14:paraId="0EE07EB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6135" w:type="dxa"/>
            <w:shd w:val="clear" w:color="auto" w:fill="F4F7FC"/>
          </w:tcPr>
          <w:p w14:paraId="731A816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One of </w:t>
            </w:r>
            <w:r>
              <w:rPr>
                <w:rStyle w:val="36"/>
                <w:sz w:val="19"/>
              </w:rPr>
              <w:t>India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EU GDPR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UAE</w:t>
            </w:r>
            <w:r>
              <w:rPr>
                <w:sz w:val="19"/>
              </w:rPr>
              <w:t xml:space="preserve"> (match the values used in </w:t>
            </w:r>
            <w:r>
              <w:rPr>
                <w:rStyle w:val="36"/>
                <w:sz w:val="19"/>
              </w:rPr>
              <w:t>app.py</w:t>
            </w:r>
            <w:r>
              <w:rPr>
                <w:sz w:val="19"/>
              </w:rPr>
              <w:t>).</w:t>
            </w:r>
          </w:p>
        </w:tc>
      </w:tr>
    </w:tbl>
    <w:p w14:paraId="14A86185">
      <w:pPr>
        <w:pStyle w:val="3"/>
        <w:spacing w:before="160"/>
      </w:pPr>
      <w:r>
        <w:rPr>
          <w:b/>
          <w:bCs/>
        </w:rPr>
        <w:t>Example request</w:t>
      </w:r>
    </w:p>
    <w:p w14:paraId="06E0B142">
      <w:pPr>
        <w:pStyle w:val="37"/>
        <w:keepLines/>
        <w:spacing w:before="120" w:after="160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"contract_text"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"3.1 Client shall indemnify Vendor against all claims, losses and costs, regardless of fault..."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"jurisdiction"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"India"</w:t>
      </w:r>
      <w:r>
        <w:br w:type="textWrapping"/>
      </w:r>
      <w:r>
        <w:rPr>
          <w:rStyle w:val="57"/>
        </w:rPr>
        <w:t>}</w:t>
      </w:r>
    </w:p>
    <w:p w14:paraId="39C0C0AC">
      <w:pPr>
        <w:pStyle w:val="23"/>
      </w:pPr>
      <w:r>
        <w:rPr>
          <w:b/>
          <w:bCs/>
        </w:rPr>
        <w:t xml:space="preserve">Response — </w:t>
      </w:r>
      <w:r>
        <w:rPr>
          <w:rStyle w:val="36"/>
          <w:b/>
          <w:bCs/>
        </w:rPr>
        <w:t>ContractAnalysisResponse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17"/>
        <w:gridCol w:w="1345"/>
        <w:gridCol w:w="5466"/>
      </w:tblGrid>
      <w:tr w14:paraId="12795B8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217" w:type="dxa"/>
            <w:shd w:val="clear" w:color="auto" w:fill="1E3A5F"/>
          </w:tcPr>
          <w:p w14:paraId="57C2049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345" w:type="dxa"/>
            <w:shd w:val="clear" w:color="auto" w:fill="1E3A5F"/>
          </w:tcPr>
          <w:p w14:paraId="01A32875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5466" w:type="dxa"/>
            <w:shd w:val="clear" w:color="auto" w:fill="1E3A5F"/>
          </w:tcPr>
          <w:p w14:paraId="47232F2A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14:paraId="3239A50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</w:tcPr>
          <w:p w14:paraId="1A26FB4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jurisdiction</w:t>
            </w:r>
          </w:p>
        </w:tc>
        <w:tc>
          <w:tcPr>
            <w:tcW w:w="1345" w:type="dxa"/>
          </w:tcPr>
          <w:p w14:paraId="5CFC1DD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5466" w:type="dxa"/>
          </w:tcPr>
          <w:p w14:paraId="671E5E2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Jurisdiction analyzed.</w:t>
            </w:r>
          </w:p>
        </w:tc>
      </w:tr>
      <w:tr w14:paraId="5E82BF6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  <w:shd w:val="clear" w:color="auto" w:fill="F4F7FC"/>
          </w:tcPr>
          <w:p w14:paraId="357F91B1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overall_risk_score</w:t>
            </w:r>
          </w:p>
        </w:tc>
        <w:tc>
          <w:tcPr>
            <w:tcW w:w="1345" w:type="dxa"/>
            <w:shd w:val="clear" w:color="auto" w:fill="F4F7FC"/>
          </w:tcPr>
          <w:p w14:paraId="445953E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number</w:t>
            </w:r>
          </w:p>
        </w:tc>
        <w:tc>
          <w:tcPr>
            <w:tcW w:w="5466" w:type="dxa"/>
            <w:shd w:val="clear" w:color="auto" w:fill="F4F7FC"/>
          </w:tcPr>
          <w:p w14:paraId="6C1E644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0–10, computed deterministically.</w:t>
            </w:r>
          </w:p>
        </w:tc>
      </w:tr>
      <w:tr w14:paraId="1FE148C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</w:tcPr>
          <w:p w14:paraId="11BAFB2E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risk_label</w:t>
            </w:r>
          </w:p>
        </w:tc>
        <w:tc>
          <w:tcPr>
            <w:tcW w:w="1345" w:type="dxa"/>
          </w:tcPr>
          <w:p w14:paraId="73C495B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5466" w:type="dxa"/>
          </w:tcPr>
          <w:p w14:paraId="6881075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Tier label (e.g., Low / Moderate / High / Critical).</w:t>
            </w:r>
          </w:p>
        </w:tc>
      </w:tr>
      <w:tr w14:paraId="7805DE4B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  <w:shd w:val="clear" w:color="auto" w:fill="F4F7FC"/>
          </w:tcPr>
          <w:p w14:paraId="1D780058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executive_summary</w:t>
            </w:r>
          </w:p>
        </w:tc>
        <w:tc>
          <w:tcPr>
            <w:tcW w:w="1345" w:type="dxa"/>
            <w:shd w:val="clear" w:color="auto" w:fill="F4F7FC"/>
          </w:tcPr>
          <w:p w14:paraId="35A5DC3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5466" w:type="dxa"/>
            <w:shd w:val="clear" w:color="auto" w:fill="F4F7FC"/>
          </w:tcPr>
          <w:p w14:paraId="473FC34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Plain-English overview.</w:t>
            </w:r>
          </w:p>
        </w:tc>
      </w:tr>
      <w:tr w14:paraId="15B1564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</w:tcPr>
          <w:p w14:paraId="1786A4BC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detected_risks</w:t>
            </w:r>
          </w:p>
        </w:tc>
        <w:tc>
          <w:tcPr>
            <w:tcW w:w="1345" w:type="dxa"/>
          </w:tcPr>
          <w:p w14:paraId="3E989565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RiskItem[]</w:t>
            </w:r>
          </w:p>
        </w:tc>
        <w:tc>
          <w:tcPr>
            <w:tcW w:w="5466" w:type="dxa"/>
          </w:tcPr>
          <w:p w14:paraId="3C76329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List of findings.</w:t>
            </w:r>
          </w:p>
        </w:tc>
      </w:tr>
      <w:tr w14:paraId="2A0B004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217" w:type="dxa"/>
            <w:shd w:val="clear" w:color="auto" w:fill="F4F7FC"/>
          </w:tcPr>
          <w:p w14:paraId="3BE81862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processing_time_ms</w:t>
            </w:r>
          </w:p>
        </w:tc>
        <w:tc>
          <w:tcPr>
            <w:tcW w:w="1345" w:type="dxa"/>
            <w:shd w:val="clear" w:color="auto" w:fill="F4F7FC"/>
          </w:tcPr>
          <w:p w14:paraId="5AA63F1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w="5466" w:type="dxa"/>
            <w:shd w:val="clear" w:color="auto" w:fill="F4F7FC"/>
          </w:tcPr>
          <w:p w14:paraId="3693B4C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Server processing time.</w:t>
            </w:r>
          </w:p>
        </w:tc>
      </w:tr>
    </w:tbl>
    <w:p w14:paraId="6565E747">
      <w:pPr>
        <w:pStyle w:val="3"/>
        <w:spacing w:before="160"/>
      </w:pPr>
      <w:r>
        <w:rPr>
          <w:rStyle w:val="36"/>
          <w:b/>
          <w:bCs/>
        </w:rPr>
        <w:t>RiskItem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86"/>
        <w:gridCol w:w="1358"/>
        <w:gridCol w:w="4984"/>
      </w:tblGrid>
      <w:tr w14:paraId="4F6D493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686" w:type="dxa"/>
            <w:shd w:val="clear" w:color="auto" w:fill="1E3A5F"/>
          </w:tcPr>
          <w:p w14:paraId="292797F0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358" w:type="dxa"/>
            <w:shd w:val="clear" w:color="auto" w:fill="1E3A5F"/>
          </w:tcPr>
          <w:p w14:paraId="3394234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984" w:type="dxa"/>
            <w:shd w:val="clear" w:color="auto" w:fill="1E3A5F"/>
          </w:tcPr>
          <w:p w14:paraId="17CD0709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14:paraId="1CF16A9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7383EFA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risk_id</w:t>
            </w:r>
          </w:p>
        </w:tc>
        <w:tc>
          <w:tcPr>
            <w:tcW w:w="1358" w:type="dxa"/>
          </w:tcPr>
          <w:p w14:paraId="3CE1165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5A787A0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Unique finding ID.</w:t>
            </w:r>
          </w:p>
        </w:tc>
      </w:tr>
      <w:tr w14:paraId="0749C01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1C8495BA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title</w:t>
            </w:r>
          </w:p>
        </w:tc>
        <w:tc>
          <w:tcPr>
            <w:tcW w:w="1358" w:type="dxa"/>
            <w:shd w:val="clear" w:color="auto" w:fill="F4F7FC"/>
          </w:tcPr>
          <w:p w14:paraId="3EB8C9F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6FE0BF9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Plain-English title.</w:t>
            </w:r>
          </w:p>
        </w:tc>
      </w:tr>
      <w:tr w14:paraId="571EEA8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0D475DF2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legal_term</w:t>
            </w:r>
          </w:p>
        </w:tc>
        <w:tc>
          <w:tcPr>
            <w:tcW w:w="1358" w:type="dxa"/>
          </w:tcPr>
          <w:p w14:paraId="7694BA8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4B59FD9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Technical legal name.</w:t>
            </w:r>
          </w:p>
        </w:tc>
      </w:tr>
      <w:tr w14:paraId="61F21FF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45D9ECF4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category</w:t>
            </w:r>
          </w:p>
        </w:tc>
        <w:tc>
          <w:tcPr>
            <w:tcW w:w="1358" w:type="dxa"/>
            <w:shd w:val="clear" w:color="auto" w:fill="F4F7FC"/>
          </w:tcPr>
          <w:p w14:paraId="12F050B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6817651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e.g., Liability, Data Protection, Payment, Dispute Resolution.</w:t>
            </w:r>
          </w:p>
        </w:tc>
      </w:tr>
      <w:tr w14:paraId="1DBDEB27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65C2A3A3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clause_location</w:t>
            </w:r>
          </w:p>
        </w:tc>
        <w:tc>
          <w:tcPr>
            <w:tcW w:w="1358" w:type="dxa"/>
          </w:tcPr>
          <w:p w14:paraId="00112AC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5AE1B96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e.g., "Section 3.1".</w:t>
            </w:r>
          </w:p>
        </w:tc>
      </w:tr>
      <w:tr w14:paraId="2ABC76B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735F1E5B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score</w:t>
            </w:r>
          </w:p>
        </w:tc>
        <w:tc>
          <w:tcPr>
            <w:tcW w:w="1358" w:type="dxa"/>
            <w:shd w:val="clear" w:color="auto" w:fill="F4F7FC"/>
          </w:tcPr>
          <w:p w14:paraId="6D3A4CF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number (0–10)</w:t>
            </w:r>
          </w:p>
        </w:tc>
        <w:tc>
          <w:tcPr>
            <w:tcW w:w="4984" w:type="dxa"/>
            <w:shd w:val="clear" w:color="auto" w:fill="F4F7FC"/>
          </w:tcPr>
          <w:p w14:paraId="4D1DC39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Severity score used in the formula.</w:t>
            </w:r>
          </w:p>
        </w:tc>
      </w:tr>
      <w:tr w14:paraId="5368501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1AD3ECD4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severity</w:t>
            </w:r>
          </w:p>
        </w:tc>
        <w:tc>
          <w:tcPr>
            <w:tcW w:w="1358" w:type="dxa"/>
          </w:tcPr>
          <w:p w14:paraId="56C0A87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101B1DC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Severity tier.</w:t>
            </w:r>
          </w:p>
        </w:tc>
      </w:tr>
      <w:tr w14:paraId="257CC1A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0E8FA72C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what_this_means</w:t>
            </w:r>
          </w:p>
        </w:tc>
        <w:tc>
          <w:tcPr>
            <w:tcW w:w="1358" w:type="dxa"/>
            <w:shd w:val="clear" w:color="auto" w:fill="F4F7FC"/>
          </w:tcPr>
          <w:p w14:paraId="5BA3346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7740BCD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Simple explanation.</w:t>
            </w:r>
          </w:p>
        </w:tc>
      </w:tr>
      <w:tr w14:paraId="272AA5D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31503630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what_could_happen</w:t>
            </w:r>
          </w:p>
        </w:tc>
        <w:tc>
          <w:tcPr>
            <w:tcW w:w="1358" w:type="dxa"/>
          </w:tcPr>
          <w:p w14:paraId="3BF5040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1ABD5DD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Practical consequences.</w:t>
            </w:r>
          </w:p>
        </w:tc>
      </w:tr>
      <w:tr w14:paraId="181B342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032F6A88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recommended_action</w:t>
            </w:r>
          </w:p>
        </w:tc>
        <w:tc>
          <w:tcPr>
            <w:tcW w:w="1358" w:type="dxa"/>
            <w:shd w:val="clear" w:color="auto" w:fill="F4F7FC"/>
          </w:tcPr>
          <w:p w14:paraId="02AFC65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46F0B52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Suggested next step.</w:t>
            </w:r>
          </w:p>
        </w:tc>
      </w:tr>
      <w:tr w14:paraId="565B8664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68142D4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exact_quote</w:t>
            </w:r>
          </w:p>
        </w:tc>
        <w:tc>
          <w:tcPr>
            <w:tcW w:w="1358" w:type="dxa"/>
          </w:tcPr>
          <w:p w14:paraId="0777B90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07279F7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Verbatim contract text.</w:t>
            </w:r>
          </w:p>
        </w:tc>
      </w:tr>
      <w:tr w14:paraId="091D86D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78CE755F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suggested_revision_balanced</w:t>
            </w:r>
          </w:p>
        </w:tc>
        <w:tc>
          <w:tcPr>
            <w:tcW w:w="1358" w:type="dxa"/>
            <w:shd w:val="clear" w:color="auto" w:fill="F4F7FC"/>
          </w:tcPr>
          <w:p w14:paraId="1167DDA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623F04A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Balanced replacement wording.</w:t>
            </w:r>
          </w:p>
        </w:tc>
      </w:tr>
      <w:tr w14:paraId="3E8537F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59323BE1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suggested_revision_pro_client</w:t>
            </w:r>
          </w:p>
        </w:tc>
        <w:tc>
          <w:tcPr>
            <w:tcW w:w="1358" w:type="dxa"/>
          </w:tcPr>
          <w:p w14:paraId="4280102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</w:tcPr>
          <w:p w14:paraId="5F41C74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Client-favourable replacement wording.</w:t>
            </w:r>
          </w:p>
        </w:tc>
      </w:tr>
      <w:tr w14:paraId="4A5914E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30379ED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statute_name</w:t>
            </w:r>
          </w:p>
        </w:tc>
        <w:tc>
          <w:tcPr>
            <w:tcW w:w="1358" w:type="dxa"/>
            <w:shd w:val="clear" w:color="auto" w:fill="F4F7FC"/>
          </w:tcPr>
          <w:p w14:paraId="30B0C0B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</w:t>
            </w:r>
          </w:p>
        </w:tc>
        <w:tc>
          <w:tcPr>
            <w:tcW w:w="4984" w:type="dxa"/>
            <w:shd w:val="clear" w:color="auto" w:fill="F4F7FC"/>
          </w:tcPr>
          <w:p w14:paraId="71BB40D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Cited statute/provision.</w:t>
            </w:r>
          </w:p>
        </w:tc>
      </w:tr>
      <w:tr w14:paraId="3300766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</w:tcPr>
          <w:p w14:paraId="07889D30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statute_link</w:t>
            </w:r>
          </w:p>
        </w:tc>
        <w:tc>
          <w:tcPr>
            <w:tcW w:w="1358" w:type="dxa"/>
          </w:tcPr>
          <w:p w14:paraId="6737515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string (URL)</w:t>
            </w:r>
          </w:p>
        </w:tc>
        <w:tc>
          <w:tcPr>
            <w:tcW w:w="4984" w:type="dxa"/>
          </w:tcPr>
          <w:p w14:paraId="184B546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Link to official source.</w:t>
            </w:r>
          </w:p>
        </w:tc>
      </w:tr>
      <w:tr w14:paraId="1523C49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86" w:type="dxa"/>
            <w:shd w:val="clear" w:color="auto" w:fill="F4F7FC"/>
          </w:tcPr>
          <w:p w14:paraId="664A1E12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reviewed</w:t>
            </w:r>
          </w:p>
        </w:tc>
        <w:tc>
          <w:tcPr>
            <w:tcW w:w="1358" w:type="dxa"/>
            <w:shd w:val="clear" w:color="auto" w:fill="F4F7FC"/>
          </w:tcPr>
          <w:p w14:paraId="2B0F0AF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boolean</w:t>
            </w:r>
          </w:p>
        </w:tc>
        <w:tc>
          <w:tcPr>
            <w:tcW w:w="4984" w:type="dxa"/>
            <w:shd w:val="clear" w:color="auto" w:fill="F4F7FC"/>
          </w:tcPr>
          <w:p w14:paraId="46B65E0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UI flag marking the item as reviewed.</w:t>
            </w:r>
          </w:p>
        </w:tc>
      </w:tr>
    </w:tbl>
    <w:p w14:paraId="25450761">
      <w:pPr>
        <w:pStyle w:val="3"/>
        <w:spacing w:before="160"/>
      </w:pPr>
      <w:r>
        <w:rPr>
          <w:b/>
          <w:bCs/>
        </w:rPr>
        <w:t>Example response (abridged)</w:t>
      </w:r>
    </w:p>
    <w:p w14:paraId="1F10E98F">
      <w:pPr>
        <w:pStyle w:val="37"/>
        <w:keepLines/>
        <w:spacing w:before="120" w:after="160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"jurisdiction"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"India"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"overall_risk_score"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8.4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"risk_label"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"High Potential Risk"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"executive_summary"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"This agreement is heavily one-sided. 2 high-risk issues require revision before you sign."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"detected_risks"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56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"risk_id"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"R-001"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"title"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"You could be forced to pay unlimited costs for the vendor's errors"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"legal_term"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"Uncapped Unilateral Indemnification"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"category"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"Liability"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"clause_location"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"Section 3.1"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"score"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9.0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"severity"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"Critical"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"what_this_means"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"You must cover all of the vendor's losses, even if the vendor caused them."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"what_could_happen"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"A single dispute could create a bill far larger than the contract value."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"recommended_action"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"Ask for a mutual, capped indemnity limited to fees paid."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"exact_quote"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"Client shall indemnify Vendor against all claims... regardless of fault."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"suggested_revision_balanced"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"Each party shall indemnify the other for third-party claims arising from its own negligence, capped at fees paid in the prior 12 months."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"suggested_revision_pro_client"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"Vendor shall indemnify Client for claims arising from Vendor's acts or omissions; Client's liability is limited to fees paid."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"statute_name"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"Indian Contract Act, 1872 — Sections 124–125"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"statute_link"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8"/>
        </w:rPr>
        <w:t>"https://www.indiacode.nic.in/"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</w:rPr>
        <w:t>"reviewed"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0"/>
        </w:rPr>
        <w:t>false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</w:rPr>
        <w:t>]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"processing_time_ms"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2"/>
        </w:rPr>
        <w:t>3100</w:t>
      </w:r>
      <w:r>
        <w:br w:type="textWrapping"/>
      </w:r>
      <w:r>
        <w:rPr>
          <w:rStyle w:val="57"/>
        </w:rPr>
        <w:t>}</w:t>
      </w:r>
    </w:p>
    <w:p w14:paraId="19CBCECD">
      <w:pPr>
        <w:pStyle w:val="14"/>
      </w:pPr>
      <w:r>
        <w:t>Values above are illustrative. Replace statute links with the exact deep links stored in your jurisdiction data store.</w:t>
      </w:r>
    </w:p>
    <w:bookmarkEnd w:id="27"/>
    <w:p w14:paraId="1D7D73B3">
      <w:pPr>
        <w:pStyle w:val="4"/>
      </w:pPr>
      <w:bookmarkStart w:id="28" w:name="get-apibenchmark"/>
      <w:r>
        <w:t xml:space="preserve">8.2 </w:t>
      </w:r>
      <w:r>
        <w:rPr>
          <w:rStyle w:val="36"/>
        </w:rPr>
        <w:t>GET /api/benchmark</w:t>
      </w:r>
    </w:p>
    <w:p w14:paraId="26953CBD">
      <w:pPr>
        <w:pStyle w:val="23"/>
      </w:pPr>
      <w:r>
        <w:t>Returns empirical evaluation metrics.</w:t>
      </w:r>
    </w:p>
    <w:p w14:paraId="32D90762">
      <w:pPr>
        <w:pStyle w:val="37"/>
        <w:keepLines/>
        <w:spacing w:before="120" w:after="160"/>
      </w:pPr>
      <w:r>
        <w:rPr>
          <w:rStyle w:val="57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"risk_recall"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0.942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"citation_accuracy"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0.985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"clause_extraction_iou"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0.91</w:t>
      </w:r>
      <w:r>
        <w:rPr>
          <w:rStyle w:val="57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</w:rPr>
        <w:t>"avg_inference_seconds"</w:t>
      </w:r>
      <w:r>
        <w:rPr>
          <w:rStyle w:val="57"/>
        </w:rPr>
        <w:t>:</w:t>
      </w:r>
      <w:r>
        <w:rPr>
          <w:rStyle w:val="70"/>
        </w:rPr>
        <w:t xml:space="preserve"> </w:t>
      </w:r>
      <w:r>
        <w:rPr>
          <w:rStyle w:val="44"/>
        </w:rPr>
        <w:t>3.1</w:t>
      </w:r>
      <w:r>
        <w:br w:type="textWrapping"/>
      </w:r>
      <w:r>
        <w:rPr>
          <w:rStyle w:val="57"/>
        </w:rPr>
        <w:t>}</w:t>
      </w:r>
    </w:p>
    <w:bookmarkEnd w:id="28"/>
    <w:p w14:paraId="1CEC63B5">
      <w:pPr>
        <w:pStyle w:val="4"/>
      </w:pPr>
      <w:bookmarkStart w:id="29" w:name="get-apiexport_report"/>
      <w:r>
        <w:t xml:space="preserve">8.3 </w:t>
      </w:r>
      <w:r>
        <w:rPr>
          <w:rStyle w:val="36"/>
        </w:rPr>
        <w:t>GET /api/export_report</w:t>
      </w:r>
    </w:p>
    <w:p w14:paraId="17562817">
      <w:pPr>
        <w:pStyle w:val="23"/>
      </w:pPr>
      <w:r>
        <w:t>Returns a downloadable plain-text executive review report (</w:t>
      </w:r>
      <w:r>
        <w:rPr>
          <w:rStyle w:val="36"/>
        </w:rPr>
        <w:t>Content-Disposition: attachment</w:t>
      </w:r>
      <w:r>
        <w:t>).</w:t>
      </w:r>
    </w:p>
    <w:bookmarkEnd w:id="29"/>
    <w:p w14:paraId="677A43B2">
      <w:pPr>
        <w:pStyle w:val="4"/>
      </w:pPr>
      <w:bookmarkStart w:id="30" w:name="get"/>
      <w:r>
        <w:t xml:space="preserve">8.4 </w:t>
      </w:r>
      <w:r>
        <w:rPr>
          <w:rStyle w:val="36"/>
        </w:rPr>
        <w:t>GET /</w:t>
      </w:r>
    </w:p>
    <w:p w14:paraId="344ED94F">
      <w:pPr>
        <w:pStyle w:val="23"/>
      </w:pPr>
      <w:r>
        <w:t xml:space="preserve">Serves the single-page frontend from </w:t>
      </w:r>
      <w:r>
        <w:rPr>
          <w:rStyle w:val="36"/>
        </w:rPr>
        <w:t>static/</w:t>
      </w:r>
      <w:r>
        <w:t>.</w:t>
      </w:r>
    </w:p>
    <w:bookmarkEnd w:id="30"/>
    <w:p w14:paraId="37299F13">
      <w:pPr>
        <w:pStyle w:val="4"/>
      </w:pPr>
      <w:bookmarkStart w:id="31" w:name="error-handling"/>
      <w:r>
        <w:t>8.5 Error handling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7528"/>
      </w:tblGrid>
      <w:tr w14:paraId="1318963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E3A5F"/>
          </w:tcPr>
          <w:p w14:paraId="6CC5B8B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7528" w:type="dxa"/>
            <w:shd w:val="clear" w:color="auto" w:fill="1E3A5F"/>
          </w:tcPr>
          <w:p w14:paraId="469F369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Cause</w:t>
            </w:r>
          </w:p>
        </w:tc>
      </w:tr>
      <w:tr w14:paraId="1964E3C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6B0BD36A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422</w:t>
            </w:r>
          </w:p>
        </w:tc>
        <w:tc>
          <w:tcPr>
            <w:tcW w:w="7528" w:type="dxa"/>
          </w:tcPr>
          <w:p w14:paraId="348771E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Request body fails Pydantic validation (missing/invalid fields).</w:t>
            </w:r>
          </w:p>
        </w:tc>
      </w:tr>
      <w:tr w14:paraId="797642B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  <w:shd w:val="clear" w:color="auto" w:fill="F4F7FC"/>
          </w:tcPr>
          <w:p w14:paraId="5F54D02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500</w:t>
            </w:r>
          </w:p>
        </w:tc>
        <w:tc>
          <w:tcPr>
            <w:tcW w:w="7528" w:type="dxa"/>
            <w:shd w:val="clear" w:color="auto" w:fill="F4F7FC"/>
          </w:tcPr>
          <w:p w14:paraId="46126FD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Upstream AI error or response failing schema validation.</w:t>
            </w:r>
          </w:p>
        </w:tc>
      </w:tr>
      <w:bookmarkEnd w:id="26"/>
      <w:bookmarkEnd w:id="31"/>
    </w:tbl>
    <w:p w14:paraId="48DCAC89">
      <w:pPr>
        <w:pStyle w:val="2"/>
      </w:pPr>
      <w:bookmarkStart w:id="32" w:name="ai-integration-prompt-engineering"/>
      <w:r>
        <w:t>9. AI Integration &amp; Prompt Engineering</w:t>
      </w:r>
    </w:p>
    <w:p w14:paraId="7E58B107">
      <w:pPr>
        <w:pStyle w:val="4"/>
      </w:pPr>
      <w:bookmarkStart w:id="33" w:name="how-gemini-is-used"/>
      <w:r>
        <w:t>9.1 How Gemini is used</w:t>
      </w:r>
    </w:p>
    <w:p w14:paraId="58134E49">
      <w:pPr>
        <w:pStyle w:val="23"/>
      </w:pPr>
      <w:r>
        <w:t xml:space="preserve">Gemini 2.5 (through the </w:t>
      </w:r>
      <w:r>
        <w:rPr>
          <w:rStyle w:val="36"/>
        </w:rPr>
        <w:t>google-genai</w:t>
      </w:r>
      <w:r>
        <w:t xml:space="preserve"> SDK) performs </w:t>
      </w:r>
      <w:r>
        <w:rPr>
          <w:b/>
          <w:bCs/>
        </w:rPr>
        <w:t>clause understanding</w:t>
      </w:r>
      <w:r>
        <w:t xml:space="preserve">: identifying risky provisions, quoting them verbatim, and generating plain-English explanations and revision wording. It does </w:t>
      </w:r>
      <w:r>
        <w:rPr>
          <w:b/>
          <w:bCs/>
        </w:rPr>
        <w:t>not</w:t>
      </w:r>
      <w:r>
        <w:t xml:space="preserve"> decide the overall score.</w:t>
      </w:r>
    </w:p>
    <w:bookmarkEnd w:id="33"/>
    <w:p w14:paraId="473208DF">
      <w:pPr>
        <w:pStyle w:val="4"/>
      </w:pPr>
      <w:bookmarkStart w:id="34" w:name="structured-output-strategy"/>
      <w:r>
        <w:t>9.2 Structured-output strategy</w:t>
      </w:r>
    </w:p>
    <w:p w14:paraId="7B56DFA7">
      <w:pPr>
        <w:pStyle w:val="24"/>
        <w:numPr>
          <w:ilvl w:val="0"/>
          <w:numId w:val="4"/>
        </w:numPr>
      </w:pPr>
      <w:r>
        <w:rPr>
          <w:b/>
          <w:bCs/>
        </w:rPr>
        <w:t>Schema-constrained generation.</w:t>
      </w:r>
      <w:r>
        <w:t xml:space="preserve"> The Pydantic models (</w:t>
      </w:r>
      <w:r>
        <w:rPr>
          <w:rStyle w:val="36"/>
        </w:rPr>
        <w:t>RiskItem</w:t>
      </w:r>
      <w:r>
        <w:t xml:space="preserve">, </w:t>
      </w:r>
      <w:r>
        <w:rPr>
          <w:rStyle w:val="36"/>
        </w:rPr>
        <w:t>ContractAnalysisResponse</w:t>
      </w:r>
      <w:r>
        <w:t>) are passed as the response schema so the model returns JSON in a fixed shape.</w:t>
      </w:r>
    </w:p>
    <w:p w14:paraId="07701DE6">
      <w:pPr>
        <w:pStyle w:val="24"/>
        <w:numPr>
          <w:ilvl w:val="0"/>
          <w:numId w:val="4"/>
        </w:numPr>
      </w:pPr>
      <w:r>
        <w:rPr>
          <w:b/>
          <w:bCs/>
        </w:rPr>
        <w:t>Validation gate.</w:t>
      </w:r>
      <w:r>
        <w:t xml:space="preserve"> Output is parsed by Pydantic v2; invalid output is rejected rather than rendered.</w:t>
      </w:r>
    </w:p>
    <w:p w14:paraId="2A77C4FB">
      <w:pPr>
        <w:pStyle w:val="24"/>
        <w:numPr>
          <w:ilvl w:val="0"/>
          <w:numId w:val="4"/>
        </w:numPr>
      </w:pPr>
      <w:r>
        <w:rPr>
          <w:b/>
          <w:bCs/>
        </w:rPr>
        <w:t>Separation of concerns.</w:t>
      </w:r>
      <w:r>
        <w:t xml:space="preserve"> The model proposes per-finding severity; Python computes the overall score.</w:t>
      </w:r>
    </w:p>
    <w:bookmarkEnd w:id="34"/>
    <w:p w14:paraId="44AAC488">
      <w:pPr>
        <w:pStyle w:val="4"/>
      </w:pPr>
      <w:bookmarkStart w:id="35" w:name="prompt-design-principles"/>
      <w:r>
        <w:t>9.3 Prompt design principles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47"/>
        <w:gridCol w:w="6481"/>
      </w:tblGrid>
      <w:tr w14:paraId="3DEDD24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547" w:type="dxa"/>
            <w:shd w:val="clear" w:color="auto" w:fill="1E3A5F"/>
          </w:tcPr>
          <w:p w14:paraId="016D4688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w="6481" w:type="dxa"/>
            <w:shd w:val="clear" w:color="auto" w:fill="1E3A5F"/>
          </w:tcPr>
          <w:p w14:paraId="253CB81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 w14:paraId="2F7DC18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</w:tcPr>
          <w:p w14:paraId="00BC2E7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Role &amp; audience</w:t>
            </w:r>
          </w:p>
        </w:tc>
        <w:tc>
          <w:tcPr>
            <w:tcW w:w="6481" w:type="dxa"/>
          </w:tcPr>
          <w:p w14:paraId="6D399C1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Instruct the model to act as a contract reviewer writing for a non-lawyer.</w:t>
            </w:r>
          </w:p>
        </w:tc>
      </w:tr>
      <w:tr w14:paraId="6D06389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  <w:shd w:val="clear" w:color="auto" w:fill="F4F7FC"/>
          </w:tcPr>
          <w:p w14:paraId="247CDA6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Jurisdiction scoping</w:t>
            </w:r>
          </w:p>
        </w:tc>
        <w:tc>
          <w:tcPr>
            <w:tcW w:w="6481" w:type="dxa"/>
            <w:shd w:val="clear" w:color="auto" w:fill="F4F7FC"/>
          </w:tcPr>
          <w:p w14:paraId="1CF8573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Inject only the selected jurisdiction's statutes and focus areas into the prompt.</w:t>
            </w:r>
          </w:p>
        </w:tc>
      </w:tr>
      <w:tr w14:paraId="10382B9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</w:tcPr>
          <w:p w14:paraId="2CD349F5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Evidence rule</w:t>
            </w:r>
          </w:p>
        </w:tc>
        <w:tc>
          <w:tcPr>
            <w:tcW w:w="6481" w:type="dxa"/>
          </w:tcPr>
          <w:p w14:paraId="53F7617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Every risk </w:t>
            </w:r>
            <w:r>
              <w:rPr>
                <w:i/>
                <w:iCs/>
                <w:sz w:val="19"/>
              </w:rPr>
              <w:t>must</w:t>
            </w:r>
            <w:r>
              <w:rPr>
                <w:sz w:val="19"/>
              </w:rPr>
              <w:t xml:space="preserve"> include a verbatim </w:t>
            </w:r>
            <w:r>
              <w:rPr>
                <w:rStyle w:val="36"/>
                <w:sz w:val="19"/>
              </w:rPr>
              <w:t>exact_quote</w:t>
            </w:r>
            <w:r>
              <w:rPr>
                <w:sz w:val="19"/>
              </w:rPr>
              <w:t xml:space="preserve"> and </w:t>
            </w:r>
            <w:r>
              <w:rPr>
                <w:rStyle w:val="36"/>
                <w:sz w:val="19"/>
              </w:rPr>
              <w:t>clause_location</w:t>
            </w:r>
            <w:r>
              <w:rPr>
                <w:sz w:val="19"/>
              </w:rPr>
              <w:t>.</w:t>
            </w:r>
          </w:p>
        </w:tc>
      </w:tr>
      <w:tr w14:paraId="359A441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  <w:shd w:val="clear" w:color="auto" w:fill="F4F7FC"/>
          </w:tcPr>
          <w:p w14:paraId="3452231F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Plain-English first</w:t>
            </w:r>
          </w:p>
        </w:tc>
        <w:tc>
          <w:tcPr>
            <w:tcW w:w="6481" w:type="dxa"/>
            <w:shd w:val="clear" w:color="auto" w:fill="F4F7FC"/>
          </w:tcPr>
          <w:p w14:paraId="718B500B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what_this_means</w:t>
            </w:r>
            <w:r>
              <w:rPr>
                <w:sz w:val="19"/>
              </w:rPr>
              <w:t xml:space="preserve">, </w:t>
            </w:r>
            <w:r>
              <w:rPr>
                <w:rStyle w:val="36"/>
                <w:sz w:val="19"/>
              </w:rPr>
              <w:t>what_could_happen</w:t>
            </w:r>
            <w:r>
              <w:rPr>
                <w:sz w:val="19"/>
              </w:rPr>
              <w:t xml:space="preserve"> must avoid jargon; jargon goes in </w:t>
            </w:r>
            <w:r>
              <w:rPr>
                <w:rStyle w:val="36"/>
                <w:sz w:val="19"/>
              </w:rPr>
              <w:t>legal_term</w:t>
            </w:r>
            <w:r>
              <w:rPr>
                <w:sz w:val="19"/>
              </w:rPr>
              <w:t>.</w:t>
            </w:r>
          </w:p>
        </w:tc>
      </w:tr>
      <w:tr w14:paraId="6D8E5D4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</w:tcPr>
          <w:p w14:paraId="71E7DC1C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Citation discipline</w:t>
            </w:r>
          </w:p>
        </w:tc>
        <w:tc>
          <w:tcPr>
            <w:tcW w:w="6481" w:type="dxa"/>
          </w:tcPr>
          <w:p w14:paraId="7C97E5E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Cite only statutes supplied in the prompt/data store; do not invent sections or URLs.</w:t>
            </w:r>
          </w:p>
        </w:tc>
      </w:tr>
      <w:tr w14:paraId="5EC8929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  <w:shd w:val="clear" w:color="auto" w:fill="F4F7FC"/>
          </w:tcPr>
          <w:p w14:paraId="50BFA78C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Two revisions</w:t>
            </w:r>
          </w:p>
        </w:tc>
        <w:tc>
          <w:tcPr>
            <w:tcW w:w="6481" w:type="dxa"/>
            <w:shd w:val="clear" w:color="auto" w:fill="F4F7FC"/>
          </w:tcPr>
          <w:p w14:paraId="192B056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Always produce a Balanced and a Pro-Client rewrite for each risk.</w:t>
            </w:r>
          </w:p>
        </w:tc>
      </w:tr>
      <w:tr w14:paraId="246C3FB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547" w:type="dxa"/>
          </w:tcPr>
          <w:p w14:paraId="6221B5D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No overclaiming</w:t>
            </w:r>
          </w:p>
        </w:tc>
        <w:tc>
          <w:tcPr>
            <w:tcW w:w="6481" w:type="dxa"/>
          </w:tcPr>
          <w:p w14:paraId="0FD8A95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Do not promise enforceability; recommend professional review for high-severity items.</w:t>
            </w:r>
          </w:p>
        </w:tc>
      </w:tr>
      <w:bookmarkEnd w:id="35"/>
    </w:tbl>
    <w:p w14:paraId="41E339EC">
      <w:pPr>
        <w:pStyle w:val="4"/>
      </w:pPr>
      <w:bookmarkStart w:id="36" w:name="skeleton-prompt"/>
      <w:r>
        <w:t>9.4 Skeleton prompt</w:t>
      </w:r>
    </w:p>
    <w:p w14:paraId="4FABA53B">
      <w:pPr>
        <w:pStyle w:val="37"/>
        <w:keepLines/>
        <w:spacing w:before="120" w:after="160"/>
      </w:pPr>
      <w:r>
        <w:rPr>
          <w:rStyle w:val="36"/>
        </w:rPr>
        <w:t>You are a contract-review assistant for NON-LAWYERS under {jurisdiction} law.</w:t>
      </w:r>
      <w:r>
        <w:br w:type="textWrapping"/>
      </w:r>
      <w:r>
        <w:rPr>
          <w:rStyle w:val="36"/>
        </w:rPr>
        <w:t>Reference only these instruments: {jurisdiction_statutes}.</w:t>
      </w:r>
      <w:r>
        <w:br w:type="textWrapping"/>
      </w:r>
      <w:r>
        <w:br w:type="textWrapping"/>
      </w:r>
      <w:r>
        <w:rPr>
          <w:rStyle w:val="36"/>
        </w:rPr>
        <w:t>For each risky clause in the contract below, return a RiskItem with:</w:t>
      </w:r>
      <w:r>
        <w:br w:type="textWrapping"/>
      </w:r>
      <w:r>
        <w:rPr>
          <w:rStyle w:val="36"/>
        </w:rPr>
        <w:t>- exact_quote: copied VERBATIM from the contract</w:t>
      </w:r>
      <w:r>
        <w:br w:type="textWrapping"/>
      </w:r>
      <w:r>
        <w:rPr>
          <w:rStyle w:val="36"/>
        </w:rPr>
        <w:t>- clause_location: the section number</w:t>
      </w:r>
      <w:r>
        <w:br w:type="textWrapping"/>
      </w:r>
      <w:r>
        <w:rPr>
          <w:rStyle w:val="36"/>
        </w:rPr>
        <w:t>- title: one plain-English sentence ("You could be forced to...")</w:t>
      </w:r>
      <w:r>
        <w:br w:type="textWrapping"/>
      </w:r>
      <w:r>
        <w:rPr>
          <w:rStyle w:val="36"/>
        </w:rPr>
        <w:t>- what_this_means / what_could_happen / recommended_action in simple English</w:t>
      </w:r>
      <w:r>
        <w:br w:type="textWrapping"/>
      </w:r>
      <w:r>
        <w:rPr>
          <w:rStyle w:val="36"/>
        </w:rPr>
        <w:t>- legal_term: the technical name</w:t>
      </w:r>
      <w:r>
        <w:br w:type="textWrapping"/>
      </w:r>
      <w:r>
        <w:rPr>
          <w:rStyle w:val="36"/>
        </w:rPr>
        <w:t>- score: 0-10 severity</w:t>
      </w:r>
      <w:r>
        <w:br w:type="textWrapping"/>
      </w:r>
      <w:r>
        <w:rPr>
          <w:rStyle w:val="36"/>
        </w:rPr>
        <w:t>- suggested_revision_balanced and suggested_revision_pro_client</w:t>
      </w:r>
      <w:r>
        <w:br w:type="textWrapping"/>
      </w:r>
      <w:r>
        <w:rPr>
          <w:rStyle w:val="36"/>
        </w:rPr>
        <w:t>- statute_name and statute_link ONLY from the provided list</w:t>
      </w:r>
      <w:r>
        <w:br w:type="textWrapping"/>
      </w:r>
      <w:r>
        <w:br w:type="textWrapping"/>
      </w:r>
      <w:r>
        <w:rPr>
          <w:rStyle w:val="36"/>
        </w:rPr>
        <w:t>Do not invent statutes, sections, or links. Return JSON only.</w:t>
      </w:r>
      <w:r>
        <w:br w:type="textWrapping"/>
      </w:r>
      <w:r>
        <w:br w:type="textWrapping"/>
      </w:r>
      <w:r>
        <w:rPr>
          <w:rStyle w:val="36"/>
        </w:rPr>
        <w:t>CONTRACT:</w:t>
      </w:r>
      <w:r>
        <w:br w:type="textWrapping"/>
      </w:r>
      <w:r>
        <w:rPr>
          <w:rStyle w:val="36"/>
        </w:rPr>
        <w:t>{contract_text}</w:t>
      </w:r>
    </w:p>
    <w:bookmarkEnd w:id="32"/>
    <w:bookmarkEnd w:id="36"/>
    <w:p w14:paraId="546C3385">
      <w:pPr>
        <w:pStyle w:val="2"/>
      </w:pPr>
      <w:bookmarkStart w:id="37" w:name="risk-scoring-methodology"/>
      <w:r>
        <w:t>10. Risk Scoring Methodology</w:t>
      </w:r>
    </w:p>
    <w:p w14:paraId="2FB84D0E">
      <w:pPr>
        <w:pStyle w:val="4"/>
      </w:pPr>
      <w:bookmarkStart w:id="38" w:name="formula"/>
      <w:r>
        <w:t>10.1 Formula</w:t>
      </w:r>
    </w:p>
    <w:p w14:paraId="058A2A3A">
      <w:pPr>
        <w:pStyle w:val="37"/>
        <w:keepLines/>
        <w:spacing w:before="120" w:after="160"/>
      </w:pPr>
      <w:r>
        <w:rPr>
          <w:rStyle w:val="36"/>
        </w:rPr>
        <w:t>R = min(10, Σ wᵢ × Sᵢ)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16"/>
        <w:gridCol w:w="7412"/>
      </w:tblGrid>
      <w:tr w14:paraId="3B16C6B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616" w:type="dxa"/>
            <w:shd w:val="clear" w:color="auto" w:fill="1E3A5F"/>
          </w:tcPr>
          <w:p w14:paraId="3938A924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w="7412" w:type="dxa"/>
            <w:shd w:val="clear" w:color="auto" w:fill="1E3A5F"/>
          </w:tcPr>
          <w:p w14:paraId="29FCE75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14:paraId="318E4BCB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16" w:type="dxa"/>
          </w:tcPr>
          <w:p w14:paraId="54BD5FD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R</w:t>
            </w:r>
          </w:p>
        </w:tc>
        <w:tc>
          <w:tcPr>
            <w:tcW w:w="7412" w:type="dxa"/>
          </w:tcPr>
          <w:p w14:paraId="25AC766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Overall contract risk score (0–10)</w:t>
            </w:r>
          </w:p>
        </w:tc>
      </w:tr>
      <w:tr w14:paraId="56BA816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16" w:type="dxa"/>
            <w:shd w:val="clear" w:color="auto" w:fill="F4F7FC"/>
          </w:tcPr>
          <w:p w14:paraId="0C041C89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Sᵢ</w:t>
            </w:r>
          </w:p>
        </w:tc>
        <w:tc>
          <w:tcPr>
            <w:tcW w:w="7412" w:type="dxa"/>
            <w:shd w:val="clear" w:color="auto" w:fill="F4F7FC"/>
          </w:tcPr>
          <w:p w14:paraId="73BC895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Severity score (0–10) of finding </w:t>
            </w:r>
            <w:r>
              <w:rPr>
                <w:i/>
                <w:iCs/>
                <w:sz w:val="19"/>
              </w:rPr>
              <w:t>i</w:t>
            </w:r>
          </w:p>
        </w:tc>
      </w:tr>
      <w:tr w14:paraId="0BE2AD5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16" w:type="dxa"/>
          </w:tcPr>
          <w:p w14:paraId="758D149E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wᵢ</w:t>
            </w:r>
          </w:p>
        </w:tc>
        <w:tc>
          <w:tcPr>
            <w:tcW w:w="7412" w:type="dxa"/>
          </w:tcPr>
          <w:p w14:paraId="290F482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Weight of finding </w:t>
            </w:r>
            <w:r>
              <w:rPr>
                <w:i/>
                <w:iCs/>
                <w:sz w:val="19"/>
              </w:rPr>
              <w:t>i</w:t>
            </w:r>
            <w:r>
              <w:rPr>
                <w:sz w:val="19"/>
              </w:rPr>
              <w:t xml:space="preserve"> (reflecting category importance and contribution to total exposure)</w:t>
            </w:r>
          </w:p>
        </w:tc>
      </w:tr>
      <w:tr w14:paraId="4D935B3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616" w:type="dxa"/>
            <w:shd w:val="clear" w:color="auto" w:fill="F4F7FC"/>
          </w:tcPr>
          <w:p w14:paraId="3F5E75A3">
            <w:pPr>
              <w:pStyle w:val="24"/>
              <w:spacing w:before="20" w:after="20"/>
              <w:jc w:val="left"/>
            </w:pPr>
            <w:r>
              <w:rPr>
                <w:rStyle w:val="36"/>
                <w:sz w:val="19"/>
              </w:rPr>
              <w:t>min(10, ·)</w:t>
            </w:r>
          </w:p>
        </w:tc>
        <w:tc>
          <w:tcPr>
            <w:tcW w:w="7412" w:type="dxa"/>
            <w:shd w:val="clear" w:color="auto" w:fill="F4F7FC"/>
          </w:tcPr>
          <w:p w14:paraId="198859D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Caps the total so the scale stays 0–10</w:t>
            </w:r>
          </w:p>
        </w:tc>
      </w:tr>
      <w:bookmarkEnd w:id="38"/>
    </w:tbl>
    <w:p w14:paraId="32DE6F0A">
      <w:pPr>
        <w:pStyle w:val="4"/>
      </w:pPr>
      <w:bookmarkStart w:id="39" w:name="why-deterministic"/>
      <w:r>
        <w:t>10.2 Why deterministic?</w:t>
      </w:r>
    </w:p>
    <w:p w14:paraId="552513D2">
      <w:pPr>
        <w:pStyle w:val="24"/>
        <w:numPr>
          <w:ilvl w:val="0"/>
          <w:numId w:val="1"/>
        </w:numPr>
      </w:pPr>
      <w:r>
        <w:rPr>
          <w:b/>
          <w:bCs/>
        </w:rPr>
        <w:t>Reproducible:</w:t>
      </w:r>
      <w:r>
        <w:t xml:space="preserve"> the same findings always yield the same score.</w:t>
      </w:r>
    </w:p>
    <w:p w14:paraId="0B43D5E7">
      <w:pPr>
        <w:pStyle w:val="24"/>
        <w:numPr>
          <w:ilvl w:val="0"/>
          <w:numId w:val="1"/>
        </w:numPr>
      </w:pPr>
      <w:r>
        <w:rPr>
          <w:b/>
          <w:bCs/>
        </w:rPr>
        <w:t>Explainable:</w:t>
      </w:r>
      <w:r>
        <w:t xml:space="preserve"> a user can see which findings drive the number.</w:t>
      </w:r>
    </w:p>
    <w:p w14:paraId="75B89A57">
      <w:pPr>
        <w:pStyle w:val="24"/>
        <w:numPr>
          <w:ilvl w:val="0"/>
          <w:numId w:val="1"/>
        </w:numPr>
      </w:pPr>
      <w:r>
        <w:rPr>
          <w:b/>
          <w:bCs/>
        </w:rPr>
        <w:t>Auditable:</w:t>
      </w:r>
      <w:r>
        <w:t xml:space="preserve"> weights are code, not model behaviour.</w:t>
      </w:r>
    </w:p>
    <w:bookmarkEnd w:id="39"/>
    <w:p w14:paraId="791C7B94">
      <w:pPr>
        <w:pStyle w:val="4"/>
      </w:pPr>
      <w:bookmarkStart w:id="40" w:name="X4687819be50c18a4e5a8a7efc76fd900530efd3"/>
      <w:r>
        <w:t xml:space="preserve">10.3 Severity tiers </w:t>
      </w:r>
      <w:r>
        <w:rPr>
          <w:i/>
          <w:iCs/>
        </w:rPr>
        <w:t xml:space="preserve">(illustrative thresholds — align with </w:t>
      </w:r>
      <w:r>
        <w:rPr>
          <w:rStyle w:val="36"/>
          <w:i/>
          <w:iCs/>
        </w:rPr>
        <w:t>app.py</w:t>
      </w:r>
      <w:r>
        <w:rPr>
          <w:i/>
          <w:iCs/>
        </w:rPr>
        <w:t>)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55"/>
        <w:gridCol w:w="1355"/>
        <w:gridCol w:w="6318"/>
      </w:tblGrid>
      <w:tr w14:paraId="52891E0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355" w:type="dxa"/>
            <w:shd w:val="clear" w:color="auto" w:fill="1E3A5F"/>
          </w:tcPr>
          <w:p w14:paraId="68931977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w="1355" w:type="dxa"/>
            <w:shd w:val="clear" w:color="auto" w:fill="1E3A5F"/>
          </w:tcPr>
          <w:p w14:paraId="720285DD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w="6318" w:type="dxa"/>
            <w:shd w:val="clear" w:color="auto" w:fill="1E3A5F"/>
          </w:tcPr>
          <w:p w14:paraId="46C3AB0A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14:paraId="43BC457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355" w:type="dxa"/>
          </w:tcPr>
          <w:p w14:paraId="09BAD8B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0.0 – 3.9</w:t>
            </w:r>
          </w:p>
        </w:tc>
        <w:tc>
          <w:tcPr>
            <w:tcW w:w="1355" w:type="dxa"/>
          </w:tcPr>
          <w:p w14:paraId="494368E6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Low</w:t>
            </w:r>
          </w:p>
        </w:tc>
        <w:tc>
          <w:tcPr>
            <w:tcW w:w="6318" w:type="dxa"/>
          </w:tcPr>
          <w:p w14:paraId="2790D15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Standard terms; minor wording improvements.</w:t>
            </w:r>
          </w:p>
        </w:tc>
      </w:tr>
      <w:tr w14:paraId="233D50F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355" w:type="dxa"/>
            <w:shd w:val="clear" w:color="auto" w:fill="F4F7FC"/>
          </w:tcPr>
          <w:p w14:paraId="3C3D437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4.0 – 6.9</w:t>
            </w:r>
          </w:p>
        </w:tc>
        <w:tc>
          <w:tcPr>
            <w:tcW w:w="1355" w:type="dxa"/>
            <w:shd w:val="clear" w:color="auto" w:fill="F4F7FC"/>
          </w:tcPr>
          <w:p w14:paraId="651BAF86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Moderate</w:t>
            </w:r>
          </w:p>
        </w:tc>
        <w:tc>
          <w:tcPr>
            <w:tcW w:w="6318" w:type="dxa"/>
            <w:shd w:val="clear" w:color="auto" w:fill="F4F7FC"/>
          </w:tcPr>
          <w:p w14:paraId="22F746D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Worth negotiating; limited downside.</w:t>
            </w:r>
          </w:p>
        </w:tc>
      </w:tr>
      <w:tr w14:paraId="52C7270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355" w:type="dxa"/>
          </w:tcPr>
          <w:p w14:paraId="3EF43C8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7.0 – 8.9</w:t>
            </w:r>
          </w:p>
        </w:tc>
        <w:tc>
          <w:tcPr>
            <w:tcW w:w="1355" w:type="dxa"/>
          </w:tcPr>
          <w:p w14:paraId="48C06D6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High</w:t>
            </w:r>
          </w:p>
        </w:tc>
        <w:tc>
          <w:tcPr>
            <w:tcW w:w="6318" w:type="dxa"/>
          </w:tcPr>
          <w:p w14:paraId="03C58F7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Revise before signing.</w:t>
            </w:r>
          </w:p>
        </w:tc>
      </w:tr>
      <w:tr w14:paraId="1B9D690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355" w:type="dxa"/>
            <w:shd w:val="clear" w:color="auto" w:fill="F4F7FC"/>
          </w:tcPr>
          <w:p w14:paraId="66D0F44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9.0 – 10</w:t>
            </w:r>
          </w:p>
        </w:tc>
        <w:tc>
          <w:tcPr>
            <w:tcW w:w="1355" w:type="dxa"/>
            <w:shd w:val="clear" w:color="auto" w:fill="F4F7FC"/>
          </w:tcPr>
          <w:p w14:paraId="66E7E188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Critical</w:t>
            </w:r>
          </w:p>
        </w:tc>
        <w:tc>
          <w:tcPr>
            <w:tcW w:w="6318" w:type="dxa"/>
            <w:shd w:val="clear" w:color="auto" w:fill="F4F7FC"/>
          </w:tcPr>
          <w:p w14:paraId="0B94451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Potentially unlimited or business-threatening exposure.</w:t>
            </w:r>
          </w:p>
        </w:tc>
      </w:tr>
      <w:bookmarkEnd w:id="40"/>
    </w:tbl>
    <w:p w14:paraId="0EE0E1FE">
      <w:pPr>
        <w:pStyle w:val="4"/>
      </w:pPr>
      <w:bookmarkStart w:id="41" w:name="worked-example-illustrative"/>
      <w:r>
        <w:t>10.4 Worked example (illustrative)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53"/>
        <w:gridCol w:w="1310"/>
        <w:gridCol w:w="1310"/>
        <w:gridCol w:w="1555"/>
      </w:tblGrid>
      <w:tr w14:paraId="74977D9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4853" w:type="dxa"/>
            <w:shd w:val="clear" w:color="auto" w:fill="1E3A5F"/>
          </w:tcPr>
          <w:p w14:paraId="79FDE157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w="1310" w:type="dxa"/>
            <w:shd w:val="clear" w:color="auto" w:fill="1E3A5F"/>
          </w:tcPr>
          <w:p w14:paraId="25429012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Sᵢ</w:t>
            </w:r>
          </w:p>
        </w:tc>
        <w:tc>
          <w:tcPr>
            <w:tcW w:w="1310" w:type="dxa"/>
            <w:shd w:val="clear" w:color="auto" w:fill="1E3A5F"/>
          </w:tcPr>
          <w:p w14:paraId="0866F739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wᵢ</w:t>
            </w:r>
          </w:p>
        </w:tc>
        <w:tc>
          <w:tcPr>
            <w:tcW w:w="1555" w:type="dxa"/>
            <w:shd w:val="clear" w:color="auto" w:fill="1E3A5F"/>
          </w:tcPr>
          <w:p w14:paraId="2DB69AB9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wᵢ × Sᵢ</w:t>
            </w:r>
          </w:p>
        </w:tc>
      </w:tr>
      <w:tr w14:paraId="7A1FEC17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4853" w:type="dxa"/>
          </w:tcPr>
          <w:p w14:paraId="0409AFE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Uncapped indemnity (§3.1)</w:t>
            </w:r>
          </w:p>
        </w:tc>
        <w:tc>
          <w:tcPr>
            <w:tcW w:w="1310" w:type="dxa"/>
          </w:tcPr>
          <w:p w14:paraId="674A8D4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1310" w:type="dxa"/>
          </w:tcPr>
          <w:p w14:paraId="31C6105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0.35</w:t>
            </w:r>
          </w:p>
        </w:tc>
        <w:tc>
          <w:tcPr>
            <w:tcW w:w="1555" w:type="dxa"/>
          </w:tcPr>
          <w:p w14:paraId="25A0843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3.15</w:t>
            </w:r>
          </w:p>
        </w:tc>
      </w:tr>
      <w:tr w14:paraId="5895186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4853" w:type="dxa"/>
            <w:shd w:val="clear" w:color="auto" w:fill="F4F7FC"/>
          </w:tcPr>
          <w:p w14:paraId="15AC7BD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Liability capped at $50 (§3.2)</w:t>
            </w:r>
          </w:p>
        </w:tc>
        <w:tc>
          <w:tcPr>
            <w:tcW w:w="1310" w:type="dxa"/>
            <w:shd w:val="clear" w:color="auto" w:fill="F4F7FC"/>
          </w:tcPr>
          <w:p w14:paraId="77E2EA0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w="1310" w:type="dxa"/>
            <w:shd w:val="clear" w:color="auto" w:fill="F4F7FC"/>
          </w:tcPr>
          <w:p w14:paraId="286DF17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0.25</w:t>
            </w:r>
          </w:p>
        </w:tc>
        <w:tc>
          <w:tcPr>
            <w:tcW w:w="1555" w:type="dxa"/>
            <w:shd w:val="clear" w:color="auto" w:fill="F4F7FC"/>
          </w:tcPr>
          <w:p w14:paraId="25EA96F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2.00</w:t>
            </w:r>
          </w:p>
        </w:tc>
      </w:tr>
      <w:tr w14:paraId="74812A1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4853" w:type="dxa"/>
          </w:tcPr>
          <w:p w14:paraId="129122F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Perpetual data-monetization licence (§4.1)</w:t>
            </w:r>
          </w:p>
        </w:tc>
        <w:tc>
          <w:tcPr>
            <w:tcW w:w="1310" w:type="dxa"/>
          </w:tcPr>
          <w:p w14:paraId="1D97FED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1310" w:type="dxa"/>
          </w:tcPr>
          <w:p w14:paraId="11D530F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0.30</w:t>
            </w:r>
          </w:p>
        </w:tc>
        <w:tc>
          <w:tcPr>
            <w:tcW w:w="1555" w:type="dxa"/>
          </w:tcPr>
          <w:p w14:paraId="13A7D3F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2.70</w:t>
            </w:r>
          </w:p>
        </w:tc>
      </w:tr>
      <w:tr w14:paraId="1429BA8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4853" w:type="dxa"/>
            <w:shd w:val="clear" w:color="auto" w:fill="F4F7FC"/>
          </w:tcPr>
          <w:p w14:paraId="2279670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Total (capped at 10)</w:t>
            </w:r>
          </w:p>
        </w:tc>
        <w:tc>
          <w:tcPr>
            <w:tcW w:w="1310" w:type="dxa"/>
            <w:shd w:val="clear" w:color="auto" w:fill="F4F7FC"/>
          </w:tcPr>
          <w:p w14:paraId="0E42E5F4">
            <w:pPr>
              <w:pStyle w:val="24"/>
              <w:spacing w:before="20" w:after="20"/>
              <w:jc w:val="left"/>
            </w:pPr>
          </w:p>
        </w:tc>
        <w:tc>
          <w:tcPr>
            <w:tcW w:w="1310" w:type="dxa"/>
            <w:shd w:val="clear" w:color="auto" w:fill="F4F7FC"/>
          </w:tcPr>
          <w:p w14:paraId="38D0C319">
            <w:pPr>
              <w:pStyle w:val="24"/>
              <w:spacing w:before="20" w:after="20"/>
              <w:jc w:val="left"/>
            </w:pPr>
          </w:p>
        </w:tc>
        <w:tc>
          <w:tcPr>
            <w:tcW w:w="1555" w:type="dxa"/>
            <w:shd w:val="clear" w:color="auto" w:fill="F4F7FC"/>
          </w:tcPr>
          <w:p w14:paraId="30FF5E0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7.85 → High</w:t>
            </w:r>
          </w:p>
        </w:tc>
      </w:tr>
    </w:tbl>
    <w:p w14:paraId="0757B9B6">
      <w:pPr>
        <w:pStyle w:val="3"/>
        <w:spacing w:before="160"/>
      </w:pPr>
      <w:r>
        <w:rPr>
          <w:i/>
          <w:iCs/>
        </w:rPr>
        <w:t>Weights shown are examples to demonstrate the arithmetic.</w:t>
      </w:r>
    </w:p>
    <w:bookmarkEnd w:id="37"/>
    <w:bookmarkEnd w:id="41"/>
    <w:p w14:paraId="0281A913">
      <w:pPr>
        <w:pStyle w:val="2"/>
      </w:pPr>
      <w:bookmarkStart w:id="42" w:name="jurisdiction-modules"/>
      <w:r>
        <w:t>11. Jurisdiction Modules</w:t>
      </w:r>
    </w:p>
    <w:p w14:paraId="008D07B3">
      <w:pPr>
        <w:pStyle w:val="23"/>
      </w:pPr>
      <w:r>
        <w:t xml:space="preserve">Each jurisdiction is a self-contained module of </w:t>
      </w:r>
      <w:r>
        <w:rPr>
          <w:b/>
          <w:bCs/>
        </w:rPr>
        <w:t>statute names, links and focus areas</w:t>
      </w:r>
      <w:r>
        <w:t>. The selected module is used to scope the prompt, the Q&amp;A assistant and the citations.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82"/>
        <w:gridCol w:w="2715"/>
        <w:gridCol w:w="2715"/>
        <w:gridCol w:w="2716"/>
      </w:tblGrid>
      <w:tr w14:paraId="7B153F9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882" w:type="dxa"/>
            <w:shd w:val="clear" w:color="auto" w:fill="1E3A5F"/>
          </w:tcPr>
          <w:p w14:paraId="4CFB315A">
            <w:pPr>
              <w:pStyle w:val="24"/>
              <w:spacing w:before="20" w:after="20"/>
              <w:jc w:val="left"/>
            </w:pPr>
          </w:p>
        </w:tc>
        <w:tc>
          <w:tcPr>
            <w:tcW w:w="2715" w:type="dxa"/>
            <w:shd w:val="clear" w:color="auto" w:fill="1E3A5F"/>
          </w:tcPr>
          <w:p w14:paraId="70B13857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India</w:t>
            </w:r>
          </w:p>
        </w:tc>
        <w:tc>
          <w:tcPr>
            <w:tcW w:w="2715" w:type="dxa"/>
            <w:shd w:val="clear" w:color="auto" w:fill="1E3A5F"/>
          </w:tcPr>
          <w:p w14:paraId="2FA31A75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EU (GDPR)</w:t>
            </w:r>
          </w:p>
        </w:tc>
        <w:tc>
          <w:tcPr>
            <w:tcW w:w="2716" w:type="dxa"/>
            <w:shd w:val="clear" w:color="auto" w:fill="1E3A5F"/>
          </w:tcPr>
          <w:p w14:paraId="6E53B7A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UAE</w:t>
            </w:r>
          </w:p>
        </w:tc>
      </w:tr>
      <w:tr w14:paraId="72EF82F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882" w:type="dxa"/>
          </w:tcPr>
          <w:p w14:paraId="66E9B62C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Core instruments</w:t>
            </w:r>
          </w:p>
        </w:tc>
        <w:tc>
          <w:tcPr>
            <w:tcW w:w="2715" w:type="dxa"/>
          </w:tcPr>
          <w:p w14:paraId="563D22A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Indian Contract Act 1872; DPDP Act 2023</w:t>
            </w:r>
          </w:p>
        </w:tc>
        <w:tc>
          <w:tcPr>
            <w:tcW w:w="2715" w:type="dxa"/>
          </w:tcPr>
          <w:p w14:paraId="154CFA6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Regulation (EU) 2016/679</w:t>
            </w:r>
          </w:p>
        </w:tc>
        <w:tc>
          <w:tcPr>
            <w:tcW w:w="2716" w:type="dxa"/>
          </w:tcPr>
          <w:p w14:paraId="0528666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Federal Decree-Law No. 45 of 2021</w:t>
            </w:r>
          </w:p>
        </w:tc>
      </w:tr>
      <w:tr w14:paraId="5FABB18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882" w:type="dxa"/>
            <w:shd w:val="clear" w:color="auto" w:fill="F4F7FC"/>
          </w:tcPr>
          <w:p w14:paraId="5E0DE008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Typical focus</w:t>
            </w:r>
          </w:p>
        </w:tc>
        <w:tc>
          <w:tcPr>
            <w:tcW w:w="2715" w:type="dxa"/>
            <w:shd w:val="clear" w:color="auto" w:fill="F4F7FC"/>
          </w:tcPr>
          <w:p w14:paraId="6D97B1F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Indemnity, unfair/one-sided terms, personal-data consent and deletion</w:t>
            </w:r>
          </w:p>
        </w:tc>
        <w:tc>
          <w:tcPr>
            <w:tcW w:w="2715" w:type="dxa"/>
            <w:shd w:val="clear" w:color="auto" w:fill="F4F7FC"/>
          </w:tcPr>
          <w:p w14:paraId="1E7C08B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Controller/processor duties (e.g., Art. 28), cross-border transfers, deletion rights</w:t>
            </w:r>
          </w:p>
        </w:tc>
        <w:tc>
          <w:tcPr>
            <w:tcW w:w="2716" w:type="dxa"/>
            <w:shd w:val="clear" w:color="auto" w:fill="F4F7FC"/>
          </w:tcPr>
          <w:p w14:paraId="3B462A1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Personal-data processing, transfer restrictions, data-subject rights</w:t>
            </w:r>
          </w:p>
        </w:tc>
      </w:tr>
      <w:tr w14:paraId="7A3A58F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882" w:type="dxa"/>
          </w:tcPr>
          <w:p w14:paraId="73DB815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Official source</w:t>
            </w:r>
          </w:p>
        </w:tc>
        <w:tc>
          <w:tcPr>
            <w:tcW w:w="2715" w:type="dxa"/>
          </w:tcPr>
          <w:p w14:paraId="5CA80F9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 Code</w:t>
            </w:r>
          </w:p>
        </w:tc>
        <w:tc>
          <w:tcPr>
            <w:tcW w:w="2715" w:type="dxa"/>
          </w:tcPr>
          <w:p w14:paraId="3B99CBD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EUR-Lex</w:t>
            </w:r>
          </w:p>
        </w:tc>
        <w:tc>
          <w:tcPr>
            <w:tcW w:w="2716" w:type="dxa"/>
          </w:tcPr>
          <w:p w14:paraId="0BC72FA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UAE Legal Portal</w:t>
            </w:r>
          </w:p>
        </w:tc>
      </w:tr>
    </w:tbl>
    <w:p w14:paraId="790FF9E9">
      <w:pPr>
        <w:pStyle w:val="4"/>
      </w:pPr>
      <w:bookmarkStart w:id="43" w:name="how-separation-works"/>
      <w:r>
        <w:t>How separation works</w:t>
      </w:r>
    </w:p>
    <w:p w14:paraId="0B09CFAE">
      <w:pPr>
        <w:pStyle w:val="24"/>
        <w:numPr>
          <w:ilvl w:val="0"/>
          <w:numId w:val="5"/>
        </w:numPr>
      </w:pPr>
      <w:r>
        <w:t>User selects a jurisdiction in Step 1.</w:t>
      </w:r>
    </w:p>
    <w:p w14:paraId="7AFBD8B0">
      <w:pPr>
        <w:pStyle w:val="24"/>
        <w:numPr>
          <w:ilvl w:val="0"/>
          <w:numId w:val="5"/>
        </w:numPr>
      </w:pPr>
      <w:r>
        <w:t>The client data store provides the matching statute list.</w:t>
      </w:r>
    </w:p>
    <w:p w14:paraId="045F7DFE">
      <w:pPr>
        <w:pStyle w:val="24"/>
        <w:numPr>
          <w:ilvl w:val="0"/>
          <w:numId w:val="5"/>
        </w:numPr>
      </w:pPr>
      <w:r>
        <w:t xml:space="preserve">The backend injects </w:t>
      </w:r>
      <w:r>
        <w:rPr>
          <w:b/>
          <w:bCs/>
        </w:rPr>
        <w:t>only</w:t>
      </w:r>
      <w:r>
        <w:t xml:space="preserve"> that list into the prompt.</w:t>
      </w:r>
    </w:p>
    <w:p w14:paraId="2F1E91FD">
      <w:pPr>
        <w:pStyle w:val="24"/>
        <w:numPr>
          <w:ilvl w:val="0"/>
          <w:numId w:val="5"/>
        </w:numPr>
      </w:pPr>
      <w:r>
        <w:t>Citations returned must come from that list.</w:t>
      </w:r>
    </w:p>
    <w:p w14:paraId="6B50E389">
      <w:pPr>
        <w:pStyle w:val="23"/>
      </w:pPr>
      <w:r>
        <w:t>This prevents cross-contamination (e.g., citing GDPR articles in an Indian-law review).</w:t>
      </w:r>
    </w:p>
    <w:bookmarkEnd w:id="42"/>
    <w:bookmarkEnd w:id="43"/>
    <w:p w14:paraId="78B412CC">
      <w:pPr>
        <w:pStyle w:val="2"/>
      </w:pPr>
      <w:bookmarkStart w:id="44" w:name="user-journey-workflow"/>
      <w:r>
        <w:t>12. User Journey &amp; Workflow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8"/>
        <w:gridCol w:w="1215"/>
        <w:gridCol w:w="3551"/>
        <w:gridCol w:w="3554"/>
      </w:tblGrid>
      <w:tr w14:paraId="688FA52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708" w:type="dxa"/>
            <w:shd w:val="clear" w:color="auto" w:fill="1E3A5F"/>
          </w:tcPr>
          <w:p w14:paraId="4EF3BDFA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215" w:type="dxa"/>
            <w:shd w:val="clear" w:color="auto" w:fill="1E3A5F"/>
          </w:tcPr>
          <w:p w14:paraId="35DE9BB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w="3551" w:type="dxa"/>
            <w:shd w:val="clear" w:color="auto" w:fill="1E3A5F"/>
          </w:tcPr>
          <w:p w14:paraId="31AE2C6D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What the user does</w:t>
            </w:r>
          </w:p>
        </w:tc>
        <w:tc>
          <w:tcPr>
            <w:tcW w:w="3554" w:type="dxa"/>
            <w:shd w:val="clear" w:color="auto" w:fill="1E3A5F"/>
          </w:tcPr>
          <w:p w14:paraId="6DF5C1C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What they get</w:t>
            </w:r>
          </w:p>
        </w:tc>
      </w:tr>
      <w:tr w14:paraId="20D0D04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708" w:type="dxa"/>
          </w:tcPr>
          <w:p w14:paraId="35C7ABB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1</w:t>
            </w:r>
          </w:p>
        </w:tc>
        <w:tc>
          <w:tcPr>
            <w:tcW w:w="1215" w:type="dxa"/>
          </w:tcPr>
          <w:p w14:paraId="538049A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Document Upload</w:t>
            </w:r>
          </w:p>
        </w:tc>
        <w:tc>
          <w:tcPr>
            <w:tcW w:w="3551" w:type="dxa"/>
          </w:tcPr>
          <w:p w14:paraId="6C76756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Uploads TXT/PDF (or clicks </w:t>
            </w:r>
            <w:r>
              <w:rPr>
                <w:b/>
                <w:bCs/>
                <w:sz w:val="19"/>
              </w:rPr>
              <w:t>Load sample SaaS agreement</w:t>
            </w:r>
            <w:r>
              <w:rPr>
                <w:sz w:val="19"/>
              </w:rPr>
              <w:t>), selects jurisdiction</w:t>
            </w:r>
          </w:p>
        </w:tc>
        <w:tc>
          <w:tcPr>
            <w:tcW w:w="3554" w:type="dxa"/>
          </w:tcPr>
          <w:p w14:paraId="34635DB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Contract loaded and ready</w:t>
            </w:r>
          </w:p>
        </w:tc>
      </w:tr>
      <w:tr w14:paraId="19925DB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708" w:type="dxa"/>
            <w:shd w:val="clear" w:color="auto" w:fill="F4F7FC"/>
          </w:tcPr>
          <w:p w14:paraId="193E840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2</w:t>
            </w:r>
          </w:p>
        </w:tc>
        <w:tc>
          <w:tcPr>
            <w:tcW w:w="1215" w:type="dxa"/>
            <w:shd w:val="clear" w:color="auto" w:fill="F4F7FC"/>
          </w:tcPr>
          <w:p w14:paraId="0029B1C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Executive Summary</w:t>
            </w:r>
          </w:p>
        </w:tc>
        <w:tc>
          <w:tcPr>
            <w:tcW w:w="3551" w:type="dxa"/>
            <w:shd w:val="clear" w:color="auto" w:fill="F4F7FC"/>
          </w:tcPr>
          <w:p w14:paraId="00E1950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Reads the overview</w:t>
            </w:r>
          </w:p>
        </w:tc>
        <w:tc>
          <w:tcPr>
            <w:tcW w:w="3554" w:type="dxa"/>
            <w:shd w:val="clear" w:color="auto" w:fill="F4F7FC"/>
          </w:tcPr>
          <w:p w14:paraId="25D67F4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Risk score, label (e.g., </w:t>
            </w:r>
            <w:r>
              <w:rPr>
                <w:i/>
                <w:iCs/>
                <w:sz w:val="19"/>
              </w:rPr>
              <w:t>High Potential Risk — 2 high-risk issues require revision</w:t>
            </w:r>
            <w:r>
              <w:rPr>
                <w:sz w:val="19"/>
              </w:rPr>
              <w:t>), top concerns</w:t>
            </w:r>
          </w:p>
        </w:tc>
      </w:tr>
      <w:tr w14:paraId="7D5383B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708" w:type="dxa"/>
          </w:tcPr>
          <w:p w14:paraId="5992FD0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3</w:t>
            </w:r>
          </w:p>
        </w:tc>
        <w:tc>
          <w:tcPr>
            <w:tcW w:w="1215" w:type="dxa"/>
          </w:tcPr>
          <w:p w14:paraId="7D4F1F5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Issues &amp; Fixes</w:t>
            </w:r>
          </w:p>
        </w:tc>
        <w:tc>
          <w:tcPr>
            <w:tcW w:w="3551" w:type="dxa"/>
          </w:tcPr>
          <w:p w14:paraId="7B1147B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Opens each finding; compares 3-way revisions; clicks </w:t>
            </w:r>
            <w:r>
              <w:rPr>
                <w:b/>
                <w:bCs/>
                <w:sz w:val="19"/>
              </w:rPr>
              <w:t>Apply to Contract</w:t>
            </w:r>
            <w:r>
              <w:rPr>
                <w:sz w:val="19"/>
              </w:rPr>
              <w:t>; asks the Q&amp;A assistant</w:t>
            </w:r>
          </w:p>
        </w:tc>
        <w:tc>
          <w:tcPr>
            <w:tcW w:w="3554" w:type="dxa"/>
          </w:tcPr>
          <w:p w14:paraId="3E39B05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Quote, plain-English explanation, consequences, fix wording, citations</w:t>
            </w:r>
          </w:p>
        </w:tc>
      </w:tr>
      <w:tr w14:paraId="11AA4A0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708" w:type="dxa"/>
            <w:shd w:val="clear" w:color="auto" w:fill="F4F7FC"/>
          </w:tcPr>
          <w:p w14:paraId="389139B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4</w:t>
            </w:r>
          </w:p>
        </w:tc>
        <w:tc>
          <w:tcPr>
            <w:tcW w:w="1215" w:type="dxa"/>
            <w:shd w:val="clear" w:color="auto" w:fill="F4F7FC"/>
          </w:tcPr>
          <w:p w14:paraId="01346E5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Report Export</w:t>
            </w:r>
          </w:p>
        </w:tc>
        <w:tc>
          <w:tcPr>
            <w:tcW w:w="3551" w:type="dxa"/>
            <w:shd w:val="clear" w:color="auto" w:fill="F4F7FC"/>
          </w:tcPr>
          <w:p w14:paraId="41E1BFB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Downloads report</w:t>
            </w:r>
          </w:p>
        </w:tc>
        <w:tc>
          <w:tcPr>
            <w:tcW w:w="3554" w:type="dxa"/>
            <w:shd w:val="clear" w:color="auto" w:fill="F4F7FC"/>
          </w:tcPr>
          <w:p w14:paraId="58B6E4A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Plain-text executive review report</w:t>
            </w:r>
          </w:p>
        </w:tc>
      </w:tr>
    </w:tbl>
    <w:p w14:paraId="295882EA">
      <w:pPr>
        <w:pStyle w:val="4"/>
      </w:pPr>
      <w:bookmarkStart w:id="45" w:name="demo-walkthrough"/>
      <w:r>
        <w:t>Demo walkthrough</w:t>
      </w:r>
    </w:p>
    <w:p w14:paraId="6A4DAC6D">
      <w:pPr>
        <w:pStyle w:val="24"/>
        <w:numPr>
          <w:ilvl w:val="0"/>
          <w:numId w:val="6"/>
        </w:numPr>
      </w:pPr>
      <w:r>
        <w:t>Upload the sample SaaS agreement.</w:t>
      </w:r>
    </w:p>
    <w:p w14:paraId="7045C59F">
      <w:pPr>
        <w:pStyle w:val="24"/>
        <w:numPr>
          <w:ilvl w:val="0"/>
          <w:numId w:val="6"/>
        </w:numPr>
      </w:pPr>
      <w:r>
        <w:t>See the executive summary and score.</w:t>
      </w:r>
    </w:p>
    <w:p w14:paraId="52DB017B">
      <w:pPr>
        <w:pStyle w:val="24"/>
        <w:numPr>
          <w:ilvl w:val="0"/>
          <w:numId w:val="6"/>
        </w:numPr>
      </w:pPr>
      <w:r>
        <w:t xml:space="preserve">Drill into </w:t>
      </w:r>
      <w:r>
        <w:rPr>
          <w:i/>
          <w:iCs/>
        </w:rPr>
        <w:t>"You could be forced to pay unlimited costs"</w:t>
      </w:r>
      <w:r>
        <w:t xml:space="preserve"> → read the evidence quote → view proposed fix.</w:t>
      </w:r>
    </w:p>
    <w:p w14:paraId="64BF9106">
      <w:pPr>
        <w:pStyle w:val="24"/>
        <w:numPr>
          <w:ilvl w:val="0"/>
          <w:numId w:val="6"/>
        </w:numPr>
      </w:pPr>
      <w:r>
        <w:t xml:space="preserve">Ask: </w:t>
      </w:r>
      <w:r>
        <w:rPr>
          <w:i/>
          <w:iCs/>
        </w:rPr>
        <w:t>"Can the vendor sell my customer data?"</w:t>
      </w:r>
      <w:r>
        <w:t xml:space="preserve"> → get a cited answer.</w:t>
      </w:r>
    </w:p>
    <w:p w14:paraId="7E6A128B">
      <w:pPr>
        <w:pStyle w:val="24"/>
        <w:numPr>
          <w:ilvl w:val="0"/>
          <w:numId w:val="6"/>
        </w:numPr>
      </w:pPr>
      <w:r>
        <w:t>Export the executive report.</w:t>
      </w:r>
    </w:p>
    <w:bookmarkEnd w:id="45"/>
    <w:p w14:paraId="2097735C">
      <w:pPr>
        <w:pStyle w:val="4"/>
      </w:pPr>
      <w:bookmarkStart w:id="46" w:name="sample-contract-deliberately-risky"/>
      <w:r>
        <w:t>Sample contract (deliberately risky)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7528"/>
      </w:tblGrid>
      <w:tr w14:paraId="644147E7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E3A5F"/>
          </w:tcPr>
          <w:p w14:paraId="3C702E0C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Clause</w:t>
            </w:r>
          </w:p>
        </w:tc>
        <w:tc>
          <w:tcPr>
            <w:tcW w:w="7528" w:type="dxa"/>
            <w:shd w:val="clear" w:color="auto" w:fill="1E3A5F"/>
          </w:tcPr>
          <w:p w14:paraId="2AD9AE6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Issue</w:t>
            </w:r>
          </w:p>
        </w:tc>
      </w:tr>
      <w:tr w14:paraId="15B678C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73CBCAD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§2</w:t>
            </w:r>
          </w:p>
        </w:tc>
        <w:tc>
          <w:tcPr>
            <w:tcW w:w="7528" w:type="dxa"/>
          </w:tcPr>
          <w:p w14:paraId="20D020A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24% p.a. interest on overdue payments</w:t>
            </w:r>
          </w:p>
        </w:tc>
      </w:tr>
      <w:tr w14:paraId="49F6B47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  <w:shd w:val="clear" w:color="auto" w:fill="F4F7FC"/>
          </w:tcPr>
          <w:p w14:paraId="0BAA5CA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§3.1</w:t>
            </w:r>
          </w:p>
        </w:tc>
        <w:tc>
          <w:tcPr>
            <w:tcW w:w="7528" w:type="dxa"/>
            <w:shd w:val="clear" w:color="auto" w:fill="F4F7FC"/>
          </w:tcPr>
          <w:p w14:paraId="5A4E887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Uncapped unilateral indemnification</w:t>
            </w:r>
          </w:p>
        </w:tc>
      </w:tr>
      <w:tr w14:paraId="25331DD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5031B05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§3.2</w:t>
            </w:r>
          </w:p>
        </w:tc>
        <w:tc>
          <w:tcPr>
            <w:tcW w:w="7528" w:type="dxa"/>
          </w:tcPr>
          <w:p w14:paraId="7BAA94D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Vendor liability capped at $50 USD</w:t>
            </w:r>
          </w:p>
        </w:tc>
      </w:tr>
      <w:tr w14:paraId="43D90AF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  <w:shd w:val="clear" w:color="auto" w:fill="F4F7FC"/>
          </w:tcPr>
          <w:p w14:paraId="5A56A50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§4.1</w:t>
            </w:r>
          </w:p>
        </w:tc>
        <w:tc>
          <w:tcPr>
            <w:tcW w:w="7528" w:type="dxa"/>
            <w:shd w:val="clear" w:color="auto" w:fill="F4F7FC"/>
          </w:tcPr>
          <w:p w14:paraId="511780F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Perpetual licence to monetize/share customer personal data</w:t>
            </w:r>
          </w:p>
        </w:tc>
      </w:tr>
      <w:tr w14:paraId="4511ED5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</w:tcPr>
          <w:p w14:paraId="2A9D0EB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§4.2</w:t>
            </w:r>
          </w:p>
        </w:tc>
        <w:tc>
          <w:tcPr>
            <w:tcW w:w="7528" w:type="dxa"/>
          </w:tcPr>
          <w:p w14:paraId="450D627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No obligation to comply with deletion / cross-border transfer laws</w:t>
            </w:r>
          </w:p>
        </w:tc>
      </w:tr>
      <w:tr w14:paraId="54689D6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500" w:type="dxa"/>
            <w:shd w:val="clear" w:color="auto" w:fill="F4F7FC"/>
          </w:tcPr>
          <w:p w14:paraId="32544B5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§5.0</w:t>
            </w:r>
          </w:p>
        </w:tc>
        <w:tc>
          <w:tcPr>
            <w:tcW w:w="7528" w:type="dxa"/>
            <w:shd w:val="clear" w:color="auto" w:fill="F4F7FC"/>
          </w:tcPr>
          <w:p w14:paraId="39170E7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Foreign arbitration in London, Client bears all costs</w:t>
            </w:r>
          </w:p>
        </w:tc>
      </w:tr>
      <w:bookmarkEnd w:id="44"/>
      <w:bookmarkEnd w:id="46"/>
    </w:tbl>
    <w:p w14:paraId="230D3029">
      <w:pPr>
        <w:pStyle w:val="2"/>
      </w:pPr>
      <w:bookmarkStart w:id="47" w:name="security-ethical-considerations"/>
      <w:r>
        <w:t>13. Security &amp; Ethical Considerations</w:t>
      </w:r>
    </w:p>
    <w:p w14:paraId="6CB10090">
      <w:pPr>
        <w:pStyle w:val="4"/>
      </w:pPr>
      <w:bookmarkStart w:id="48" w:name="security"/>
      <w:r>
        <w:t>13.1 Security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97"/>
        <w:gridCol w:w="6331"/>
      </w:tblGrid>
      <w:tr w14:paraId="3D8AA3F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697" w:type="dxa"/>
            <w:shd w:val="clear" w:color="auto" w:fill="1E3A5F"/>
          </w:tcPr>
          <w:p w14:paraId="2722EA2A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w="6331" w:type="dxa"/>
            <w:shd w:val="clear" w:color="auto" w:fill="1E3A5F"/>
          </w:tcPr>
          <w:p w14:paraId="0BC8654D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14:paraId="68CE94E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97" w:type="dxa"/>
          </w:tcPr>
          <w:p w14:paraId="7E5E4B8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API key exposure</w:t>
            </w:r>
          </w:p>
        </w:tc>
        <w:tc>
          <w:tcPr>
            <w:tcW w:w="6331" w:type="dxa"/>
          </w:tcPr>
          <w:p w14:paraId="6CC3778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The Gemini key is held server-side (environment variable) and never sent to the browser.</w:t>
            </w:r>
          </w:p>
        </w:tc>
      </w:tr>
      <w:tr w14:paraId="4A97F5A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97" w:type="dxa"/>
            <w:shd w:val="clear" w:color="auto" w:fill="F4F7FC"/>
          </w:tcPr>
          <w:p w14:paraId="5F8FA54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Data retention</w:t>
            </w:r>
          </w:p>
        </w:tc>
        <w:tc>
          <w:tcPr>
            <w:tcW w:w="6331" w:type="dxa"/>
            <w:shd w:val="clear" w:color="auto" w:fill="F4F7FC"/>
          </w:tcPr>
          <w:p w14:paraId="46E9404F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Stateless architecture — no database; contracts are not stored by the application.</w:t>
            </w:r>
          </w:p>
        </w:tc>
      </w:tr>
      <w:tr w14:paraId="04971A6A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97" w:type="dxa"/>
          </w:tcPr>
          <w:p w14:paraId="65C01307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Input validation</w:t>
            </w:r>
          </w:p>
        </w:tc>
        <w:tc>
          <w:tcPr>
            <w:tcW w:w="6331" w:type="dxa"/>
          </w:tcPr>
          <w:p w14:paraId="3E6FDEF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Pydantic validates requests and responses.</w:t>
            </w:r>
          </w:p>
        </w:tc>
      </w:tr>
      <w:tr w14:paraId="709267B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97" w:type="dxa"/>
            <w:shd w:val="clear" w:color="auto" w:fill="F4F7FC"/>
          </w:tcPr>
          <w:p w14:paraId="4C56CB8E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Third-party processing</w:t>
            </w:r>
          </w:p>
        </w:tc>
        <w:tc>
          <w:tcPr>
            <w:tcW w:w="6331" w:type="dxa"/>
            <w:shd w:val="clear" w:color="auto" w:fill="F4F7FC"/>
          </w:tcPr>
          <w:p w14:paraId="7C414BE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Contract text is sent to the Gemini API for analysis; users should be informed and avoid uploading highly confidential documents without appropriate agreements.</w:t>
            </w:r>
          </w:p>
        </w:tc>
      </w:tr>
      <w:tr w14:paraId="5E4295A7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97" w:type="dxa"/>
          </w:tcPr>
          <w:p w14:paraId="4ADB59C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Transport</w:t>
            </w:r>
          </w:p>
        </w:tc>
        <w:tc>
          <w:tcPr>
            <w:tcW w:w="6331" w:type="dxa"/>
          </w:tcPr>
          <w:p w14:paraId="30DF795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Deploy behind HTTPS in production.</w:t>
            </w:r>
          </w:p>
        </w:tc>
      </w:tr>
      <w:bookmarkEnd w:id="48"/>
    </w:tbl>
    <w:p w14:paraId="3BCAD7E9">
      <w:pPr>
        <w:pStyle w:val="4"/>
      </w:pPr>
      <w:bookmarkStart w:id="49" w:name="ethical-safeguards"/>
      <w:r>
        <w:t>13.2 Ethical safeguards</w:t>
      </w:r>
    </w:p>
    <w:p w14:paraId="7D6D4B70">
      <w:pPr>
        <w:pStyle w:val="24"/>
        <w:numPr>
          <w:ilvl w:val="0"/>
          <w:numId w:val="1"/>
        </w:numPr>
      </w:pPr>
      <w:r>
        <w:rPr>
          <w:b/>
          <w:bCs/>
        </w:rPr>
        <w:t>Visible disclaimer.</w:t>
      </w:r>
      <w:r>
        <w:t xml:space="preserve"> A dismissible notice strip states that LexiShield AI does not replace a qualified lawyer and does not guarantee judicial enforceability.</w:t>
      </w:r>
    </w:p>
    <w:p w14:paraId="63F0C060">
      <w:pPr>
        <w:pStyle w:val="24"/>
        <w:numPr>
          <w:ilvl w:val="0"/>
          <w:numId w:val="1"/>
        </w:numPr>
      </w:pPr>
      <w:r>
        <w:rPr>
          <w:b/>
          <w:bCs/>
        </w:rPr>
        <w:t>No false claims.</w:t>
      </w:r>
      <w:r>
        <w:t xml:space="preserve"> The tool does not promise legal outcomes; high-severity findings recommend professional review.</w:t>
      </w:r>
    </w:p>
    <w:p w14:paraId="1534C882">
      <w:pPr>
        <w:pStyle w:val="24"/>
        <w:numPr>
          <w:ilvl w:val="0"/>
          <w:numId w:val="1"/>
        </w:numPr>
      </w:pPr>
      <w:r>
        <w:rPr>
          <w:b/>
          <w:bCs/>
        </w:rPr>
        <w:t>Citation integrity.</w:t>
      </w:r>
      <w:r>
        <w:t xml:space="preserve"> Statute names and links originate from a curated data store, reducing fabricated references. Users should still verify citations against the linked official source.</w:t>
      </w:r>
    </w:p>
    <w:p w14:paraId="233F1543">
      <w:pPr>
        <w:pStyle w:val="24"/>
        <w:numPr>
          <w:ilvl w:val="0"/>
          <w:numId w:val="1"/>
        </w:numPr>
      </w:pPr>
      <w:r>
        <w:rPr>
          <w:b/>
          <w:bCs/>
        </w:rPr>
        <w:t>Transparency.</w:t>
      </w:r>
      <w:r>
        <w:t xml:space="preserve"> Scoring formula and benchmark methodology are documented, including limitations.</w:t>
      </w:r>
    </w:p>
    <w:p w14:paraId="7EE2594F">
      <w:pPr>
        <w:pStyle w:val="24"/>
        <w:numPr>
          <w:ilvl w:val="0"/>
          <w:numId w:val="1"/>
        </w:numPr>
      </w:pPr>
      <w:r>
        <w:rPr>
          <w:b/>
          <w:bCs/>
        </w:rPr>
        <w:t>Bias &amp; coverage.</w:t>
      </w:r>
      <w:r>
        <w:t xml:space="preserve"> Findings reflect the covered jurisdictions and the sample of clause types evaluated; unsupported contract types may be under-analyzed.</w:t>
      </w:r>
    </w:p>
    <w:bookmarkEnd w:id="47"/>
    <w:bookmarkEnd w:id="49"/>
    <w:p w14:paraId="77643DE6">
      <w:pPr>
        <w:pStyle w:val="2"/>
      </w:pPr>
      <w:bookmarkStart w:id="50" w:name="evaluation-benchmarking"/>
      <w:r>
        <w:t>14. Evaluation &amp; Benchmarking</w:t>
      </w:r>
    </w:p>
    <w:p w14:paraId="4372FFE3">
      <w:pPr>
        <w:pStyle w:val="4"/>
      </w:pPr>
      <w:bookmarkStart w:id="51" w:name="methodology"/>
      <w:r>
        <w:t>14.1 Methodology</w:t>
      </w:r>
    </w:p>
    <w:p w14:paraId="6F929E05">
      <w:pPr>
        <w:pStyle w:val="23"/>
      </w:pPr>
      <w:r>
        <w:rPr>
          <w:rStyle w:val="36"/>
        </w:rPr>
        <w:t>benchmark_eval.py</w:t>
      </w:r>
      <w:r>
        <w:t xml:space="preserve"> evaluates the analyzer against a labelled set of contracts and clauses: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23"/>
        <w:gridCol w:w="6405"/>
      </w:tblGrid>
      <w:tr w14:paraId="0017CA9B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623" w:type="dxa"/>
            <w:shd w:val="clear" w:color="auto" w:fill="1E3A5F"/>
          </w:tcPr>
          <w:p w14:paraId="6C23AD19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6405" w:type="dxa"/>
            <w:shd w:val="clear" w:color="auto" w:fill="1E3A5F"/>
          </w:tcPr>
          <w:p w14:paraId="2CB7CEEE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14:paraId="0CFFDF2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</w:tcPr>
          <w:p w14:paraId="77A57398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Risk recall</w:t>
            </w:r>
          </w:p>
        </w:tc>
        <w:tc>
          <w:tcPr>
            <w:tcW w:w="6405" w:type="dxa"/>
          </w:tcPr>
          <w:p w14:paraId="79AD899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Share of ground-truth risky clauses that the system detected.</w:t>
            </w:r>
          </w:p>
        </w:tc>
      </w:tr>
      <w:tr w14:paraId="2120EED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  <w:shd w:val="clear" w:color="auto" w:fill="F4F7FC"/>
          </w:tcPr>
          <w:p w14:paraId="4CBB2551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Citation accuracy</w:t>
            </w:r>
          </w:p>
        </w:tc>
        <w:tc>
          <w:tcPr>
            <w:tcW w:w="6405" w:type="dxa"/>
            <w:shd w:val="clear" w:color="auto" w:fill="F4F7FC"/>
          </w:tcPr>
          <w:p w14:paraId="7051A3F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Share of returned citations that correctly match a real, relevant provision.</w:t>
            </w:r>
          </w:p>
        </w:tc>
      </w:tr>
      <w:tr w14:paraId="4AD6806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</w:tcPr>
          <w:p w14:paraId="2B1EE555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Clause-extraction IoU</w:t>
            </w:r>
          </w:p>
        </w:tc>
        <w:tc>
          <w:tcPr>
            <w:tcW w:w="6405" w:type="dxa"/>
          </w:tcPr>
          <w:p w14:paraId="503E6DC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Intersection-over-Union between the quoted span and the ground-truth clause span.</w:t>
            </w:r>
          </w:p>
        </w:tc>
      </w:tr>
      <w:tr w14:paraId="7ECB2848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  <w:shd w:val="clear" w:color="auto" w:fill="F4F7FC"/>
          </w:tcPr>
          <w:p w14:paraId="4A6F0751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Avg inference time</w:t>
            </w:r>
          </w:p>
        </w:tc>
        <w:tc>
          <w:tcPr>
            <w:tcW w:w="6405" w:type="dxa"/>
            <w:shd w:val="clear" w:color="auto" w:fill="F4F7FC"/>
          </w:tcPr>
          <w:p w14:paraId="2DA68C5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Mean </w:t>
            </w:r>
            <w:r>
              <w:rPr>
                <w:rStyle w:val="36"/>
                <w:sz w:val="19"/>
              </w:rPr>
              <w:t>processing_time_ms</w:t>
            </w:r>
            <w:r>
              <w:rPr>
                <w:sz w:val="19"/>
              </w:rPr>
              <w:t xml:space="preserve"> per analysis.</w:t>
            </w:r>
          </w:p>
        </w:tc>
      </w:tr>
      <w:bookmarkEnd w:id="51"/>
    </w:tbl>
    <w:p w14:paraId="1113759C">
      <w:pPr>
        <w:pStyle w:val="4"/>
      </w:pPr>
      <w:bookmarkStart w:id="52" w:name="results"/>
      <w:r>
        <w:t>14.2 Results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72"/>
        <w:gridCol w:w="2956"/>
      </w:tblGrid>
      <w:tr w14:paraId="2DEFCDBD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6072" w:type="dxa"/>
            <w:shd w:val="clear" w:color="auto" w:fill="1E3A5F"/>
          </w:tcPr>
          <w:p w14:paraId="6FFEC083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956" w:type="dxa"/>
            <w:shd w:val="clear" w:color="auto" w:fill="1E3A5F"/>
          </w:tcPr>
          <w:p w14:paraId="5AEF78CA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 w14:paraId="2B3C42E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6072" w:type="dxa"/>
          </w:tcPr>
          <w:p w14:paraId="100AF74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Risk recall</w:t>
            </w:r>
          </w:p>
        </w:tc>
        <w:tc>
          <w:tcPr>
            <w:tcW w:w="2956" w:type="dxa"/>
          </w:tcPr>
          <w:p w14:paraId="2520451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94.2%</w:t>
            </w:r>
          </w:p>
        </w:tc>
      </w:tr>
      <w:tr w14:paraId="410BFF7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6072" w:type="dxa"/>
            <w:shd w:val="clear" w:color="auto" w:fill="F4F7FC"/>
          </w:tcPr>
          <w:p w14:paraId="0A0545A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Citation accuracy</w:t>
            </w:r>
          </w:p>
        </w:tc>
        <w:tc>
          <w:tcPr>
            <w:tcW w:w="2956" w:type="dxa"/>
            <w:shd w:val="clear" w:color="auto" w:fill="F4F7FC"/>
          </w:tcPr>
          <w:p w14:paraId="297CBFF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98.5%</w:t>
            </w:r>
          </w:p>
        </w:tc>
      </w:tr>
      <w:tr w14:paraId="3073B87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6072" w:type="dxa"/>
          </w:tcPr>
          <w:p w14:paraId="5CE09ED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Clause-extraction IoU</w:t>
            </w:r>
          </w:p>
        </w:tc>
        <w:tc>
          <w:tcPr>
            <w:tcW w:w="2956" w:type="dxa"/>
          </w:tcPr>
          <w:p w14:paraId="2F87644E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0.91</w:t>
            </w:r>
          </w:p>
        </w:tc>
      </w:tr>
      <w:tr w14:paraId="3C3F3A2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6072" w:type="dxa"/>
            <w:shd w:val="clear" w:color="auto" w:fill="F4F7FC"/>
          </w:tcPr>
          <w:p w14:paraId="5A17379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Avg inference</w:t>
            </w:r>
          </w:p>
        </w:tc>
        <w:tc>
          <w:tcPr>
            <w:tcW w:w="2956" w:type="dxa"/>
            <w:shd w:val="clear" w:color="auto" w:fill="F4F7FC"/>
          </w:tcPr>
          <w:p w14:paraId="669175A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~3.1 s</w:t>
            </w:r>
          </w:p>
        </w:tc>
      </w:tr>
      <w:bookmarkEnd w:id="52"/>
    </w:tbl>
    <w:p w14:paraId="4CABB138">
      <w:pPr>
        <w:pStyle w:val="4"/>
      </w:pPr>
      <w:bookmarkStart w:id="53" w:name="limitations"/>
      <w:r>
        <w:t>14.3 Limitations</w:t>
      </w:r>
    </w:p>
    <w:p w14:paraId="3AE174B6">
      <w:pPr>
        <w:pStyle w:val="24"/>
        <w:numPr>
          <w:ilvl w:val="0"/>
          <w:numId w:val="1"/>
        </w:numPr>
      </w:pPr>
      <w:r>
        <w:t>Benchmark set size and diversity are limited; results may not generalize to all contract types.</w:t>
      </w:r>
    </w:p>
    <w:p w14:paraId="14E09DA5">
      <w:pPr>
        <w:pStyle w:val="24"/>
        <w:numPr>
          <w:ilvl w:val="0"/>
          <w:numId w:val="1"/>
        </w:numPr>
      </w:pPr>
      <w:r>
        <w:t>LLM output can vary run to run; metrics should be re-run after prompt or model changes.</w:t>
      </w:r>
    </w:p>
    <w:p w14:paraId="4085B20E">
      <w:pPr>
        <w:pStyle w:val="24"/>
        <w:numPr>
          <w:ilvl w:val="0"/>
          <w:numId w:val="1"/>
        </w:numPr>
      </w:pPr>
      <w:r>
        <w:t>Ground-truth labels are subjective and not a substitute for review by qualified counsel.</w:t>
      </w:r>
    </w:p>
    <w:p w14:paraId="4361987D">
      <w:pPr>
        <w:pStyle w:val="24"/>
        <w:numPr>
          <w:ilvl w:val="0"/>
          <w:numId w:val="1"/>
        </w:numPr>
      </w:pPr>
      <w:r>
        <w:t xml:space="preserve">Metrics measure detection and citation quality, </w:t>
      </w:r>
      <w:r>
        <w:rPr>
          <w:b/>
          <w:bCs/>
        </w:rPr>
        <w:t>not</w:t>
      </w:r>
      <w:r>
        <w:t xml:space="preserve"> legal correctness or enforceability.</w:t>
      </w:r>
    </w:p>
    <w:p w14:paraId="39E59249">
      <w:pPr>
        <w:pStyle w:val="24"/>
        <w:numPr>
          <w:ilvl w:val="0"/>
          <w:numId w:val="1"/>
        </w:numPr>
      </w:pPr>
      <w:r>
        <w:t>Scanned PDFs without OCR are not yet supported.</w:t>
      </w:r>
    </w:p>
    <w:p w14:paraId="1BC4D214">
      <w:pPr>
        <w:pStyle w:val="23"/>
      </w:pPr>
      <w:r>
        <w:rPr>
          <w:i/>
          <w:iCs/>
        </w:rPr>
        <w:t>(Document dataset size, labelling process and the exact run configuration alongside these figures for the judging panel.)</w:t>
      </w:r>
    </w:p>
    <w:bookmarkEnd w:id="50"/>
    <w:bookmarkEnd w:id="53"/>
    <w:p w14:paraId="4FA1FF11">
      <w:pPr>
        <w:pStyle w:val="2"/>
      </w:pPr>
      <w:bookmarkStart w:id="54" w:name="scalability-future-roadmap"/>
      <w:r>
        <w:t>15. Scalability &amp; Future Roadmap</w:t>
      </w:r>
    </w:p>
    <w:p w14:paraId="04D81276">
      <w:pPr>
        <w:pStyle w:val="4"/>
      </w:pPr>
      <w:bookmarkStart w:id="55" w:name="roadmap"/>
      <w:r>
        <w:t>Roadmap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28"/>
        <w:gridCol w:w="7300"/>
      </w:tblGrid>
      <w:tr w14:paraId="1B72ACC5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728" w:type="dxa"/>
            <w:shd w:val="clear" w:color="auto" w:fill="1E3A5F"/>
          </w:tcPr>
          <w:p w14:paraId="1FA40DDF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7300" w:type="dxa"/>
            <w:shd w:val="clear" w:color="auto" w:fill="1E3A5F"/>
          </w:tcPr>
          <w:p w14:paraId="7074C2B2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</w:tr>
      <w:tr w14:paraId="52379A9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728" w:type="dxa"/>
          </w:tcPr>
          <w:p w14:paraId="1CC6075A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1</w:t>
            </w:r>
          </w:p>
        </w:tc>
        <w:tc>
          <w:tcPr>
            <w:tcW w:w="7300" w:type="dxa"/>
          </w:tcPr>
          <w:p w14:paraId="1D150B1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DOCX support and OCR for scanned PDFs</w:t>
            </w:r>
          </w:p>
        </w:tc>
      </w:tr>
      <w:tr w14:paraId="3DF5DFEF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728" w:type="dxa"/>
            <w:shd w:val="clear" w:color="auto" w:fill="F4F7FC"/>
          </w:tcPr>
          <w:p w14:paraId="76B9A61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2</w:t>
            </w:r>
          </w:p>
        </w:tc>
        <w:tc>
          <w:tcPr>
            <w:tcW w:w="7300" w:type="dxa"/>
            <w:shd w:val="clear" w:color="auto" w:fill="F4F7FC"/>
          </w:tcPr>
          <w:p w14:paraId="19044E8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User accounts, saved reviews and version history</w:t>
            </w:r>
          </w:p>
        </w:tc>
      </w:tr>
      <w:tr w14:paraId="57B7376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728" w:type="dxa"/>
          </w:tcPr>
          <w:p w14:paraId="0BD187EB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3</w:t>
            </w:r>
          </w:p>
        </w:tc>
        <w:tc>
          <w:tcPr>
            <w:tcW w:w="7300" w:type="dxa"/>
          </w:tcPr>
          <w:p w14:paraId="3741D02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More jurisdictions — US (Delaware), UK, Singapore</w:t>
            </w:r>
          </w:p>
        </w:tc>
      </w:tr>
      <w:tr w14:paraId="26FBFBB1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728" w:type="dxa"/>
            <w:shd w:val="clear" w:color="auto" w:fill="F4F7FC"/>
          </w:tcPr>
          <w:p w14:paraId="5EB4290D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4</w:t>
            </w:r>
          </w:p>
        </w:tc>
        <w:tc>
          <w:tcPr>
            <w:tcW w:w="7300" w:type="dxa"/>
            <w:shd w:val="clear" w:color="auto" w:fill="F4F7FC"/>
          </w:tcPr>
          <w:p w14:paraId="04B886B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Enterprise API, team collaboration, audit logs</w:t>
            </w:r>
          </w:p>
        </w:tc>
      </w:tr>
      <w:bookmarkEnd w:id="55"/>
    </w:tbl>
    <w:p w14:paraId="226832D9">
      <w:pPr>
        <w:pStyle w:val="4"/>
      </w:pPr>
      <w:bookmarkStart w:id="56" w:name="adding-a-new-jurisdiction"/>
      <w:r>
        <w:t>Adding a new jurisdiction</w:t>
      </w:r>
    </w:p>
    <w:p w14:paraId="3B4A5FEB">
      <w:pPr>
        <w:pStyle w:val="24"/>
        <w:numPr>
          <w:ilvl w:val="0"/>
          <w:numId w:val="7"/>
        </w:numPr>
      </w:pPr>
      <w:r>
        <w:t>Add a module to the jurisdiction data store: name, statutes, official links, focus areas.</w:t>
      </w:r>
    </w:p>
    <w:p w14:paraId="4C8A9363">
      <w:pPr>
        <w:pStyle w:val="24"/>
        <w:numPr>
          <w:ilvl w:val="0"/>
          <w:numId w:val="7"/>
        </w:numPr>
      </w:pPr>
      <w:r>
        <w:t>Add the option to the selector and prompt template.</w:t>
      </w:r>
    </w:p>
    <w:p w14:paraId="46096132">
      <w:pPr>
        <w:pStyle w:val="24"/>
        <w:numPr>
          <w:ilvl w:val="0"/>
          <w:numId w:val="7"/>
        </w:numPr>
      </w:pPr>
      <w:r>
        <w:t>Extend the benchmark set with labelled clauses for that jurisdiction.</w:t>
      </w:r>
    </w:p>
    <w:p w14:paraId="533CA34A">
      <w:pPr>
        <w:pStyle w:val="24"/>
        <w:numPr>
          <w:ilvl w:val="0"/>
          <w:numId w:val="7"/>
        </w:numPr>
      </w:pPr>
      <w:r>
        <w:t xml:space="preserve">Re-run </w:t>
      </w:r>
      <w:r>
        <w:rPr>
          <w:rStyle w:val="36"/>
        </w:rPr>
        <w:t>benchmark_eval.py</w:t>
      </w:r>
      <w:r>
        <w:t xml:space="preserve"> and review metrics before release.</w:t>
      </w:r>
    </w:p>
    <w:bookmarkEnd w:id="56"/>
    <w:p w14:paraId="50304487">
      <w:pPr>
        <w:pStyle w:val="4"/>
      </w:pPr>
      <w:bookmarkStart w:id="57" w:name="scaling-the-architecture"/>
      <w:r>
        <w:t>Scaling the architecture</w:t>
      </w:r>
    </w:p>
    <w:p w14:paraId="2C083584">
      <w:pPr>
        <w:pStyle w:val="24"/>
        <w:numPr>
          <w:ilvl w:val="0"/>
          <w:numId w:val="1"/>
        </w:numPr>
      </w:pPr>
      <w:r>
        <w:t>Stateless FastAPI scales horizontally behind a load balancer.</w:t>
      </w:r>
    </w:p>
    <w:p w14:paraId="3BD0C9EF">
      <w:pPr>
        <w:pStyle w:val="24"/>
        <w:numPr>
          <w:ilvl w:val="0"/>
          <w:numId w:val="1"/>
        </w:numPr>
      </w:pPr>
      <w:r>
        <w:t>Add a queue and background workers for large documents.</w:t>
      </w:r>
    </w:p>
    <w:p w14:paraId="49A3F8DA">
      <w:pPr>
        <w:pStyle w:val="24"/>
        <w:numPr>
          <w:ilvl w:val="0"/>
          <w:numId w:val="1"/>
        </w:numPr>
      </w:pPr>
      <w:r>
        <w:t>Cache jurisdiction data and repeated analyses.</w:t>
      </w:r>
    </w:p>
    <w:p w14:paraId="74266C0B">
      <w:pPr>
        <w:pStyle w:val="24"/>
        <w:numPr>
          <w:ilvl w:val="0"/>
          <w:numId w:val="1"/>
        </w:numPr>
      </w:pPr>
      <w:r>
        <w:t>Add a database only when accounts and history are introduced.</w:t>
      </w:r>
    </w:p>
    <w:bookmarkEnd w:id="54"/>
    <w:bookmarkEnd w:id="57"/>
    <w:p w14:paraId="17C2744C">
      <w:pPr>
        <w:pStyle w:val="2"/>
      </w:pPr>
      <w:bookmarkStart w:id="58" w:name="advantages-over-existing-tools"/>
      <w:r>
        <w:t>16. Advantages Over Existing Tools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6"/>
        <w:gridCol w:w="1911"/>
        <w:gridCol w:w="1820"/>
        <w:gridCol w:w="2181"/>
      </w:tblGrid>
      <w:tr w14:paraId="0A452FA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3116" w:type="dxa"/>
            <w:shd w:val="clear" w:color="auto" w:fill="1E3A5F"/>
          </w:tcPr>
          <w:p w14:paraId="269138C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1911" w:type="dxa"/>
            <w:shd w:val="clear" w:color="auto" w:fill="1E3A5F"/>
          </w:tcPr>
          <w:p w14:paraId="524320D5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Generic AI chatbot</w:t>
            </w:r>
          </w:p>
        </w:tc>
        <w:tc>
          <w:tcPr>
            <w:tcW w:w="1820" w:type="dxa"/>
            <w:shd w:val="clear" w:color="auto" w:fill="1E3A5F"/>
          </w:tcPr>
          <w:p w14:paraId="045098BD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Legal-tech suites</w:t>
            </w:r>
          </w:p>
        </w:tc>
        <w:tc>
          <w:tcPr>
            <w:tcW w:w="2181" w:type="dxa"/>
            <w:shd w:val="clear" w:color="auto" w:fill="1E3A5F"/>
          </w:tcPr>
          <w:p w14:paraId="48747CFD">
            <w:pPr>
              <w:pStyle w:val="24"/>
              <w:spacing w:before="20" w:after="20"/>
              <w:jc w:val="left"/>
            </w:pPr>
            <w:r>
              <w:rPr>
                <w:b/>
                <w:bCs/>
                <w:color w:val="FFFFFF"/>
                <w:sz w:val="19"/>
              </w:rPr>
              <w:t>LexiShield AI</w:t>
            </w:r>
          </w:p>
        </w:tc>
      </w:tr>
      <w:tr w14:paraId="792BD258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</w:tcPr>
          <w:p w14:paraId="6D21B70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Built for non-lawyers</w:t>
            </w:r>
          </w:p>
        </w:tc>
        <w:tc>
          <w:tcPr>
            <w:tcW w:w="1911" w:type="dxa"/>
          </w:tcPr>
          <w:p w14:paraId="7CCE9B80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Partly</w:t>
            </w:r>
          </w:p>
        </w:tc>
        <w:tc>
          <w:tcPr>
            <w:tcW w:w="1820" w:type="dxa"/>
          </w:tcPr>
          <w:p w14:paraId="764CCA5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w="2181" w:type="dxa"/>
          </w:tcPr>
          <w:p w14:paraId="42981BE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Yes</w:t>
            </w:r>
          </w:p>
        </w:tc>
      </w:tr>
      <w:tr w14:paraId="0DAF2320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  <w:shd w:val="clear" w:color="auto" w:fill="F4F7FC"/>
          </w:tcPr>
          <w:p w14:paraId="0F18D20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Quotes the exact clause</w:t>
            </w:r>
          </w:p>
        </w:tc>
        <w:tc>
          <w:tcPr>
            <w:tcW w:w="1911" w:type="dxa"/>
            <w:shd w:val="clear" w:color="auto" w:fill="F4F7FC"/>
          </w:tcPr>
          <w:p w14:paraId="4550C67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Rarely</w:t>
            </w:r>
          </w:p>
        </w:tc>
        <w:tc>
          <w:tcPr>
            <w:tcW w:w="1820" w:type="dxa"/>
            <w:shd w:val="clear" w:color="auto" w:fill="F4F7FC"/>
          </w:tcPr>
          <w:p w14:paraId="3F594B8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Sometimes</w:t>
            </w:r>
          </w:p>
        </w:tc>
        <w:tc>
          <w:tcPr>
            <w:tcW w:w="2181" w:type="dxa"/>
            <w:shd w:val="clear" w:color="auto" w:fill="F4F7FC"/>
          </w:tcPr>
          <w:p w14:paraId="20024BBD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Always</w:t>
            </w:r>
          </w:p>
        </w:tc>
      </w:tr>
      <w:tr w14:paraId="4256D4B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</w:tcPr>
          <w:p w14:paraId="3FCEE2A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Plain-English consequences</w:t>
            </w:r>
          </w:p>
        </w:tc>
        <w:tc>
          <w:tcPr>
            <w:tcW w:w="1911" w:type="dxa"/>
          </w:tcPr>
          <w:p w14:paraId="4B6BB6C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Inconsistent</w:t>
            </w:r>
          </w:p>
        </w:tc>
        <w:tc>
          <w:tcPr>
            <w:tcW w:w="1820" w:type="dxa"/>
          </w:tcPr>
          <w:p w14:paraId="1D0CE8C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Rare</w:t>
            </w:r>
          </w:p>
        </w:tc>
        <w:tc>
          <w:tcPr>
            <w:tcW w:w="2181" w:type="dxa"/>
          </w:tcPr>
          <w:p w14:paraId="30290BA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Core design</w:t>
            </w:r>
          </w:p>
        </w:tc>
      </w:tr>
      <w:tr w14:paraId="731FC42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  <w:shd w:val="clear" w:color="auto" w:fill="F4F7FC"/>
          </w:tcPr>
          <w:p w14:paraId="02989BF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Verifiable statutory links</w:t>
            </w:r>
          </w:p>
        </w:tc>
        <w:tc>
          <w:tcPr>
            <w:tcW w:w="1911" w:type="dxa"/>
            <w:shd w:val="clear" w:color="auto" w:fill="F4F7FC"/>
          </w:tcPr>
          <w:p w14:paraId="79CFCA4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Often unsourced</w:t>
            </w:r>
          </w:p>
        </w:tc>
        <w:tc>
          <w:tcPr>
            <w:tcW w:w="1820" w:type="dxa"/>
            <w:shd w:val="clear" w:color="auto" w:fill="F4F7FC"/>
          </w:tcPr>
          <w:p w14:paraId="12B949B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Varies</w:t>
            </w:r>
          </w:p>
        </w:tc>
        <w:tc>
          <w:tcPr>
            <w:tcW w:w="2181" w:type="dxa"/>
            <w:shd w:val="clear" w:color="auto" w:fill="F4F7FC"/>
          </w:tcPr>
          <w:p w14:paraId="53C46513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Official repositories</w:t>
            </w:r>
          </w:p>
        </w:tc>
      </w:tr>
      <w:tr w14:paraId="3E0B8703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</w:tcPr>
          <w:p w14:paraId="0AB5D3C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Reproducible risk score</w:t>
            </w:r>
          </w:p>
        </w:tc>
        <w:tc>
          <w:tcPr>
            <w:tcW w:w="1911" w:type="dxa"/>
          </w:tcPr>
          <w:p w14:paraId="7A19F3A5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w="1820" w:type="dxa"/>
          </w:tcPr>
          <w:p w14:paraId="7730F50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Varies</w:t>
            </w:r>
          </w:p>
        </w:tc>
        <w:tc>
          <w:tcPr>
            <w:tcW w:w="2181" w:type="dxa"/>
          </w:tcPr>
          <w:p w14:paraId="2A16DE70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Formula-based</w:t>
            </w:r>
          </w:p>
        </w:tc>
      </w:tr>
      <w:tr w14:paraId="0594BABE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  <w:shd w:val="clear" w:color="auto" w:fill="F4F7FC"/>
          </w:tcPr>
          <w:p w14:paraId="06628ED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Side-by-side negotiation wording</w:t>
            </w:r>
          </w:p>
        </w:tc>
        <w:tc>
          <w:tcPr>
            <w:tcW w:w="1911" w:type="dxa"/>
            <w:shd w:val="clear" w:color="auto" w:fill="F4F7FC"/>
          </w:tcPr>
          <w:p w14:paraId="4D39051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No</w:t>
            </w:r>
          </w:p>
        </w:tc>
        <w:tc>
          <w:tcPr>
            <w:tcW w:w="1820" w:type="dxa"/>
            <w:shd w:val="clear" w:color="auto" w:fill="F4F7FC"/>
          </w:tcPr>
          <w:p w14:paraId="0FBAD7C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Sometimes</w:t>
            </w:r>
          </w:p>
        </w:tc>
        <w:tc>
          <w:tcPr>
            <w:tcW w:w="2181" w:type="dxa"/>
            <w:shd w:val="clear" w:color="auto" w:fill="F4F7FC"/>
          </w:tcPr>
          <w:p w14:paraId="647DAD6B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3-way comparator</w:t>
            </w:r>
          </w:p>
        </w:tc>
      </w:tr>
      <w:tr w14:paraId="5AF4C25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3116" w:type="dxa"/>
          </w:tcPr>
          <w:p w14:paraId="57EBC129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Setup / cost barrier</w:t>
            </w:r>
          </w:p>
        </w:tc>
        <w:tc>
          <w:tcPr>
            <w:tcW w:w="1911" w:type="dxa"/>
          </w:tcPr>
          <w:p w14:paraId="357B7F4E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w="1820" w:type="dxa"/>
          </w:tcPr>
          <w:p w14:paraId="0604556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w="2181" w:type="dxa"/>
          </w:tcPr>
          <w:p w14:paraId="26D8402B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Low (no build, no DB)</w:t>
            </w:r>
          </w:p>
        </w:tc>
      </w:tr>
      <w:bookmarkEnd w:id="58"/>
    </w:tbl>
    <w:p w14:paraId="5EF8BF43">
      <w:pPr>
        <w:pStyle w:val="2"/>
      </w:pPr>
      <w:bookmarkStart w:id="59" w:name="how-to-run-the-project"/>
      <w:r>
        <w:t>17. How to Run the Project</w:t>
      </w:r>
    </w:p>
    <w:p w14:paraId="5DA8A9BC">
      <w:pPr>
        <w:pStyle w:val="4"/>
      </w:pPr>
      <w:bookmarkStart w:id="60" w:name="prerequisites"/>
      <w:r>
        <w:t>Prerequisites</w:t>
      </w:r>
    </w:p>
    <w:p w14:paraId="1CE39BDF">
      <w:pPr>
        <w:pStyle w:val="24"/>
        <w:numPr>
          <w:ilvl w:val="0"/>
          <w:numId w:val="1"/>
        </w:numPr>
      </w:pPr>
      <w:r>
        <w:t>Python 3.10+</w:t>
      </w:r>
    </w:p>
    <w:p w14:paraId="1BAD8C6C">
      <w:pPr>
        <w:pStyle w:val="24"/>
        <w:numPr>
          <w:ilvl w:val="0"/>
          <w:numId w:val="1"/>
        </w:numPr>
      </w:pPr>
      <w:r>
        <w:t>A Google Gemini API key</w:t>
      </w:r>
    </w:p>
    <w:bookmarkEnd w:id="60"/>
    <w:p w14:paraId="7C1BC31C">
      <w:pPr>
        <w:pStyle w:val="4"/>
      </w:pPr>
      <w:bookmarkStart w:id="61" w:name="setup"/>
      <w:r>
        <w:t>Setup</w:t>
      </w:r>
    </w:p>
    <w:p w14:paraId="40459F2D">
      <w:pPr>
        <w:pStyle w:val="37"/>
        <w:keepLines/>
        <w:spacing w:before="120" w:after="160"/>
      </w:pPr>
      <w:r>
        <w:rPr>
          <w:rStyle w:val="52"/>
        </w:rPr>
        <w:t># 1. Enter the project</w:t>
      </w:r>
      <w:r>
        <w:br w:type="textWrapping"/>
      </w:r>
      <w:r>
        <w:rPr>
          <w:rStyle w:val="61"/>
        </w:rPr>
        <w:t>cd</w:t>
      </w:r>
      <w:r>
        <w:rPr>
          <w:rStyle w:val="70"/>
        </w:rPr>
        <w:t xml:space="preserve"> ai_advisor</w:t>
      </w:r>
      <w:r>
        <w:br w:type="textWrapping"/>
      </w:r>
      <w:r>
        <w:br w:type="textWrapping"/>
      </w:r>
      <w:r>
        <w:rPr>
          <w:rStyle w:val="52"/>
        </w:rPr>
        <w:t># 2. Create and activate a virtual environment</w:t>
      </w:r>
      <w:r>
        <w:br w:type="textWrapping"/>
      </w:r>
      <w:r>
        <w:rPr>
          <w:rStyle w:val="62"/>
        </w:rPr>
        <w:t>python</w:t>
      </w:r>
      <w:r>
        <w:rPr>
          <w:rStyle w:val="70"/>
        </w:rPr>
        <w:t xml:space="preserve"> </w:t>
      </w:r>
      <w:r>
        <w:rPr>
          <w:rStyle w:val="64"/>
        </w:rPr>
        <w:t>-m</w:t>
      </w:r>
      <w:r>
        <w:rPr>
          <w:rStyle w:val="70"/>
        </w:rPr>
        <w:t xml:space="preserve"> venv .venv</w:t>
      </w:r>
      <w:r>
        <w:br w:type="textWrapping"/>
      </w:r>
      <w:r>
        <w:rPr>
          <w:rStyle w:val="61"/>
        </w:rPr>
        <w:t>source</w:t>
      </w:r>
      <w:r>
        <w:rPr>
          <w:rStyle w:val="70"/>
        </w:rPr>
        <w:t xml:space="preserve"> .venv/bin/activate        </w:t>
      </w:r>
      <w:r>
        <w:rPr>
          <w:rStyle w:val="52"/>
        </w:rPr>
        <w:t># Windows: .venv\Scripts\activate</w:t>
      </w:r>
      <w:r>
        <w:br w:type="textWrapping"/>
      </w:r>
      <w:r>
        <w:br w:type="textWrapping"/>
      </w:r>
      <w:r>
        <w:rPr>
          <w:rStyle w:val="52"/>
        </w:rPr>
        <w:t># 3. Install dependencies</w:t>
      </w:r>
      <w:r>
        <w:br w:type="textWrapping"/>
      </w:r>
      <w:r>
        <w:rPr>
          <w:rStyle w:val="62"/>
        </w:rPr>
        <w:t>pip</w:t>
      </w:r>
      <w:r>
        <w:rPr>
          <w:rStyle w:val="70"/>
        </w:rPr>
        <w:t xml:space="preserve"> install </w:t>
      </w:r>
      <w:r>
        <w:rPr>
          <w:rStyle w:val="64"/>
        </w:rPr>
        <w:t>-r</w:t>
      </w:r>
      <w:r>
        <w:rPr>
          <w:rStyle w:val="70"/>
        </w:rPr>
        <w:t xml:space="preserve"> requirements.txt  </w:t>
      </w:r>
      <w:r>
        <w:rPr>
          <w:rStyle w:val="52"/>
        </w:rPr>
        <w:t># fastapi, uvicorn, pydantic, google-genai</w:t>
      </w:r>
      <w:r>
        <w:br w:type="textWrapping"/>
      </w:r>
      <w:r>
        <w:br w:type="textWrapping"/>
      </w:r>
      <w:r>
        <w:rPr>
          <w:rStyle w:val="52"/>
        </w:rPr>
        <w:t># 4. Set the API key (kept server-side)</w:t>
      </w:r>
      <w:r>
        <w:br w:type="textWrapping"/>
      </w:r>
      <w:r>
        <w:rPr>
          <w:rStyle w:val="61"/>
        </w:rPr>
        <w:t>export</w:t>
      </w:r>
      <w:r>
        <w:rPr>
          <w:rStyle w:val="70"/>
        </w:rPr>
        <w:t xml:space="preserve"> </w:t>
      </w:r>
      <w:r>
        <w:rPr>
          <w:rStyle w:val="58"/>
        </w:rPr>
        <w:t>GEMINI_API_KEY</w:t>
      </w:r>
      <w:r>
        <w:rPr>
          <w:rStyle w:val="60"/>
        </w:rPr>
        <w:t>=</w:t>
      </w:r>
      <w:r>
        <w:rPr>
          <w:rStyle w:val="48"/>
        </w:rPr>
        <w:t>"your-key-here"</w:t>
      </w:r>
      <w:r>
        <w:rPr>
          <w:rStyle w:val="70"/>
        </w:rPr>
        <w:t xml:space="preserve">   </w:t>
      </w:r>
      <w:r>
        <w:rPr>
          <w:rStyle w:val="52"/>
        </w:rPr>
        <w:t># Windows (PowerShell): $env:GEMINI_API_KEY="your-key-here"</w:t>
      </w:r>
      <w:r>
        <w:br w:type="textWrapping"/>
      </w:r>
      <w:r>
        <w:br w:type="textWrapping"/>
      </w:r>
      <w:r>
        <w:rPr>
          <w:rStyle w:val="52"/>
        </w:rPr>
        <w:t># 5. Run the server</w:t>
      </w:r>
      <w:r>
        <w:br w:type="textWrapping"/>
      </w:r>
      <w:r>
        <w:rPr>
          <w:rStyle w:val="62"/>
        </w:rPr>
        <w:t>uvicorn</w:t>
      </w:r>
      <w:r>
        <w:rPr>
          <w:rStyle w:val="70"/>
        </w:rPr>
        <w:t xml:space="preserve"> app:app </w:t>
      </w:r>
      <w:r>
        <w:rPr>
          <w:rStyle w:val="64"/>
        </w:rPr>
        <w:t>--reload</w:t>
      </w:r>
      <w:r>
        <w:rPr>
          <w:rStyle w:val="70"/>
        </w:rPr>
        <w:t xml:space="preserve"> </w:t>
      </w:r>
      <w:r>
        <w:rPr>
          <w:rStyle w:val="64"/>
        </w:rPr>
        <w:t>--port</w:t>
      </w:r>
      <w:r>
        <w:rPr>
          <w:rStyle w:val="70"/>
        </w:rPr>
        <w:t xml:space="preserve"> 8000</w:t>
      </w:r>
    </w:p>
    <w:p w14:paraId="3642D568">
      <w:pPr>
        <w:pStyle w:val="14"/>
      </w:pPr>
      <w:r>
        <w:t xml:space="preserve">Use the environment variable name that </w:t>
      </w:r>
      <w:r>
        <w:rPr>
          <w:rStyle w:val="36"/>
        </w:rPr>
        <w:t>app.py</w:t>
      </w:r>
      <w:r>
        <w:t xml:space="preserve"> reads.</w:t>
      </w:r>
    </w:p>
    <w:bookmarkEnd w:id="61"/>
    <w:p w14:paraId="124801E6">
      <w:pPr>
        <w:pStyle w:val="4"/>
      </w:pPr>
      <w:bookmarkStart w:id="67" w:name="_GoBack"/>
      <w:bookmarkEnd w:id="67"/>
      <w:bookmarkStart w:id="62" w:name="run-the-benchmark"/>
      <w:r>
        <w:t>Run the benchmark</w:t>
      </w:r>
    </w:p>
    <w:p w14:paraId="03E512AB">
      <w:pPr>
        <w:pStyle w:val="37"/>
        <w:keepLines/>
        <w:spacing w:before="120" w:after="160"/>
      </w:pPr>
      <w:r>
        <w:rPr>
          <w:rStyle w:val="62"/>
        </w:rPr>
        <w:t>python</w:t>
      </w:r>
      <w:r>
        <w:rPr>
          <w:rStyle w:val="70"/>
        </w:rPr>
        <w:t xml:space="preserve"> benchmark_eval.py</w:t>
      </w:r>
    </w:p>
    <w:bookmarkEnd w:id="62"/>
    <w:p w14:paraId="3750533B">
      <w:pPr>
        <w:pStyle w:val="4"/>
      </w:pPr>
      <w:bookmarkStart w:id="63" w:name="project-structure"/>
      <w:r>
        <w:t>Project structure</w:t>
      </w:r>
    </w:p>
    <w:p w14:paraId="10D5278E">
      <w:pPr>
        <w:pStyle w:val="37"/>
        <w:keepLines/>
        <w:spacing w:before="120" w:after="160"/>
      </w:pPr>
      <w:r>
        <w:rPr>
          <w:rStyle w:val="36"/>
        </w:rPr>
        <w:t>ai_advisor/</w:t>
      </w:r>
      <w:r>
        <w:br w:type="textWrapping"/>
      </w:r>
      <w:r>
        <w:rPr>
          <w:rStyle w:val="36"/>
        </w:rPr>
        <w:t>├── app.py                    # FastAPI backend + Gemini integration + endpoints</w:t>
      </w:r>
      <w:r>
        <w:br w:type="textWrapping"/>
      </w:r>
      <w:r>
        <w:rPr>
          <w:rStyle w:val="36"/>
        </w:rPr>
        <w:t>├── benchmark_eval.py         # Empirical evaluation benchmark</w:t>
      </w:r>
      <w:r>
        <w:br w:type="textWrapping"/>
      </w:r>
      <w:r>
        <w:rPr>
          <w:rStyle w:val="36"/>
        </w:rPr>
        <w:t>├── requirements.txt          # fastapi, uvicorn, pydantic, google-genai</w:t>
      </w:r>
      <w:r>
        <w:br w:type="textWrapping"/>
      </w:r>
      <w:r>
        <w:rPr>
          <w:rStyle w:val="36"/>
        </w:rPr>
        <w:t>├── sample_contracts/</w:t>
      </w:r>
      <w:r>
        <w:br w:type="textWrapping"/>
      </w:r>
      <w:r>
        <w:rPr>
          <w:rStyle w:val="36"/>
        </w:rPr>
        <w:t>│   └── saas_agreement.txt    # Sample Master SaaS Agreement</w:t>
      </w:r>
      <w:r>
        <w:br w:type="textWrapping"/>
      </w:r>
      <w:r>
        <w:rPr>
          <w:rStyle w:val="36"/>
        </w:rPr>
        <w:t>└── static/</w:t>
      </w:r>
      <w:r>
        <w:br w:type="textWrapping"/>
      </w:r>
      <w:r>
        <w:rPr>
          <w:rStyle w:val="36"/>
        </w:rPr>
        <w:t xml:space="preserve">    ├── index.html            # 4-step workflow layout</w:t>
      </w:r>
      <w:r>
        <w:br w:type="textWrapping"/>
      </w:r>
      <w:r>
        <w:rPr>
          <w:rStyle w:val="36"/>
        </w:rPr>
        <w:t xml:space="preserve">    ├── style.css             # Design system (warm ivory theme, tokens)</w:t>
      </w:r>
      <w:r>
        <w:br w:type="textWrapping"/>
      </w:r>
      <w:r>
        <w:rPr>
          <w:rStyle w:val="36"/>
        </w:rPr>
        <w:t xml:space="preserve">    ├── app.js                # Step navigation, data store, renderers</w:t>
      </w:r>
      <w:r>
        <w:br w:type="textWrapping"/>
      </w:r>
      <w:r>
        <w:rPr>
          <w:rStyle w:val="36"/>
        </w:rPr>
        <w:t xml:space="preserve">    └── sample_saas_agreement.txt</w:t>
      </w:r>
    </w:p>
    <w:bookmarkEnd w:id="59"/>
    <w:bookmarkEnd w:id="63"/>
    <w:p w14:paraId="2EBB11E0">
      <w:pPr>
        <w:pStyle w:val="2"/>
      </w:pPr>
      <w:bookmarkStart w:id="64" w:name="screenshots-ui-description"/>
      <w:r>
        <w:t>18. Screenshots / UI Description</w:t>
      </w:r>
    </w:p>
    <w:p w14:paraId="5352AD7A">
      <w:pPr>
        <w:pStyle w:val="14"/>
      </w:pPr>
      <w:r>
        <w:t>Replace each block with a screenshot (</w:t>
      </w:r>
      <w:r>
        <w:rPr>
          <w:rStyle w:val="36"/>
        </w:rPr>
        <w:t>docs/img/stepN.png</w:t>
      </w:r>
      <w:r>
        <w:t>) before submission.</w:t>
      </w:r>
    </w:p>
    <w:p w14:paraId="2BD3B11A">
      <w:pPr>
        <w:pStyle w:val="23"/>
      </w:pPr>
      <w:r>
        <w:rPr>
          <w:b/>
          <w:bCs/>
        </w:rPr>
        <w:t>Global UI:</w:t>
      </w:r>
      <w:r>
        <w:t xml:space="preserve"> warm-ivory design system with indigo accents; Plus Jakarta Sans for body copy and JetBrains Mono for clause quotes; a top stepper showing the four steps; a dismissible disclaimer strip; severity colours (muted red / amber / green).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23"/>
        <w:gridCol w:w="6405"/>
      </w:tblGrid>
      <w:tr w14:paraId="641E38D8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2623" w:type="dxa"/>
            <w:shd w:val="clear" w:color="auto" w:fill="1E3A5F"/>
          </w:tcPr>
          <w:p w14:paraId="6CFC135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6405" w:type="dxa"/>
            <w:shd w:val="clear" w:color="auto" w:fill="1E3A5F"/>
          </w:tcPr>
          <w:p w14:paraId="5736DBA1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UI description</w:t>
            </w:r>
          </w:p>
        </w:tc>
      </w:tr>
      <w:tr w14:paraId="11FC9354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</w:tcPr>
          <w:p w14:paraId="65845606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1 — Document Upload</w:t>
            </w:r>
          </w:p>
        </w:tc>
        <w:tc>
          <w:tcPr>
            <w:tcW w:w="6405" w:type="dxa"/>
          </w:tcPr>
          <w:p w14:paraId="02B3651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Drag-and-drop zone for TXT/PDF, a </w:t>
            </w:r>
            <w:r>
              <w:rPr>
                <w:b/>
                <w:bCs/>
                <w:sz w:val="19"/>
              </w:rPr>
              <w:t>Load sample</w:t>
            </w:r>
            <w:r>
              <w:rPr>
                <w:sz w:val="19"/>
              </w:rPr>
              <w:t xml:space="preserve"> button, and a jurisdiction selector (India / EU GDPR / UAE). Disclaimer strip at the top.</w:t>
            </w:r>
          </w:p>
        </w:tc>
      </w:tr>
      <w:tr w14:paraId="044B96E4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  <w:shd w:val="clear" w:color="auto" w:fill="F4F7FC"/>
          </w:tcPr>
          <w:p w14:paraId="08082836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2 — Executive Summary</w:t>
            </w:r>
          </w:p>
        </w:tc>
        <w:tc>
          <w:tcPr>
            <w:tcW w:w="6405" w:type="dxa"/>
            <w:shd w:val="clear" w:color="auto" w:fill="F4F7FC"/>
          </w:tcPr>
          <w:p w14:paraId="6BABE157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Large risk-score gauge (0–10) with label, a plain-English summary paragraph, and cards for the highest-risk findings.</w:t>
            </w:r>
          </w:p>
        </w:tc>
      </w:tr>
      <w:tr w14:paraId="6DB08D82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</w:tcPr>
          <w:p w14:paraId="6C32AC6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3 — Issues &amp; Fixes</w:t>
            </w:r>
          </w:p>
        </w:tc>
        <w:tc>
          <w:tcPr>
            <w:tcW w:w="6405" w:type="dxa"/>
          </w:tcPr>
          <w:p w14:paraId="0A6F2124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Left: list of findings with severity badges. Right: selected finding — plain-English title, </w:t>
            </w:r>
            <w:r>
              <w:rPr>
                <w:i/>
                <w:iCs/>
                <w:sz w:val="19"/>
              </w:rPr>
              <w:t>What this means</w:t>
            </w:r>
            <w:r>
              <w:rPr>
                <w:sz w:val="19"/>
              </w:rPr>
              <w:t xml:space="preserve">, </w:t>
            </w:r>
            <w:r>
              <w:rPr>
                <w:i/>
                <w:iCs/>
                <w:sz w:val="19"/>
              </w:rPr>
              <w:t>What could happen</w:t>
            </w:r>
            <w:r>
              <w:rPr>
                <w:sz w:val="19"/>
              </w:rPr>
              <w:t xml:space="preserve">, monospace evidence quote, recommended action, expandable legal details (legal term, statute link), and the </w:t>
            </w:r>
            <w:r>
              <w:rPr>
                <w:b/>
                <w:bCs/>
                <w:sz w:val="19"/>
              </w:rPr>
              <w:t>3-way comparator</w:t>
            </w:r>
            <w:r>
              <w:rPr>
                <w:sz w:val="19"/>
              </w:rPr>
              <w:t xml:space="preserve"> (Original / Balanced / Pro-Client) with an </w:t>
            </w:r>
            <w:r>
              <w:rPr>
                <w:b/>
                <w:bCs/>
                <w:sz w:val="19"/>
              </w:rPr>
              <w:t>Apply to Contract</w:t>
            </w:r>
            <w:r>
              <w:rPr>
                <w:sz w:val="19"/>
              </w:rPr>
              <w:t xml:space="preserve"> button. A Q&amp;A chat panel answers with cited provisions.</w:t>
            </w:r>
          </w:p>
        </w:tc>
      </w:tr>
      <w:tr w14:paraId="3E53F20C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2623" w:type="dxa"/>
            <w:shd w:val="clear" w:color="auto" w:fill="F4F7FC"/>
          </w:tcPr>
          <w:p w14:paraId="0AD12559">
            <w:pPr>
              <w:pStyle w:val="24"/>
              <w:spacing w:before="20" w:after="20"/>
              <w:jc w:val="left"/>
            </w:pPr>
            <w:r>
              <w:rPr>
                <w:b/>
                <w:bCs/>
                <w:sz w:val="19"/>
              </w:rPr>
              <w:t>4 — Report Export</w:t>
            </w:r>
          </w:p>
        </w:tc>
        <w:tc>
          <w:tcPr>
            <w:tcW w:w="6405" w:type="dxa"/>
            <w:shd w:val="clear" w:color="auto" w:fill="F4F7FC"/>
          </w:tcPr>
          <w:p w14:paraId="31DEA04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 xml:space="preserve">Summary of reviewed items and a </w:t>
            </w:r>
            <w:r>
              <w:rPr>
                <w:b/>
                <w:bCs/>
                <w:sz w:val="19"/>
              </w:rPr>
              <w:t>Download report</w:t>
            </w:r>
            <w:r>
              <w:rPr>
                <w:sz w:val="19"/>
              </w:rPr>
              <w:t xml:space="preserve"> button.</w:t>
            </w:r>
          </w:p>
        </w:tc>
      </w:tr>
      <w:bookmarkEnd w:id="64"/>
    </w:tbl>
    <w:p w14:paraId="03D4107F">
      <w:pPr>
        <w:pStyle w:val="2"/>
      </w:pPr>
      <w:bookmarkStart w:id="65" w:name="references"/>
      <w:r>
        <w:t>19. References</w:t>
      </w:r>
    </w:p>
    <w:tbl>
      <w:tblPr>
        <w:tblStyle w:val="29"/>
        <w:tblW w:w="9028" w:type="dxa"/>
        <w:tblInd w:w="0" w:type="dxa"/>
        <w:tblBorders>
          <w:top w:val="single" w:color="C5D0E2" w:sz="4" w:space="0"/>
          <w:left w:val="single" w:color="C5D0E2" w:sz="4" w:space="0"/>
          <w:bottom w:val="single" w:color="C5D0E2" w:sz="4" w:space="0"/>
          <w:right w:val="single" w:color="C5D0E2" w:sz="4" w:space="0"/>
          <w:insideH w:val="single" w:color="C5D0E2" w:sz="4" w:space="0"/>
          <w:insideV w:val="single" w:color="C5D0E2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4"/>
        <w:gridCol w:w="4336"/>
        <w:gridCol w:w="3588"/>
      </w:tblGrid>
      <w:tr w14:paraId="79B05628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blHeader/>
        </w:trPr>
        <w:tc>
          <w:tcPr>
            <w:tcW w:w="1104" w:type="dxa"/>
            <w:shd w:val="clear" w:color="auto" w:fill="1E3A5F"/>
          </w:tcPr>
          <w:p w14:paraId="1E3675AC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Jurisdiction</w:t>
            </w:r>
          </w:p>
        </w:tc>
        <w:tc>
          <w:tcPr>
            <w:tcW w:w="4336" w:type="dxa"/>
            <w:shd w:val="clear" w:color="auto" w:fill="1E3A5F"/>
          </w:tcPr>
          <w:p w14:paraId="529A8292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Instrument</w:t>
            </w:r>
          </w:p>
        </w:tc>
        <w:tc>
          <w:tcPr>
            <w:tcW w:w="3588" w:type="dxa"/>
            <w:shd w:val="clear" w:color="auto" w:fill="1E3A5F"/>
          </w:tcPr>
          <w:p w14:paraId="3395DD16">
            <w:pPr>
              <w:pStyle w:val="24"/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Official source</w:t>
            </w:r>
          </w:p>
        </w:tc>
      </w:tr>
      <w:tr w14:paraId="73A59F6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104" w:type="dxa"/>
          </w:tcPr>
          <w:p w14:paraId="23BEEE6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</w:t>
            </w:r>
          </w:p>
        </w:tc>
        <w:tc>
          <w:tcPr>
            <w:tcW w:w="4336" w:type="dxa"/>
          </w:tcPr>
          <w:p w14:paraId="73DD9C7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Indian Contract Act, 1872</w:t>
            </w:r>
          </w:p>
        </w:tc>
        <w:tc>
          <w:tcPr>
            <w:tcW w:w="3588" w:type="dxa"/>
          </w:tcPr>
          <w:p w14:paraId="5D9ECDBC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 Code — https://www.indiacode.nic.in</w:t>
            </w:r>
          </w:p>
        </w:tc>
      </w:tr>
      <w:tr w14:paraId="4364B259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104" w:type="dxa"/>
            <w:shd w:val="clear" w:color="auto" w:fill="F4F7FC"/>
          </w:tcPr>
          <w:p w14:paraId="7BE6B2A1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</w:t>
            </w:r>
          </w:p>
        </w:tc>
        <w:tc>
          <w:tcPr>
            <w:tcW w:w="4336" w:type="dxa"/>
            <w:shd w:val="clear" w:color="auto" w:fill="F4F7FC"/>
          </w:tcPr>
          <w:p w14:paraId="679258F8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Digital Personal Data Protection Act, 2023</w:t>
            </w:r>
          </w:p>
        </w:tc>
        <w:tc>
          <w:tcPr>
            <w:tcW w:w="3588" w:type="dxa"/>
            <w:shd w:val="clear" w:color="auto" w:fill="F4F7FC"/>
          </w:tcPr>
          <w:p w14:paraId="10299B2D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India Code — https://www.indiacode.nic.in</w:t>
            </w:r>
          </w:p>
        </w:tc>
      </w:tr>
      <w:tr w14:paraId="09885936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104" w:type="dxa"/>
          </w:tcPr>
          <w:p w14:paraId="308D439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EU</w:t>
            </w:r>
          </w:p>
        </w:tc>
        <w:tc>
          <w:tcPr>
            <w:tcW w:w="4336" w:type="dxa"/>
          </w:tcPr>
          <w:p w14:paraId="32AB11AA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Regulation (EU) 2016/679 (GDPR), incl. Art. 28 (processor)</w:t>
            </w:r>
          </w:p>
        </w:tc>
        <w:tc>
          <w:tcPr>
            <w:tcW w:w="3588" w:type="dxa"/>
          </w:tcPr>
          <w:p w14:paraId="0BDEB10B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EUR-Lex — https://eur-lex.europa.eu</w:t>
            </w:r>
          </w:p>
        </w:tc>
      </w:tr>
      <w:tr w14:paraId="27BBB4B8">
        <w:tblPrEx>
          <w:tblBorders>
            <w:top w:val="single" w:color="C5D0E2" w:sz="4" w:space="0"/>
            <w:left w:val="single" w:color="C5D0E2" w:sz="4" w:space="0"/>
            <w:bottom w:val="single" w:color="C5D0E2" w:sz="4" w:space="0"/>
            <w:right w:val="single" w:color="C5D0E2" w:sz="4" w:space="0"/>
            <w:insideH w:val="single" w:color="C5D0E2" w:sz="4" w:space="0"/>
            <w:insideV w:val="single" w:color="C5D0E2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</w:trPr>
        <w:tc>
          <w:tcPr>
            <w:tcW w:w="1104" w:type="dxa"/>
            <w:shd w:val="clear" w:color="auto" w:fill="F4F7FC"/>
          </w:tcPr>
          <w:p w14:paraId="594F7436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UAE</w:t>
            </w:r>
          </w:p>
        </w:tc>
        <w:tc>
          <w:tcPr>
            <w:tcW w:w="4336" w:type="dxa"/>
            <w:shd w:val="clear" w:color="auto" w:fill="F4F7FC"/>
          </w:tcPr>
          <w:p w14:paraId="5388F6F2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Federal Decree-Law No. 45 of 2021 on Personal Data Protection</w:t>
            </w:r>
          </w:p>
        </w:tc>
        <w:tc>
          <w:tcPr>
            <w:tcW w:w="3588" w:type="dxa"/>
            <w:shd w:val="clear" w:color="auto" w:fill="F4F7FC"/>
          </w:tcPr>
          <w:p w14:paraId="067115B3">
            <w:pPr>
              <w:pStyle w:val="24"/>
              <w:spacing w:before="20" w:after="20"/>
              <w:jc w:val="left"/>
            </w:pPr>
            <w:r>
              <w:rPr>
                <w:sz w:val="19"/>
              </w:rPr>
              <w:t>UAE Legal Portal — https://uaelegislation.gov.ae</w:t>
            </w:r>
          </w:p>
        </w:tc>
      </w:tr>
    </w:tbl>
    <w:p w14:paraId="6F65A187">
      <w:pPr>
        <w:pStyle w:val="3"/>
        <w:spacing w:before="160"/>
      </w:pPr>
      <w:r>
        <w:rPr>
          <w:b/>
          <w:bCs/>
        </w:rPr>
        <w:t>Technology references</w:t>
      </w:r>
      <w:r>
        <w:t xml:space="preserve"> - FastAPI — https://fastapi.tiangolo.com - Pydantic v2 — https://docs.pydantic.dev - Google Gen AI SDK / Gemini API — https://ai.google.dev - Google Fonts — https://fonts.google.com</w:t>
      </w:r>
    </w:p>
    <w:p w14:paraId="5967FE35">
      <w:pPr>
        <w:pStyle w:val="3"/>
      </w:pPr>
      <w:r>
        <w:rPr>
          <w:i/>
          <w:iCs/>
        </w:rPr>
        <w:t>Verify each deep link against the exact URLs stored in the project's jurisdiction data store.</w:t>
      </w:r>
    </w:p>
    <w:bookmarkEnd w:id="65"/>
    <w:p w14:paraId="477AB53B">
      <w:pPr>
        <w:pStyle w:val="2"/>
      </w:pPr>
      <w:bookmarkStart w:id="66" w:name="conclusion"/>
      <w:r>
        <w:t>20. Conclusion</w:t>
      </w:r>
    </w:p>
    <w:p w14:paraId="07EEE767">
      <w:pPr>
        <w:pStyle w:val="23"/>
      </w:pPr>
      <w:r>
        <w:t>LexiShield AI shows that contract review for non-lawyers does not have to be a choice between expensive counsel and unreliable chatbot advice. By tying every finding to the exact clause, explaining it in plain English, linking it to official statutes, scoring it with a transparent formula and offering negotiation-ready wording, it gives founders, freelancers and small businesses a practical first line of defence.</w:t>
      </w:r>
    </w:p>
    <w:p w14:paraId="48737AFE">
      <w:pPr>
        <w:pStyle w:val="3"/>
      </w:pPr>
      <w:r>
        <w:t>The lightweight, stateless architecture makes it easy to run, inspect and extend — from OCR and accounts to new jurisdictions and an enterprise API. Above all, LexiShield AI is honest about what it is: a co-pilot that helps people understand risk and negotiate better, and that sends them to a qualified lawyer when the stakes demand it.</w:t>
      </w:r>
    </w:p>
    <w:p w14:paraId="7B761652">
      <w:pPr>
        <w:pStyle w:val="14"/>
      </w:pPr>
      <w:r>
        <w:rPr>
          <w:b/>
          <w:bCs/>
        </w:rPr>
        <w:t>Disclaimer:</w:t>
      </w:r>
      <w:r>
        <w:t xml:space="preserve"> LexiShield AI provides informational analysis only. It does not constitute legal advice, does not replace a qualified lawyer, and does not guarantee judicial enforceability of any clause or revision.</w:t>
      </w:r>
    </w:p>
    <w:bookmarkEnd w:id="0"/>
    <w:bookmarkEnd w:id="66"/>
    <w:sectPr>
      <w:footerReference r:id="rId4" w:type="default"/>
      <w:pgSz w:w="11909" w:h="16834"/>
      <w:pgMar w:top="1296" w:right="1440" w:bottom="1296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413FA">
    <w:pPr>
      <w:tabs>
        <w:tab w:val="right" w:pos="9028"/>
      </w:tabs>
    </w:pPr>
    <w:r>
      <w:rPr>
        <w:color w:val="64748B"/>
        <w:sz w:val="18"/>
      </w:rPr>
      <w:t>LexiShield AI — Project Documentation</w:t>
    </w:r>
    <w:r>
      <w:rPr>
        <w:color w:val="64748B"/>
        <w:sz w:val="18"/>
      </w:rPr>
      <w:tab/>
    </w:r>
    <w:r>
      <w:rPr>
        <w:color w:val="64748B"/>
        <w:sz w:val="18"/>
      </w:rPr>
      <w:t xml:space="preserve">Page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77427C9"/>
    <w:rsid w:val="2FDF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="Calibri" w:cs="Calibri"/>
      <w:color w:val="14243B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00" w:after="120"/>
      <w:outlineLvl w:val="0"/>
    </w:pPr>
    <w:rPr>
      <w:rFonts w:ascii="Calibri" w:hAnsi="Calibri" w:eastAsia="Calibri" w:cs="Calibri"/>
      <w:b/>
      <w:bCs/>
      <w:color w:val="1E3A5F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color w:val="2563EB"/>
      <w:sz w:val="27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1E3A5F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0" w:after="120" w:line="269" w:lineRule="auto"/>
    </w:pPr>
    <w:rPr>
      <w:rFonts w:ascii="Calibri" w:hAnsi="Calibri" w:eastAsia="Calibri" w:cs="Calibri"/>
      <w:color w:val="14243B"/>
      <w:sz w:val="22"/>
    </w:rPr>
  </w:style>
  <w:style w:type="paragraph" w:styleId="14">
    <w:name w:val="Block Text"/>
    <w:basedOn w:val="3"/>
    <w:next w:val="3"/>
    <w:unhideWhenUsed/>
    <w:qFormat/>
    <w:uiPriority w:val="9"/>
    <w:pPr>
      <w:shd w:val="clear" w:color="auto" w:fill="EEF3FA"/>
      <w:spacing w:before="120" w:after="160"/>
      <w:ind w:left="288" w:right="288" w:firstLine="0"/>
    </w:pPr>
    <w:rPr>
      <w:rFonts w:ascii="Calibri" w:hAnsi="Calibri" w:eastAsia="Calibri" w:cs="Calibri"/>
      <w:i/>
      <w:color w:val="334155"/>
      <w:sz w:val="21"/>
    </w:r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2563EB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80"/>
      <w:jc w:val="left"/>
    </w:pPr>
    <w:rPr>
      <w:rFonts w:ascii="Calibri" w:hAnsi="Calibri" w:eastAsia="Calibri" w:cs="Calibri"/>
      <w:b/>
      <w:bCs/>
      <w:color w:val="1E3A5F"/>
      <w:sz w:val="60"/>
      <w:szCs w:val="36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120" w:line="269" w:lineRule="auto"/>
    </w:pPr>
    <w:rPr>
      <w:rFonts w:ascii="Calibri" w:hAnsi="Calibri" w:eastAsia="Calibri" w:cs="Calibri"/>
      <w:color w:val="14243B"/>
      <w:sz w:val="22"/>
    </w:rPr>
  </w:style>
  <w:style w:type="paragraph" w:customStyle="1" w:styleId="24">
    <w:name w:val="Compact"/>
    <w:basedOn w:val="3"/>
    <w:qFormat/>
    <w:uiPriority w:val="0"/>
    <w:pPr>
      <w:spacing w:before="0" w:after="40" w:line="269" w:lineRule="auto"/>
    </w:pPr>
    <w:rPr>
      <w:rFonts w:ascii="Calibri" w:hAnsi="Calibri" w:eastAsia="Calibri" w:cs="Calibri"/>
      <w:color w:val="14243B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  <w:pPr>
      <w:jc w:val="center"/>
    </w:pPr>
    <w:rPr>
      <w:rFonts w:ascii="Calibri" w:hAnsi="Calibri" w:eastAsia="Calibri" w:cs="Calibri"/>
      <w:color w:val="64748B"/>
      <w:sz w:val="19"/>
    </w:rPr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  <w:jc w:val="center"/>
    </w:pPr>
  </w:style>
  <w:style w:type="character" w:customStyle="1" w:styleId="36">
    <w:name w:val="Verbatim Char"/>
    <w:basedOn w:val="18"/>
    <w:link w:val="37"/>
    <w:qFormat/>
    <w:uiPriority w:val="0"/>
    <w:rPr>
      <w:rFonts w:ascii="Courier New" w:hAnsi="Courier New" w:eastAsia="Courier New" w:cs="Courier New"/>
      <w:color w:val="1E3A5F"/>
      <w:sz w:val="19"/>
    </w:rPr>
  </w:style>
  <w:style w:type="paragraph" w:customStyle="1" w:styleId="37">
    <w:name w:val="Source Code"/>
    <w:basedOn w:val="1"/>
    <w:link w:val="36"/>
    <w:qFormat/>
    <w:uiPriority w:val="0"/>
    <w:pPr>
      <w:shd w:val="clear" w:color="auto" w:fill="F1F5FB"/>
      <w:wordWrap w:val="0"/>
      <w:spacing w:after="0"/>
      <w:ind w:left="144"/>
    </w:pPr>
    <w:rPr>
      <w:rFonts w:ascii="Courier New" w:hAnsi="Courier New" w:eastAsia="Courier New" w:cs="Courier New"/>
      <w:color w:val="14243B"/>
      <w:sz w:val="18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2793</Words>
  <Characters>17127</Characters>
  <Lines>12</Lines>
  <Paragraphs>8</Paragraphs>
  <TotalTime>6</TotalTime>
  <ScaleCrop>false</ScaleCrop>
  <LinksUpToDate>false</LinksUpToDate>
  <CharactersWithSpaces>19561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2026-10-10T00:09:00Z</dcterms:created>
  <dc:creator>[TEAM NAME]</dc:creator>
  <cp:lastModifiedBy>Sai Kamarajugadda</cp:lastModifiedBy>
  <dcterms:modified xsi:type="dcterms:W3CDTF">2026-10-10T00:58:24Z</dcterms:modified>
  <dc:title>LexiShield AI — Project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eyJoZGlkIjoiZGE3Y2I3OTRlNTA1NjUwZGY1NGI3NTM4NWZhMGI4N2IiLCJ1c2VySWQiOiI1Njc1NjU3MDE1NDIifQ==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ED139E789B9544998737518513656189_12</vt:lpwstr>
  </property>
</Properties>
</file>