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C5764F">
      <w:pPr>
        <w:spacing w:after="24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drawing>
          <wp:inline distT="0" distB="0" distL="114300" distR="114300">
            <wp:extent cx="5326380" cy="3387090"/>
            <wp:effectExtent l="0" t="0" r="7620" b="381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t="11630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93713">
      <w:pPr>
        <w:spacing w:after="240" w:line="360" w:lineRule="auto"/>
        <w:jc w:val="center"/>
        <w:rPr>
          <w:rFonts w:hint="eastAsia" w:ascii="黑体" w:hAnsi="黑体" w:eastAsia="黑体" w:cs="黑体"/>
          <w:b w:val="0"/>
          <w:bCs w:val="0"/>
          <w:sz w:val="52"/>
          <w:szCs w:val="40"/>
        </w:rPr>
      </w:pPr>
      <w:r>
        <w:rPr>
          <w:rFonts w:hint="eastAsia" w:ascii="黑体" w:hAnsi="黑体" w:eastAsia="黑体" w:cs="黑体"/>
          <w:b w:val="0"/>
          <w:bCs w:val="0"/>
          <w:sz w:val="52"/>
          <w:szCs w:val="40"/>
        </w:rPr>
        <w:t>中国科学技术大学</w:t>
      </w:r>
    </w:p>
    <w:p w14:paraId="1609C8FD">
      <w:pPr>
        <w:spacing w:after="240" w:line="360" w:lineRule="auto"/>
        <w:jc w:val="center"/>
        <w:rPr>
          <w:rFonts w:hint="eastAsia" w:ascii="黑体" w:hAnsi="黑体" w:eastAsia="黑体" w:cs="黑体"/>
          <w:b w:val="0"/>
          <w:bCs w:val="0"/>
          <w:sz w:val="52"/>
          <w:szCs w:val="4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52"/>
          <w:szCs w:val="40"/>
        </w:rPr>
        <w:t>数字医学技术与应用</w:t>
      </w:r>
      <w:r>
        <w:rPr>
          <w:rFonts w:hint="eastAsia" w:ascii="黑体" w:hAnsi="黑体" w:eastAsia="黑体" w:cs="黑体"/>
          <w:b w:val="0"/>
          <w:bCs w:val="0"/>
          <w:sz w:val="52"/>
          <w:szCs w:val="40"/>
          <w:lang w:val="en-US" w:eastAsia="zh-CN"/>
        </w:rPr>
        <w:t>报告</w:t>
      </w:r>
    </w:p>
    <w:p w14:paraId="3B0C8CA7">
      <w:pPr>
        <w:spacing w:after="240" w:line="360" w:lineRule="auto"/>
        <w:jc w:val="both"/>
        <w:rPr>
          <w:rFonts w:hint="eastAsia" w:ascii="黑体" w:hAnsi="黑体" w:eastAsia="黑体" w:cs="黑体"/>
          <w:b w:val="0"/>
          <w:bCs w:val="0"/>
          <w:sz w:val="52"/>
          <w:szCs w:val="40"/>
          <w:lang w:val="en-US" w:eastAsia="zh-CN"/>
        </w:rPr>
      </w:pPr>
    </w:p>
    <w:p w14:paraId="3D6ABFA7">
      <w:pPr>
        <w:spacing w:after="240" w:line="360" w:lineRule="auto"/>
        <w:jc w:val="center"/>
        <w:rPr>
          <w:rFonts w:hint="default" w:ascii="黑体" w:hAnsi="黑体" w:eastAsia="黑体" w:cs="黑体"/>
          <w:b w:val="0"/>
          <w:bCs w:val="0"/>
          <w:sz w:val="52"/>
          <w:szCs w:val="4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52"/>
          <w:szCs w:val="40"/>
          <w:lang w:val="en-US" w:eastAsia="zh-CN"/>
        </w:rPr>
        <w:t>Project3</w:t>
      </w:r>
      <w:r>
        <w:rPr>
          <w:rFonts w:hint="default" w:ascii="黑体" w:hAnsi="黑体" w:eastAsia="黑体" w:cs="黑体"/>
          <w:b w:val="0"/>
          <w:bCs w:val="0"/>
          <w:sz w:val="52"/>
          <w:szCs w:val="40"/>
          <w:lang w:val="en-US" w:eastAsia="zh-CN"/>
        </w:rPr>
        <w:t>:</w:t>
      </w:r>
      <w:r>
        <w:rPr>
          <w:rFonts w:hint="eastAsia" w:ascii="黑体" w:hAnsi="黑体" w:eastAsia="黑体" w:cs="黑体"/>
          <w:b w:val="0"/>
          <w:bCs w:val="0"/>
          <w:sz w:val="52"/>
          <w:szCs w:val="40"/>
          <w:lang w:val="en-US" w:eastAsia="zh-CN"/>
        </w:rPr>
        <w:t>眼底图像分类</w:t>
      </w:r>
    </w:p>
    <w:p w14:paraId="75C410EC">
      <w:pPr>
        <w:spacing w:after="240" w:line="360" w:lineRule="auto"/>
        <w:jc w:val="both"/>
        <w:rPr>
          <w:rFonts w:ascii="黑体" w:hAnsi="黑体" w:eastAsia="黑体" w:cs="黑体"/>
          <w:b w:val="0"/>
          <w:bCs w:val="0"/>
          <w:sz w:val="52"/>
          <w:szCs w:val="40"/>
        </w:rPr>
      </w:pPr>
    </w:p>
    <w:p w14:paraId="34D241A5">
      <w:pPr>
        <w:spacing w:after="240" w:line="360" w:lineRule="auto"/>
        <w:ind w:left="420" w:firstLine="420"/>
        <w:jc w:val="left"/>
        <w:rPr>
          <w:rFonts w:hint="eastAsia" w:ascii="楷体" w:hAnsi="楷体" w:eastAsia="楷体" w:cs="楷体"/>
          <w:b w:val="0"/>
          <w:bCs w:val="0"/>
          <w:sz w:val="28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1"/>
        </w:rPr>
        <w:t>小组成员：</w:t>
      </w:r>
      <w:r>
        <w:rPr>
          <w:rFonts w:hint="eastAsia" w:ascii="楷体" w:hAnsi="楷体" w:eastAsia="楷体" w:cs="楷体"/>
          <w:b w:val="0"/>
          <w:bCs w:val="0"/>
          <w:sz w:val="28"/>
          <w:szCs w:val="21"/>
          <w:lang w:val="en-US" w:eastAsia="zh-CN"/>
        </w:rPr>
        <w:t>陈浩斌（负责人</w:t>
      </w:r>
      <w:bookmarkStart w:id="0" w:name="_GoBack"/>
      <w:bookmarkEnd w:id="0"/>
      <w:r>
        <w:rPr>
          <w:rFonts w:hint="eastAsia" w:ascii="楷体" w:hAnsi="楷体" w:eastAsia="楷体" w:cs="楷体"/>
          <w:b w:val="0"/>
          <w:bCs w:val="0"/>
          <w:sz w:val="28"/>
          <w:szCs w:val="21"/>
          <w:lang w:val="en-US" w:eastAsia="zh-CN"/>
        </w:rPr>
        <w:t>）、刘昊琨、林之阳</w:t>
      </w:r>
    </w:p>
    <w:p w14:paraId="465556DF">
      <w:pPr>
        <w:spacing w:after="240" w:line="360" w:lineRule="auto"/>
        <w:ind w:left="420" w:firstLine="420"/>
        <w:jc w:val="left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1"/>
          <w:lang w:val="en-US" w:eastAsia="zh-CN"/>
        </w:rPr>
        <w:t>课程</w:t>
      </w:r>
      <w:r>
        <w:rPr>
          <w:rFonts w:hint="eastAsia" w:ascii="楷体" w:hAnsi="楷体" w:eastAsia="楷体" w:cs="楷体"/>
          <w:b w:val="0"/>
          <w:bCs w:val="0"/>
          <w:sz w:val="28"/>
          <w:szCs w:val="21"/>
        </w:rPr>
        <w:t>教师：</w:t>
      </w:r>
      <w:r>
        <w:rPr>
          <w:rFonts w:hint="eastAsia" w:ascii="楷体" w:hAnsi="楷体" w:eastAsia="楷体" w:cs="楷体"/>
          <w:b w:val="0"/>
          <w:bCs w:val="0"/>
          <w:sz w:val="28"/>
          <w:szCs w:val="21"/>
          <w:lang w:val="en-US" w:eastAsia="zh-CN"/>
        </w:rPr>
        <w:t>周少华</w:t>
      </w:r>
    </w:p>
    <w:p w14:paraId="47D7D7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/>
          <w:b w:val="0"/>
          <w:bCs w:val="0"/>
          <w:lang w:eastAsia="zh-CN"/>
        </w:rPr>
      </w:pPr>
    </w:p>
    <w:p w14:paraId="428080BD"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3"/>
          <w:b w:val="0"/>
          <w:bCs w:val="0"/>
        </w:rPr>
        <w:t>1. 模型基本介绍</w:t>
      </w:r>
    </w:p>
    <w:p w14:paraId="6D5EDC86">
      <w:pPr>
        <w:pStyle w:val="9"/>
        <w:keepNext w:val="0"/>
        <w:keepLines w:val="0"/>
        <w:widowControl/>
        <w:suppressLineNumbers w:val="0"/>
        <w:ind w:firstLine="420" w:firstLineChars="0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本</w:t>
      </w:r>
      <w:r>
        <w:rPr>
          <w:rFonts w:hint="eastAsia" w:ascii="Arial" w:hAnsi="Arial" w:cs="Arial"/>
          <w:b w:val="0"/>
          <w:bCs w:val="0"/>
          <w:lang w:val="en-US" w:eastAsia="zh-CN"/>
        </w:rPr>
        <w:t>项目</w:t>
      </w:r>
      <w:r>
        <w:rPr>
          <w:rFonts w:hint="default" w:ascii="Arial" w:hAnsi="Arial" w:cs="Arial"/>
          <w:b w:val="0"/>
          <w:bCs w:val="0"/>
        </w:rPr>
        <w:t xml:space="preserve">采用 </w:t>
      </w:r>
      <w:r>
        <w:rPr>
          <w:rStyle w:val="13"/>
          <w:rFonts w:hint="default" w:ascii="Arial" w:hAnsi="Arial" w:cs="Arial"/>
          <w:b w:val="0"/>
          <w:bCs w:val="0"/>
        </w:rPr>
        <w:t>DenseNet121（MONAI版）</w:t>
      </w:r>
      <w:r>
        <w:rPr>
          <w:rFonts w:hint="default" w:ascii="Arial" w:hAnsi="Arial" w:cs="Arial"/>
          <w:b w:val="0"/>
          <w:bCs w:val="0"/>
        </w:rPr>
        <w:t xml:space="preserve"> 作为多标签眼底疾病分类模型。该模型通过密集连接（Dense Connectivity）机制实现高效特征复用，适合医学图像分类中存在的高分辨率细节特征。</w:t>
      </w:r>
    </w:p>
    <w:p w14:paraId="17DC2C80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3"/>
          <w:b w:val="0"/>
          <w:bCs w:val="0"/>
        </w:rPr>
        <w:t>模型结构特点</w:t>
      </w:r>
    </w:p>
    <w:p w14:paraId="47D8E0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Style w:val="13"/>
          <w:rFonts w:hint="default" w:ascii="Arial" w:hAnsi="Arial" w:cs="Arial"/>
          <w:b w:val="0"/>
          <w:bCs w:val="0"/>
        </w:rPr>
        <w:t>DenseNet121</w:t>
      </w:r>
      <w:r>
        <w:rPr>
          <w:rFonts w:hint="default" w:ascii="Arial" w:hAnsi="Arial" w:cs="Arial"/>
          <w:b w:val="0"/>
          <w:bCs w:val="0"/>
        </w:rPr>
        <w:t xml:space="preserve"> 是一种基于密集块 (Dense Block) 的卷积网络，每层都接收前面所有层的特征图输入；</w:t>
      </w:r>
    </w:p>
    <w:p w14:paraId="240488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这种结构缓解了梯度消失问题，提高了参数利用率；</w:t>
      </w:r>
    </w:p>
    <w:p w14:paraId="263DA3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 xml:space="preserve">通过 MONAI 实现，自动加载 </w:t>
      </w:r>
      <w:r>
        <w:rPr>
          <w:rStyle w:val="13"/>
          <w:rFonts w:hint="default" w:ascii="Arial" w:hAnsi="Arial" w:cs="Arial"/>
          <w:b w:val="0"/>
          <w:bCs w:val="0"/>
        </w:rPr>
        <w:t>ImageNet 预训练权重</w:t>
      </w:r>
      <w:r>
        <w:rPr>
          <w:rFonts w:hint="default" w:ascii="Arial" w:hAnsi="Arial" w:cs="Arial"/>
          <w:b w:val="0"/>
          <w:bCs w:val="0"/>
        </w:rPr>
        <w:t>，适合迁移学习。</w:t>
      </w:r>
    </w:p>
    <w:p w14:paraId="33CDCD26"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3"/>
          <w:b w:val="0"/>
          <w:bCs w:val="0"/>
        </w:rPr>
        <w:t>2. 模型选择理由</w:t>
      </w:r>
    </w:p>
    <w:p w14:paraId="31CA79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Style w:val="13"/>
          <w:rFonts w:hint="default" w:ascii="Arial" w:hAnsi="Arial" w:cs="Arial"/>
          <w:b w:val="0"/>
          <w:bCs w:val="0"/>
        </w:rPr>
        <w:t>医学图像特征复用需求高</w:t>
      </w:r>
      <w:r>
        <w:rPr>
          <w:rFonts w:hint="default" w:ascii="Arial" w:hAnsi="Arial" w:cs="Arial"/>
          <w:b w:val="0"/>
          <w:bCs w:val="0"/>
        </w:rPr>
        <w:t>：眼底图像的病灶往往细小且分布稀疏，DenseNet 的特征融合特性非常适合；</w:t>
      </w:r>
    </w:p>
    <w:p w14:paraId="20F35B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Style w:val="13"/>
          <w:rFonts w:hint="default" w:ascii="Arial" w:hAnsi="Arial" w:cs="Arial"/>
          <w:b w:val="0"/>
          <w:bCs w:val="0"/>
        </w:rPr>
        <w:t>参数效率优越</w:t>
      </w:r>
      <w:r>
        <w:rPr>
          <w:rFonts w:hint="default" w:ascii="Arial" w:hAnsi="Arial" w:cs="Arial"/>
          <w:b w:val="0"/>
          <w:bCs w:val="0"/>
        </w:rPr>
        <w:t>：相比 ResNet，DenseNet 参数更少但精度更高；</w:t>
      </w:r>
    </w:p>
    <w:p w14:paraId="37F9A5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Style w:val="13"/>
          <w:rFonts w:hint="default" w:ascii="Arial" w:hAnsi="Arial" w:cs="Arial"/>
          <w:b w:val="0"/>
          <w:bCs w:val="0"/>
        </w:rPr>
        <w:t>MONAI 框架支持完善</w:t>
      </w:r>
      <w:r>
        <w:rPr>
          <w:rFonts w:hint="default" w:ascii="Arial" w:hAnsi="Arial" w:cs="Arial"/>
          <w:b w:val="0"/>
          <w:bCs w:val="0"/>
        </w:rPr>
        <w:t>：MONAI 针对医学影像进行了优化，能直接加载 ImageNet 权重并保持输入兼容；</w:t>
      </w:r>
    </w:p>
    <w:p w14:paraId="530AF9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Style w:val="13"/>
          <w:rFonts w:hint="default" w:ascii="Arial" w:hAnsi="Arial" w:cs="Arial"/>
          <w:b w:val="0"/>
          <w:bCs w:val="0"/>
        </w:rPr>
        <w:t>可扩展性强</w:t>
      </w:r>
      <w:r>
        <w:rPr>
          <w:rFonts w:hint="default" w:ascii="Arial" w:hAnsi="Arial" w:cs="Arial"/>
          <w:b w:val="0"/>
          <w:bCs w:val="0"/>
        </w:rPr>
        <w:t xml:space="preserve">：可轻松加入 </w:t>
      </w:r>
      <w:r>
        <w:rPr>
          <w:rStyle w:val="13"/>
          <w:rFonts w:hint="default" w:ascii="Arial" w:hAnsi="Arial" w:cs="Arial"/>
          <w:b w:val="0"/>
          <w:bCs w:val="0"/>
        </w:rPr>
        <w:t>Attention 模块（如 CBAM）</w:t>
      </w:r>
      <w:r>
        <w:rPr>
          <w:rFonts w:hint="default" w:ascii="Arial" w:hAnsi="Arial" w:cs="Arial"/>
          <w:b w:val="0"/>
          <w:bCs w:val="0"/>
        </w:rPr>
        <w:t xml:space="preserve"> 或替换为 timm 模型（如 ResNet50、EfficientNet）。</w:t>
      </w:r>
    </w:p>
    <w:p w14:paraId="482155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b w:val="0"/>
          <w:bCs w:val="0"/>
          <w:lang w:val="en-US" w:eastAsia="zh-CN"/>
        </w:rPr>
        <w:t>Transformer 模型的性能高度依赖大规模数据与强正则化。而医学影像（尤其眼底数据集）样本数量通常不足百万量级，标签分布极不平衡</w:t>
      </w:r>
    </w:p>
    <w:p w14:paraId="3E31A5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b w:val="0"/>
          <w:bCs w:val="0"/>
          <w:lang w:val="en-US" w:eastAsia="zh-CN"/>
        </w:rPr>
        <w:t>DenseNet121 在医学影像社区中经过充分验证，迁移学习稳定且可复现。</w:t>
      </w:r>
    </w:p>
    <w:p w14:paraId="2D20BF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b w:val="0"/>
          <w:bCs w:val="0"/>
          <w:lang w:val="en-US" w:eastAsia="zh-CN"/>
        </w:rPr>
        <w:t>Transformer 的自注意力机制复杂度</w:t>
      </w:r>
      <w:r>
        <w:rPr>
          <w:rFonts w:hint="eastAsia"/>
          <w:b w:val="0"/>
          <w:bCs w:val="0"/>
          <w:lang w:val="en-US" w:eastAsia="zh-CN"/>
        </w:rPr>
        <w:t>O（n</w:t>
      </w:r>
      <w:r>
        <w:rPr>
          <w:rFonts w:hint="default"/>
          <w:b w:val="0"/>
          <w:bCs w:val="0"/>
          <w:lang w:val="en-US" w:eastAsia="zh-CN"/>
        </w:rPr>
        <w:t>^2</w:t>
      </w:r>
      <w:r>
        <w:rPr>
          <w:rFonts w:hint="eastAsia"/>
          <w:b w:val="0"/>
          <w:bCs w:val="0"/>
          <w:lang w:val="en-US" w:eastAsia="zh-CN"/>
        </w:rPr>
        <w:t>），难以收敛。</w:t>
      </w:r>
    </w:p>
    <w:p w14:paraId="52F28BE2"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3"/>
          <w:b w:val="0"/>
          <w:bCs w:val="0"/>
        </w:rPr>
        <w:t>3. 实现细节与超参数设置</w:t>
      </w:r>
    </w:p>
    <w:p w14:paraId="3E608CB1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3"/>
          <w:b w:val="0"/>
          <w:bCs w:val="0"/>
        </w:rPr>
        <w:t>3.1 模型结构</w:t>
      </w:r>
    </w:p>
    <w:p w14:paraId="4DD179C2">
      <w:pPr>
        <w:pStyle w:val="8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5"/>
          <w:b w:val="0"/>
          <w:bCs w:val="0"/>
        </w:rPr>
        <w:t>DenseNet121(spatial_dims=2, in_channels=3, out_channels=20, pretrained=True)</w:t>
      </w:r>
    </w:p>
    <w:p w14:paraId="7D8EDB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输入尺寸：</w:t>
      </w:r>
      <w:r>
        <w:rPr>
          <w:rStyle w:val="15"/>
          <w:rFonts w:hint="default" w:ascii="Arial" w:hAnsi="Arial" w:cs="Arial"/>
          <w:b w:val="0"/>
          <w:bCs w:val="0"/>
        </w:rPr>
        <w:t>3×512×512</w:t>
      </w:r>
    </w:p>
    <w:p w14:paraId="2FCAF67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输出：</w:t>
      </w:r>
      <w:r>
        <w:rPr>
          <w:rStyle w:val="15"/>
          <w:rFonts w:hint="default" w:ascii="Arial" w:hAnsi="Arial" w:cs="Arial"/>
          <w:b w:val="0"/>
          <w:bCs w:val="0"/>
        </w:rPr>
        <w:t>20个Sigmoid概率（多标签二分类）</w:t>
      </w:r>
    </w:p>
    <w:p w14:paraId="50034433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3"/>
          <w:b w:val="0"/>
          <w:bCs w:val="0"/>
        </w:rPr>
        <w:t>3.2 损失函数与优化器</w:t>
      </w:r>
    </w:p>
    <w:tbl>
      <w:tblPr>
        <w:tblStyle w:val="10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6"/>
        <w:gridCol w:w="2764"/>
        <w:gridCol w:w="3414"/>
      </w:tblGrid>
      <w:tr w14:paraId="6FD4F5D0">
        <w:trPr>
          <w:tblHeader/>
          <w:tblCellSpacing w:w="15" w:type="dxa"/>
        </w:trPr>
        <w:tc>
          <w:tcPr>
            <w:tcW w:w="1711" w:type="dxa"/>
            <w:shd w:val="clear" w:color="auto" w:fill="auto"/>
            <w:vAlign w:val="center"/>
          </w:tcPr>
          <w:p w14:paraId="6DC309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项目</w:t>
            </w:r>
          </w:p>
        </w:tc>
        <w:tc>
          <w:tcPr>
            <w:tcW w:w="2734" w:type="dxa"/>
            <w:shd w:val="clear" w:color="auto" w:fill="auto"/>
            <w:vAlign w:val="center"/>
          </w:tcPr>
          <w:p w14:paraId="59985D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设置</w:t>
            </w:r>
          </w:p>
        </w:tc>
        <w:tc>
          <w:tcPr>
            <w:tcW w:w="3369" w:type="dxa"/>
            <w:shd w:val="clear" w:color="auto" w:fill="auto"/>
            <w:vAlign w:val="center"/>
          </w:tcPr>
          <w:p w14:paraId="288D87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说明</w:t>
            </w:r>
          </w:p>
        </w:tc>
      </w:tr>
      <w:tr w14:paraId="2B1F13AD">
        <w:trPr>
          <w:tblCellSpacing w:w="15" w:type="dxa"/>
        </w:trPr>
        <w:tc>
          <w:tcPr>
            <w:tcW w:w="1711" w:type="dxa"/>
            <w:shd w:val="clear" w:color="auto" w:fill="auto"/>
            <w:vAlign w:val="center"/>
          </w:tcPr>
          <w:p w14:paraId="2A8739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Loss</w:t>
            </w:r>
          </w:p>
        </w:tc>
        <w:tc>
          <w:tcPr>
            <w:tcW w:w="2734" w:type="dxa"/>
            <w:shd w:val="clear" w:color="auto" w:fill="auto"/>
            <w:vAlign w:val="center"/>
          </w:tcPr>
          <w:p w14:paraId="7E2ABD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BCEWithLogitsLoss</w:t>
            </w:r>
          </w:p>
        </w:tc>
        <w:tc>
          <w:tcPr>
            <w:tcW w:w="3369" w:type="dxa"/>
            <w:shd w:val="clear" w:color="auto" w:fill="auto"/>
            <w:vAlign w:val="center"/>
          </w:tcPr>
          <w:p w14:paraId="4D9246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适用于多标签任务</w:t>
            </w:r>
          </w:p>
        </w:tc>
      </w:tr>
      <w:tr w14:paraId="10CDCD65">
        <w:trPr>
          <w:tblCellSpacing w:w="15" w:type="dxa"/>
        </w:trPr>
        <w:tc>
          <w:tcPr>
            <w:tcW w:w="1711" w:type="dxa"/>
            <w:shd w:val="clear" w:color="auto" w:fill="auto"/>
            <w:vAlign w:val="center"/>
          </w:tcPr>
          <w:p w14:paraId="24F4E7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Optimizer</w:t>
            </w:r>
          </w:p>
        </w:tc>
        <w:tc>
          <w:tcPr>
            <w:tcW w:w="2734" w:type="dxa"/>
            <w:shd w:val="clear" w:color="auto" w:fill="auto"/>
            <w:vAlign w:val="center"/>
          </w:tcPr>
          <w:p w14:paraId="1902C8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AdamW</w:t>
            </w:r>
          </w:p>
        </w:tc>
        <w:tc>
          <w:tcPr>
            <w:tcW w:w="3369" w:type="dxa"/>
            <w:shd w:val="clear" w:color="auto" w:fill="auto"/>
            <w:vAlign w:val="center"/>
          </w:tcPr>
          <w:p w14:paraId="0B71C7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lr=3e-4, weight_decay=1e-4</w:t>
            </w:r>
          </w:p>
        </w:tc>
      </w:tr>
      <w:tr w14:paraId="1D07BD90">
        <w:trPr>
          <w:tblCellSpacing w:w="15" w:type="dxa"/>
        </w:trPr>
        <w:tc>
          <w:tcPr>
            <w:tcW w:w="1711" w:type="dxa"/>
            <w:shd w:val="clear" w:color="auto" w:fill="auto"/>
            <w:vAlign w:val="center"/>
          </w:tcPr>
          <w:p w14:paraId="113CA5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Scheduler</w:t>
            </w:r>
          </w:p>
        </w:tc>
        <w:tc>
          <w:tcPr>
            <w:tcW w:w="2734" w:type="dxa"/>
            <w:shd w:val="clear" w:color="auto" w:fill="auto"/>
            <w:vAlign w:val="center"/>
          </w:tcPr>
          <w:p w14:paraId="67A64D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CosineAnnealingLR</w:t>
            </w:r>
          </w:p>
        </w:tc>
        <w:tc>
          <w:tcPr>
            <w:tcW w:w="3369" w:type="dxa"/>
            <w:shd w:val="clear" w:color="auto" w:fill="auto"/>
            <w:vAlign w:val="center"/>
          </w:tcPr>
          <w:p w14:paraId="1D37DA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周期平滑衰减</w:t>
            </w:r>
          </w:p>
        </w:tc>
      </w:tr>
      <w:tr w14:paraId="408BEAC1">
        <w:trPr>
          <w:tblCellSpacing w:w="15" w:type="dxa"/>
        </w:trPr>
        <w:tc>
          <w:tcPr>
            <w:tcW w:w="1711" w:type="dxa"/>
            <w:shd w:val="clear" w:color="auto" w:fill="auto"/>
            <w:vAlign w:val="center"/>
          </w:tcPr>
          <w:p w14:paraId="3BF06A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Batch Size</w:t>
            </w:r>
          </w:p>
        </w:tc>
        <w:tc>
          <w:tcPr>
            <w:tcW w:w="2734" w:type="dxa"/>
            <w:shd w:val="clear" w:color="auto" w:fill="auto"/>
            <w:vAlign w:val="center"/>
          </w:tcPr>
          <w:p w14:paraId="469143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16</w:t>
            </w:r>
          </w:p>
        </w:tc>
        <w:tc>
          <w:tcPr>
            <w:tcW w:w="3369" w:type="dxa"/>
            <w:shd w:val="clear" w:color="auto" w:fill="auto"/>
            <w:vAlign w:val="center"/>
          </w:tcPr>
          <w:p w14:paraId="3A3951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平衡显存与稳定性</w:t>
            </w:r>
          </w:p>
        </w:tc>
      </w:tr>
      <w:tr w14:paraId="582738EF">
        <w:trPr>
          <w:tblCellSpacing w:w="15" w:type="dxa"/>
        </w:trPr>
        <w:tc>
          <w:tcPr>
            <w:tcW w:w="1711" w:type="dxa"/>
            <w:shd w:val="clear" w:color="auto" w:fill="auto"/>
            <w:vAlign w:val="center"/>
          </w:tcPr>
          <w:p w14:paraId="0ADC17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Epochs</w:t>
            </w:r>
          </w:p>
        </w:tc>
        <w:tc>
          <w:tcPr>
            <w:tcW w:w="2734" w:type="dxa"/>
            <w:shd w:val="clear" w:color="auto" w:fill="auto"/>
            <w:vAlign w:val="center"/>
          </w:tcPr>
          <w:p w14:paraId="1706EF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10</w:t>
            </w:r>
          </w:p>
        </w:tc>
        <w:tc>
          <w:tcPr>
            <w:tcW w:w="3369" w:type="dxa"/>
            <w:shd w:val="clear" w:color="auto" w:fill="auto"/>
            <w:vAlign w:val="center"/>
          </w:tcPr>
          <w:p w14:paraId="2FDD50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AUC 收敛良好</w:t>
            </w:r>
          </w:p>
        </w:tc>
      </w:tr>
      <w:tr w14:paraId="486ABFAD">
        <w:trPr>
          <w:tblCellSpacing w:w="15" w:type="dxa"/>
        </w:trPr>
        <w:tc>
          <w:tcPr>
            <w:tcW w:w="1711" w:type="dxa"/>
            <w:shd w:val="clear" w:color="auto" w:fill="auto"/>
            <w:vAlign w:val="center"/>
          </w:tcPr>
          <w:p w14:paraId="5744B4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Image Size</w:t>
            </w:r>
          </w:p>
        </w:tc>
        <w:tc>
          <w:tcPr>
            <w:tcW w:w="2734" w:type="dxa"/>
            <w:shd w:val="clear" w:color="auto" w:fill="auto"/>
            <w:vAlign w:val="center"/>
          </w:tcPr>
          <w:p w14:paraId="32BE03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512×512</w:t>
            </w:r>
          </w:p>
        </w:tc>
        <w:tc>
          <w:tcPr>
            <w:tcW w:w="3369" w:type="dxa"/>
            <w:shd w:val="clear" w:color="auto" w:fill="auto"/>
            <w:vAlign w:val="center"/>
          </w:tcPr>
          <w:p w14:paraId="3C5A14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平衡清晰度与效率</w:t>
            </w:r>
          </w:p>
        </w:tc>
      </w:tr>
      <w:tr w14:paraId="73BEF858">
        <w:trPr>
          <w:tblCellSpacing w:w="15" w:type="dxa"/>
        </w:trPr>
        <w:tc>
          <w:tcPr>
            <w:tcW w:w="1711" w:type="dxa"/>
            <w:shd w:val="clear" w:color="auto" w:fill="auto"/>
            <w:vAlign w:val="center"/>
          </w:tcPr>
          <w:p w14:paraId="73995E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Device</w:t>
            </w:r>
          </w:p>
        </w:tc>
        <w:tc>
          <w:tcPr>
            <w:tcW w:w="2734" w:type="dxa"/>
            <w:shd w:val="clear" w:color="auto" w:fill="auto"/>
            <w:vAlign w:val="center"/>
          </w:tcPr>
          <w:p w14:paraId="6AD8C7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CUDA</w:t>
            </w:r>
          </w:p>
        </w:tc>
        <w:tc>
          <w:tcPr>
            <w:tcW w:w="3369" w:type="dxa"/>
            <w:shd w:val="clear" w:color="auto" w:fill="auto"/>
            <w:vAlign w:val="center"/>
          </w:tcPr>
          <w:p w14:paraId="0DB18C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自动检测GPU</w:t>
            </w:r>
          </w:p>
        </w:tc>
      </w:tr>
    </w:tbl>
    <w:p w14:paraId="094C9C76">
      <w:pPr>
        <w:keepNext w:val="0"/>
        <w:keepLines w:val="0"/>
        <w:widowControl/>
        <w:suppressLineNumbers w:val="0"/>
        <w:rPr>
          <w:b w:val="0"/>
          <w:bCs w:val="0"/>
        </w:rPr>
      </w:pPr>
    </w:p>
    <w:p w14:paraId="0FDE30B3"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3"/>
          <w:b w:val="0"/>
          <w:bCs w:val="0"/>
        </w:rPr>
        <w:t>4. Tricks 与改进策略</w:t>
      </w:r>
    </w:p>
    <w:tbl>
      <w:tblPr>
        <w:tblStyle w:val="10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50"/>
        <w:gridCol w:w="3212"/>
        <w:gridCol w:w="1954"/>
      </w:tblGrid>
      <w:tr w14:paraId="2A5DBA31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146C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Trick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4F6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描述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6695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作用</w:t>
            </w:r>
          </w:p>
        </w:tc>
      </w:tr>
      <w:tr w14:paraId="424432E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60A9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Style w:val="13"/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ImageNet 预训练权重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2F84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使用 MONAI 的 DenseNet121 预训练参数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1E28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加速收敛、稳定训练</w:t>
            </w:r>
          </w:p>
        </w:tc>
      </w:tr>
      <w:tr w14:paraId="69DEB10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0012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Style w:val="13"/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数据增强 (Augmentation)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5C94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水平/垂直翻转、旋转 ±10°、Resize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DAFB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提升泛化能力</w:t>
            </w:r>
          </w:p>
        </w:tc>
      </w:tr>
      <w:tr w14:paraId="37C66C6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1D5C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Style w:val="13"/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Cosine Annealing 学习率调度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42A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余弦退火策略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6D19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平滑降低学习率，防止过拟合</w:t>
            </w:r>
          </w:p>
        </w:tc>
      </w:tr>
      <w:tr w14:paraId="6009316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E2D9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Style w:val="13"/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AdamW 优化器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8715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自带权重衰减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B3AA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防止梯度爆炸</w:t>
            </w:r>
          </w:p>
        </w:tc>
      </w:tr>
      <w:tr w14:paraId="482FB6A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65DC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Style w:val="13"/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多标签 Sigmoid + BCEWithLogitsLoss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D730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独立预测各类病变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CB89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支持共现病灶识别</w:t>
            </w:r>
          </w:p>
        </w:tc>
      </w:tr>
      <w:tr w14:paraId="032F578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C9B9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Style w:val="13"/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阈值化推理 (0.5)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7782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输出概率≥0.5视为阳性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9B6F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实现多标签二值化结果</w:t>
            </w:r>
          </w:p>
        </w:tc>
      </w:tr>
    </w:tbl>
    <w:p w14:paraId="564D0884">
      <w:pPr>
        <w:keepNext w:val="0"/>
        <w:keepLines w:val="0"/>
        <w:widowControl/>
        <w:suppressLineNumbers w:val="0"/>
        <w:rPr>
          <w:b w:val="0"/>
          <w:bCs w:val="0"/>
        </w:rPr>
      </w:pPr>
    </w:p>
    <w:p w14:paraId="6BBC81CA"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3"/>
          <w:b w:val="0"/>
          <w:bCs w:val="0"/>
        </w:rPr>
        <w:t>5. 实验结果</w:t>
      </w:r>
    </w:p>
    <w:p w14:paraId="7794651D">
      <w:pPr>
        <w:pStyle w:val="9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根据训练日志统计：</w:t>
      </w:r>
    </w:p>
    <w:tbl>
      <w:tblPr>
        <w:tblStyle w:val="10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6"/>
        <w:gridCol w:w="1201"/>
        <w:gridCol w:w="1481"/>
        <w:gridCol w:w="1400"/>
        <w:gridCol w:w="1189"/>
      </w:tblGrid>
      <w:tr w14:paraId="26C45DE9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D5C2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Epoch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F6A5F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Train Loss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282D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AUC (macro)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085D0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AUC (micro)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35092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F1 (micro)</w:t>
            </w:r>
          </w:p>
        </w:tc>
      </w:tr>
      <w:tr w14:paraId="7DBB024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DADE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C5884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0.2077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EA94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0.8944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84FC9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0.9281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42247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0.4422</w:t>
            </w:r>
          </w:p>
        </w:tc>
      </w:tr>
      <w:tr w14:paraId="78D265E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C749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6CF6E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0.1311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F87D3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0.9251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1D4C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0.9416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8334E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0.5665</w:t>
            </w:r>
          </w:p>
        </w:tc>
      </w:tr>
      <w:tr w14:paraId="7110436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69DA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494A5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0.0985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69150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0.9429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C4901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0.9639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C0A8E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0.6680</w:t>
            </w:r>
          </w:p>
        </w:tc>
      </w:tr>
      <w:tr w14:paraId="4900775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4199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CC463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0.0733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08FC7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Style w:val="13"/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0.9544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C71D8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Style w:val="13"/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0.9728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DBEBA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Style w:val="13"/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0.7131</w:t>
            </w:r>
          </w:p>
        </w:tc>
      </w:tr>
      <w:tr w14:paraId="5FC384B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C591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3B49B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0.0681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0A037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0.9531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545E0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0.9715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75FC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4"/>
                <w:szCs w:val="24"/>
              </w:rPr>
              <w:t>0.7111</w:t>
            </w:r>
          </w:p>
        </w:tc>
      </w:tr>
    </w:tbl>
    <w:p w14:paraId="55AD5F81">
      <w:pPr>
        <w:pStyle w:val="9"/>
        <w:keepNext w:val="0"/>
        <w:keepLines w:val="0"/>
        <w:widowControl/>
        <w:suppressLineNumbers w:val="0"/>
        <w:ind w:right="720"/>
        <w:rPr>
          <w:b w:val="0"/>
          <w:bCs w:val="0"/>
        </w:rPr>
      </w:pPr>
      <w:r>
        <w:rPr>
          <w:rStyle w:val="13"/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训练</w:t>
      </w:r>
      <w:r>
        <w:rPr>
          <w:rStyle w:val="13"/>
          <w:rFonts w:hint="eastAsia" w:ascii="宋体" w:hAnsi="宋体" w:eastAsia="宋体" w:cs="宋体"/>
          <w:b w:val="0"/>
          <w:bCs w:val="0"/>
          <w:sz w:val="24"/>
          <w:szCs w:val="24"/>
        </w:rPr>
        <w:t>最佳性能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（第 9 轮）</w:t>
      </w:r>
    </w:p>
    <w:p w14:paraId="2FF28A4D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  <w:tab w:val="clear" w:pos="-540"/>
        </w:tabs>
        <w:spacing w:before="0" w:beforeAutospacing="1" w:after="0" w:afterAutospacing="1"/>
        <w:ind w:left="180" w:leftChars="0" w:right="720" w:hanging="360"/>
        <w:rPr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AUC (macro)：0.9544</w:t>
      </w:r>
    </w:p>
    <w:p w14:paraId="149B4803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  <w:tab w:val="clear" w:pos="-540"/>
        </w:tabs>
        <w:spacing w:before="0" w:beforeAutospacing="1" w:after="0" w:afterAutospacing="1"/>
        <w:ind w:left="180" w:leftChars="0" w:right="720" w:hanging="360"/>
        <w:rPr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AUC (micro)：0.9728</w:t>
      </w:r>
    </w:p>
    <w:p w14:paraId="7EABCD59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  <w:tab w:val="clear" w:pos="-540"/>
        </w:tabs>
        <w:spacing w:before="0" w:beforeAutospacing="1" w:after="0" w:afterAutospacing="1"/>
        <w:ind w:left="180" w:leftChars="0" w:right="720" w:hanging="360"/>
        <w:rPr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F1 (micro)：0.7131</w:t>
      </w:r>
    </w:p>
    <w:p w14:paraId="4DFF3335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  <w:tab w:val="clear" w:pos="-540"/>
        </w:tabs>
        <w:spacing w:before="0" w:beforeAutospacing="1" w:after="0" w:afterAutospacing="1"/>
        <w:ind w:left="180" w:leftChars="0" w:right="720" w:hanging="360"/>
        <w:rPr>
          <w:rFonts w:hint="default"/>
          <w:b w:val="0"/>
          <w:bCs w:val="0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ACC（估算）≈ 0.91</w:t>
      </w:r>
    </w:p>
    <w:p w14:paraId="37950C3C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rPr>
          <w:rStyle w:val="13"/>
          <w:rFonts w:hint="eastAsia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Style w:val="13"/>
          <w:rFonts w:hint="eastAsia" w:ascii="Times New Roman" w:hAnsi="Times New Roman" w:eastAsia="宋体" w:cs="Times New Roman"/>
          <w:b w:val="0"/>
          <w:bCs w:val="0"/>
          <w:lang w:val="en-US" w:eastAsia="zh-CN"/>
        </w:rPr>
        <w:t>取 Top-3 概率最高的类Attention map / GradCam</w:t>
      </w:r>
    </w:p>
    <w:p w14:paraId="77D4ED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33020</wp:posOffset>
            </wp:positionH>
            <wp:positionV relativeFrom="page">
              <wp:posOffset>922020</wp:posOffset>
            </wp:positionV>
            <wp:extent cx="2171065" cy="2181225"/>
            <wp:effectExtent l="0" t="0" r="13335" b="3175"/>
            <wp:wrapTopAndBottom/>
            <wp:docPr id="1" name="图片 1" descr="0b5582ba2319b75ebd72f934bfa7f424a1afd0b948121bd2d6c49c7fb0dd68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b5582ba2319b75ebd72f934bfa7f424a1afd0b948121bd2d6c49c7fb0dd688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106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799"/>
        <w:gridCol w:w="2800"/>
        <w:gridCol w:w="2800"/>
      </w:tblGrid>
      <w:tr w14:paraId="4F803EF2">
        <w:trPr>
          <w:trHeight w:val="2234" w:hRule="atLeast"/>
        </w:trPr>
        <w:tc>
          <w:tcPr>
            <w:tcW w:w="2799" w:type="dxa"/>
          </w:tcPr>
          <w:p w14:paraId="5EE416C7">
            <w:pPr>
              <w:widowControl w:val="0"/>
              <w:numPr>
                <w:numId w:val="0"/>
              </w:numPr>
              <w:spacing w:before="100" w:after="100" w:line="400" w:lineRule="exact"/>
              <w:jc w:val="both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-635000</wp:posOffset>
                  </wp:positionV>
                  <wp:extent cx="1639570" cy="1647190"/>
                  <wp:effectExtent l="0" t="0" r="11430" b="3810"/>
                  <wp:wrapTopAndBottom/>
                  <wp:docPr id="3" name="图片 3" descr="0b5582ba2319b75ebd72f934bfa7f424a1afd0b948121bd2d6c49c7fb0dd688b_cam_01_NORMAL_0.9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0b5582ba2319b75ebd72f934bfa7f424a1afd0b948121bd2d6c49c7fb0dd688b_cam_01_NORMAL_0.97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570" cy="164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00" w:type="dxa"/>
          </w:tcPr>
          <w:p w14:paraId="22340C88">
            <w:pPr>
              <w:widowControl w:val="0"/>
              <w:numPr>
                <w:numId w:val="0"/>
              </w:numPr>
              <w:spacing w:before="100" w:after="100" w:line="400" w:lineRule="exact"/>
              <w:jc w:val="both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-635000</wp:posOffset>
                  </wp:positionV>
                  <wp:extent cx="1639570" cy="1647190"/>
                  <wp:effectExtent l="0" t="0" r="11430" b="3810"/>
                  <wp:wrapTopAndBottom/>
                  <wp:docPr id="4" name="图片 4" descr="0b5582ba2319b75ebd72f934bfa7f424a1afd0b948121bd2d6c49c7fb0dd688b_cam_06_DN_0.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0b5582ba2319b75ebd72f934bfa7f424a1afd0b948121bd2d6c49c7fb0dd688b_cam_06_DN_0.01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570" cy="164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00" w:type="dxa"/>
          </w:tcPr>
          <w:p w14:paraId="025D9C11">
            <w:pPr>
              <w:widowControl w:val="0"/>
              <w:numPr>
                <w:numId w:val="0"/>
              </w:numPr>
              <w:spacing w:before="100" w:after="100" w:line="400" w:lineRule="exact"/>
              <w:jc w:val="both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-635000</wp:posOffset>
                  </wp:positionV>
                  <wp:extent cx="1639570" cy="1647190"/>
                  <wp:effectExtent l="0" t="0" r="11430" b="3810"/>
                  <wp:wrapTopAndBottom/>
                  <wp:docPr id="6" name="图片 6" descr="0b5582ba2319b75ebd72f934bfa7f424a1afd0b948121bd2d6c49c7fb0dd688b_cam_19_OTHER_0.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0b5582ba2319b75ebd72f934bfa7f424a1afd0b948121bd2d6c49c7fb0dd688b_cam_19_OTHER_0.01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570" cy="164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70C0D0CE">
        <w:trPr>
          <w:trHeight w:val="2270" w:hRule="atLeast"/>
        </w:trPr>
        <w:tc>
          <w:tcPr>
            <w:tcW w:w="2799" w:type="dxa"/>
          </w:tcPr>
          <w:p w14:paraId="08963820">
            <w:pPr>
              <w:widowControl w:val="0"/>
              <w:numPr>
                <w:numId w:val="0"/>
              </w:numPr>
              <w:spacing w:before="100" w:after="100" w:line="400" w:lineRule="exact"/>
              <w:jc w:val="both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-635000</wp:posOffset>
                  </wp:positionV>
                  <wp:extent cx="1639570" cy="1647190"/>
                  <wp:effectExtent l="0" t="0" r="11430" b="3810"/>
                  <wp:wrapTopAndBottom/>
                  <wp:docPr id="7" name="图片 7" descr="0b5582ba2319b75ebd72f934bfa7f424a1afd0b948121bd2d6c49c7fb0dd688b_overlay_01_NORMAL_0.9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0b5582ba2319b75ebd72f934bfa7f424a1afd0b948121bd2d6c49c7fb0dd688b_overlay_01_NORMAL_0.97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570" cy="164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00" w:type="dxa"/>
          </w:tcPr>
          <w:p w14:paraId="54002B91">
            <w:pPr>
              <w:widowControl w:val="0"/>
              <w:numPr>
                <w:numId w:val="0"/>
              </w:numPr>
              <w:spacing w:before="100" w:after="100" w:line="400" w:lineRule="exact"/>
              <w:jc w:val="both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-635000</wp:posOffset>
                  </wp:positionV>
                  <wp:extent cx="1639570" cy="1647190"/>
                  <wp:effectExtent l="0" t="0" r="11430" b="3810"/>
                  <wp:wrapTopAndBottom/>
                  <wp:docPr id="8" name="图片 8" descr="0b5582ba2319b75ebd72f934bfa7f424a1afd0b948121bd2d6c49c7fb0dd688b_overlay_06_DN_0.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0b5582ba2319b75ebd72f934bfa7f424a1afd0b948121bd2d6c49c7fb0dd688b_overlay_06_DN_0.01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570" cy="164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00" w:type="dxa"/>
          </w:tcPr>
          <w:p w14:paraId="76114873">
            <w:pPr>
              <w:widowControl w:val="0"/>
              <w:numPr>
                <w:numId w:val="0"/>
              </w:numPr>
              <w:spacing w:before="100" w:after="100" w:line="400" w:lineRule="exact"/>
              <w:jc w:val="both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-635000</wp:posOffset>
                  </wp:positionV>
                  <wp:extent cx="1639570" cy="1647190"/>
                  <wp:effectExtent l="0" t="0" r="11430" b="3810"/>
                  <wp:wrapTopAndBottom/>
                  <wp:docPr id="9" name="图片 9" descr="0b5582ba2319b75ebd72f934bfa7f424a1afd0b948121bd2d6c49c7fb0dd688b_overlay_19_OTHER_0.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0b5582ba2319b75ebd72f934bfa7f424a1afd0b948121bd2d6c49c7fb0dd688b_overlay_19_OTHER_0.0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570" cy="164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BDF9AC1">
      <w:pPr>
        <w:widowControl w:val="0"/>
        <w:numPr>
          <w:numId w:val="0"/>
        </w:numPr>
        <w:spacing w:before="100" w:after="100" w:line="400" w:lineRule="exact"/>
        <w:ind w:firstLine="420" w:firstLineChars="0"/>
        <w:jc w:val="both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三张 Grad-CAM 结果（分别对应类别 NORMAL、DN、OTHER）整体说明模型在判定为正常眼底时关注的区域集中、语义一致性较高，而在其他疾病类别的响应则较弱、局部零散。</w:t>
      </w:r>
    </w:p>
    <w:p w14:paraId="50B9DB6C">
      <w:pPr>
        <w:widowControl w:val="0"/>
        <w:numPr>
          <w:numId w:val="0"/>
        </w:numPr>
        <w:spacing w:before="100" w:after="100" w:line="400" w:lineRule="exact"/>
        <w:ind w:firstLine="420" w:firstLineChars="0"/>
        <w:jc w:val="both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Grad-CAM 可解释性上表现正常：模型关注到中心凹结构并据此给出“正常”高置信度预测，其他病理类别被显著抑制</w:t>
      </w:r>
    </w:p>
    <w:p w14:paraId="613B8C94">
      <w:pPr>
        <w:widowControl w:val="0"/>
        <w:numPr>
          <w:numId w:val="0"/>
        </w:numPr>
        <w:spacing w:before="100" w:after="100" w:line="400" w:lineRule="exact"/>
        <w:ind w:firstLine="420" w:firstLineChars="0"/>
        <w:jc w:val="both"/>
        <w:textAlignment w:val="center"/>
        <w:rPr>
          <w:rFonts w:hint="eastAsia"/>
          <w:lang w:val="en-US" w:eastAsia="zh-CN"/>
        </w:rPr>
      </w:pPr>
    </w:p>
    <w:p w14:paraId="58ED0398">
      <w:pPr>
        <w:widowControl w:val="0"/>
        <w:numPr>
          <w:numId w:val="0"/>
        </w:numPr>
        <w:spacing w:before="100" w:after="100" w:line="400" w:lineRule="exact"/>
        <w:jc w:val="both"/>
        <w:textAlignment w:val="center"/>
        <w:rPr>
          <w:rFonts w:hint="eastAsia"/>
          <w:lang w:val="en-US" w:eastAsia="zh-CN"/>
        </w:rPr>
      </w:pPr>
    </w:p>
    <w:p w14:paraId="74694A9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400" w:lineRule="exact"/>
        <w:ind w:right="720" w:rightChars="0"/>
        <w:jc w:val="both"/>
        <w:textAlignment w:val="center"/>
        <w:rPr>
          <w:rFonts w:hint="default" w:eastAsia="宋体"/>
          <w:b w:val="0"/>
          <w:bCs w:val="0"/>
          <w:lang w:val="en-US" w:eastAsia="zh-CN"/>
        </w:rPr>
      </w:pPr>
    </w:p>
    <w:p w14:paraId="60E8761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400" w:lineRule="exact"/>
        <w:ind w:right="720" w:rightChars="0"/>
        <w:jc w:val="both"/>
        <w:textAlignment w:val="center"/>
        <w:rPr>
          <w:rFonts w:hint="default"/>
          <w:b w:val="0"/>
          <w:bCs w:val="0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CE3CB2"/>
    <w:multiLevelType w:val="multilevel"/>
    <w:tmpl w:val="9BCE3C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A7CBD57"/>
    <w:multiLevelType w:val="multilevel"/>
    <w:tmpl w:val="EA7CBD57"/>
    <w:lvl w:ilvl="0" w:tentative="0">
      <w:start w:val="1"/>
      <w:numFmt w:val="bullet"/>
      <w:lvlText w:val=""/>
      <w:lvlJc w:val="left"/>
      <w:pPr>
        <w:tabs>
          <w:tab w:val="left" w:pos="-540"/>
        </w:tabs>
        <w:ind w:left="-5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0"/>
        </w:tabs>
        <w:ind w:left="18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900"/>
        </w:tabs>
        <w:ind w:left="90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1620"/>
        </w:tabs>
        <w:ind w:left="162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2340"/>
        </w:tabs>
        <w:ind w:left="234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3060"/>
        </w:tabs>
        <w:ind w:left="306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3780"/>
        </w:tabs>
        <w:ind w:left="378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4500"/>
        </w:tabs>
        <w:ind w:left="450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5220"/>
        </w:tabs>
        <w:ind w:left="5220" w:hanging="360"/>
      </w:pPr>
      <w:rPr>
        <w:rFonts w:hint="default" w:ascii="Wingdings" w:hAnsi="Wingdings" w:cs="Wingdings"/>
        <w:sz w:val="20"/>
      </w:rPr>
    </w:lvl>
  </w:abstractNum>
  <w:abstractNum w:abstractNumId="2">
    <w:nsid w:val="F7BBCBAE"/>
    <w:multiLevelType w:val="singleLevel"/>
    <w:tmpl w:val="F7BBCBAE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AFC83A9"/>
    <w:multiLevelType w:val="multilevel"/>
    <w:tmpl w:val="FAFC83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7BFEF737"/>
    <w:multiLevelType w:val="multilevel"/>
    <w:tmpl w:val="7BFEF7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413BF6"/>
    <w:rsid w:val="27DA5A5B"/>
    <w:rsid w:val="292FCB87"/>
    <w:rsid w:val="2A04447D"/>
    <w:rsid w:val="38FF46E0"/>
    <w:rsid w:val="3DFFADCF"/>
    <w:rsid w:val="3F539DC5"/>
    <w:rsid w:val="55FB9293"/>
    <w:rsid w:val="5AF5175E"/>
    <w:rsid w:val="5E6B1633"/>
    <w:rsid w:val="69413BF6"/>
    <w:rsid w:val="6BE92428"/>
    <w:rsid w:val="75EF52C6"/>
    <w:rsid w:val="7BCCEC01"/>
    <w:rsid w:val="7D7A17C8"/>
    <w:rsid w:val="7DDFE065"/>
    <w:rsid w:val="7EAF3FA0"/>
    <w:rsid w:val="7FF3FFD9"/>
    <w:rsid w:val="A7FF3D5D"/>
    <w:rsid w:val="AD9E17D5"/>
    <w:rsid w:val="BEDADED6"/>
    <w:rsid w:val="BFBE2E50"/>
    <w:rsid w:val="DD9BBCEA"/>
    <w:rsid w:val="DFD55EFA"/>
    <w:rsid w:val="DFFE9F27"/>
    <w:rsid w:val="E7F6605E"/>
    <w:rsid w:val="EDFBAE05"/>
    <w:rsid w:val="EF79B1C7"/>
    <w:rsid w:val="EFFD2F3A"/>
    <w:rsid w:val="FDB92844"/>
    <w:rsid w:val="FF976ABC"/>
    <w:rsid w:val="FFEF3C30"/>
    <w:rsid w:val="FFFDC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00" w:after="100" w:line="400" w:lineRule="exact"/>
      <w:jc w:val="both"/>
      <w:textAlignment w:val="center"/>
    </w:pPr>
    <w:rPr>
      <w:rFonts w:ascii="Times New Roman" w:hAnsi="Times New Roman" w:eastAsia="宋体" w:cs="Arial"/>
      <w:color w:val="000000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7">
    <w:name w:val="annotation text"/>
    <w:basedOn w:val="1"/>
    <w:semiHidden/>
    <w:qFormat/>
    <w:uiPriority w:val="0"/>
    <w:pPr>
      <w:ind w:left="315"/>
    </w:p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basedOn w:val="12"/>
    <w:uiPriority w:val="0"/>
    <w:rPr>
      <w:color w:val="0000FF"/>
      <w:u w:val="single"/>
    </w:rPr>
  </w:style>
  <w:style w:type="character" w:styleId="15">
    <w:name w:val="HTML Code"/>
    <w:basedOn w:val="12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929</Words>
  <Characters>1624</Characters>
  <Lines>0</Lines>
  <Paragraphs>0</Paragraphs>
  <TotalTime>1</TotalTime>
  <ScaleCrop>false</ScaleCrop>
  <LinksUpToDate>false</LinksUpToDate>
  <CharactersWithSpaces>1701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2025-10-14T06:04:00Z</dcterms:created>
  <dc:creator>花沫</dc:creator>
  <cp:lastModifiedBy>好好学习</cp:lastModifiedBy>
  <dcterms:modified xsi:type="dcterms:W3CDTF">2025-10-28T10:11:29Z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6DDDE2B4B6E64FC79EBD88DC3DFA73BA_11</vt:lpwstr>
  </property>
  <property fmtid="{D5CDD505-2E9C-101B-9397-08002B2CF9AE}" pid="4" name="KSOTemplateDocerSaveRecord">
    <vt:lpwstr>eyJoZGlkIjoiZGY0MGQ1YTk4N2I5NDA4MjE1OGQ5MDRlZmZhYzNiN2UiLCJ1c2VySWQiOiIxMTM2Mjc3MDc3In0=</vt:lpwstr>
  </property>
</Properties>
</file>