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1"/>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1"/>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1"/>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1"/>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根据同行评价者反馈的内容进行分类，可以将主观题的同行互评的估计方法分为序数估计法和基数估计法。</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序数估计法</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法要求每个同行评价者给出其评价作业的优劣排序，最后将所有同行评价者的部分作业排序进行汇总，得到所有作业的最终排名。目前，主流的序数估计方法有以下的几种方法：排序聚合技术BT将每个函数看作是两两比较的成对偏好分布，通过两两。</w:t>
      </w:r>
    </w:p>
    <w:p>
      <w:pPr>
        <w:pStyle w:val="21"/>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序数估计法将评审活动转化为了一项简单的比较任务，降低了互评的难度。但是，同行互评还存在一些的问题，对于一些水平相近的作业，序数估计在量化时会扩大它们的实际差距</w:t>
      </w:r>
      <w:r>
        <w:rPr>
          <w:rFonts w:hint="eastAsia" w:ascii="Times New Roman" w:hAnsi="Times New Roman" w:eastAsia="宋体" w:cs="Times New Roman"/>
          <w:color w:val="auto"/>
          <w:szCs w:val="21"/>
          <w:lang w:val="en-US" w:eastAsia="zh-CN"/>
        </w:rPr>
        <w:t>，此外序数估计实际上可以通过打分的方式直接排序得到，这也表示，对比直接打分，序数估计实际上造成了一些信息的丢失。</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w:t>
      </w:r>
      <w:bookmarkStart w:id="2" w:name="_GoBack"/>
      <w:bookmarkEnd w:id="2"/>
      <w:r>
        <w:rPr>
          <w:rFonts w:hint="eastAsia" w:ascii="Times New Roman" w:hAnsi="Times New Roman"/>
          <w:b/>
          <w:color w:val="auto"/>
          <w:szCs w:val="21"/>
          <w:lang w:val="en-US" w:eastAsia="zh-CN"/>
        </w:rPr>
        <w:t xml:space="preserve"> 序数估计法</w:t>
      </w:r>
    </w:p>
    <w:p>
      <w:pPr>
        <w:pStyle w:val="21"/>
        <w:rPr>
          <w:rFonts w:hint="default"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而基数估计法要求每个同行评价者为其评价的作业给出一个数字分数，最后根据每份作业获得的所有分数汇总得到真实分数。</w:t>
      </w:r>
      <w:r>
        <w:rPr>
          <w:rFonts w:hint="eastAsia" w:ascii="Times New Roman" w:hAnsi="Times New Roman" w:eastAsia="宋体" w:cs="Times New Roman"/>
          <w:color w:val="auto"/>
          <w:szCs w:val="21"/>
          <w:lang w:val="en-US" w:eastAsia="zh-CN"/>
        </w:rPr>
        <w:t>目前基数估计是绝大部分MOOC平台采用的同行互评的评判方法，对比序数估计，基数估计更能体现作业之间的绝对分数差，可以更加准确的的量化作业之间的分数差距。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加权聚合得到作业的真实分数。XXX提出了RankwithTA，通过半监督的方式每个同行评价者的评分准确性，由教师为部分学生的作业打分，将其视为真实分数，以学生的成绩作为汇总分数的权重，得到更准确的真实分数。而XXX认为将学生的作业成绩等价为评审能力是不全面的。于是提出了SSPA模型，在构建同行评价者的准确性时，将同行评价者与教师评分的差距也作为其影响因素，结合学生的作业成绩来共同决定学生的准确性，进而加权聚合得到学生的真实分数。而生成概率模型则是将学生作业的真实分数、同行评价者的其他属性建模为含隐变量概率分布模型，然后通过可观测的评分信息推演隐变量的值。生成概率模型最早由XXX提出，他们提出了三种概率模型PG1，PG2，PG3。其中效果最好的PG3认为同行评价者的可靠性与其作业的真实分数之间存在联系，于是在两者之间建立了线性关系进行转化，在实验的数据中，PG3的预测分数的准确性在三个模型中是最好的。而XXX认为，线性转化不能准确的表达两者之间的关系，所以在PG3的基础上，XXX将同行评价者的可靠性建模为均值为真实分数的概率分布模型，提出了PG4和PG5，来更好的表示两者之间的联系。其中PG4假设可靠性服从伽马分布，而PG5服从高斯分布。然而，上诉模型都只依靠同行互评者打分这一个可观测的变量，使得预测模型存在数据稀疏的缺陷。因此，XXX在PG4和PG5上加入了相对分数等级，即同一评分者不同提交成绩的绝对同伴等级的差异，构成了PG6和PG7，有效地解决了数据稀疏性带来的问题。然而，现有的概率生成模型在对学生的可靠性建模时，将学生作业的真实分数作为主要的影响因素，但是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可靠性的建模方法。我们认为评价的准确性可以直接体现为学生和教师之间的评分差距，差距越小，说明学生评价的可靠性越高。并且，在一个周期之内，学生的可靠性不会发生太大的变化。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w:t>
      </w:r>
      <w:r>
        <w:rPr>
          <w:rFonts w:hint="eastAsia" w:hAnsi="宋体"/>
          <w:color w:val="auto"/>
          <w:sz w:val="18"/>
          <w:szCs w:val="18"/>
        </w:rPr>
        <w:t>（我刊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w:t>
      </w:r>
      <w:r>
        <w:rPr>
          <w:rFonts w:hint="eastAsia" w:hAnsi="宋体"/>
          <w:color w:val="auto"/>
          <w:sz w:val="18"/>
          <w:szCs w:val="18"/>
        </w:rPr>
        <w:t>职称（需</w:t>
      </w:r>
      <w:r>
        <w:rPr>
          <w:rFonts w:hAnsi="宋体"/>
          <w:color w:val="auto"/>
          <w:sz w:val="18"/>
          <w:szCs w:val="18"/>
        </w:rPr>
        <w:t>与第一作者同级或更高</w:t>
      </w:r>
      <w:r>
        <w:rPr>
          <w:rFonts w:hint="eastAsia" w:hAnsi="宋体"/>
          <w:color w:val="auto"/>
          <w:sz w:val="18"/>
          <w:szCs w:val="18"/>
        </w:rPr>
        <w:t>）</w:t>
      </w:r>
      <w:r>
        <w:rPr>
          <w:rFonts w:hint="eastAsia" w:hAnsi="宋体"/>
          <w:color w:val="auto"/>
          <w:sz w:val="18"/>
          <w:szCs w:val="18"/>
        </w:rPr>
        <w:t>，主要从事研究方向，E-mail：</w:t>
      </w:r>
    </w:p>
    <w:p>
      <w:pPr>
        <w:pStyle w:val="21"/>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在本文中，我们会首先介绍使用的符号，然后介绍我们自定义的互评者准确性的计算方法，最后介绍我们的同行互评概率模型。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文中，我们将使用以下符号。对于所有在线上平台上提交了开放式作业的学生的集合，我们使用U表示，ui表示U中的任意学生。我们用H表示所有提交的开放式作业的集合，hi表示ui提交的作业。我们通常用v表示评价者，通常情况下,所有提交作业的人学生都将作为同行评价者为作业打分，v\in U。接下来是对概率模型的重要概念的定义，这些概念是概率模型中可观测和未观测的潜在变量。表一总结了以下变量。</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可靠性：可靠性表示评价者给出互评分数的准确度，用\tau_v表示。具体反映的是在经历了偏置的校准后，其平均倾向于接近提交的真实分数。在研究中，评价者的可靠性将取决于我们定义的评分准确性。评分准确性越高，表示可靠性越高。</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偏置：偏置表示同行互评者的客观存在的偏见，用b_v表示。具体反应了一个同行互评者存在对于所有互评分数夸大和减低一定分数的倾向。</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真实分数：真实分数表示一个提交的作业按照评分准则的真实打分，用s_i表示,它是未观察到的，需要估计。</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互评分数：互评分数表示同行评价者给作业打出的分数。其中z_i^v表示评价者v为u_i打出的分数。互评分数是可以被观察到的，其集合被表示为Z={ziv|u_i \in U, v \in U}</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相对分数：相对同伴分数表示同一个同行评价者的互评分数之间的差距，用d表示。d^v_{ij}表示评价者v对hi和hj的互评分数之间的差距，即z_i^v和z_j^v之间的绝对差。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根据XXX的描述，同行评价者的可靠性可以由其互评分数与教师之间的差距决定。因此我们定义了一种方式，通过同行评价者的互评分数与教师评价的真实分数，来作为可靠性的建模元素。我们将这个新定义的变量称为同行评价者的准确性。下面讨论计算准确性的方法。</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我们通过同行评价者的互评分数与真实分数之间的差距来计算学生的评价能力。其公式为：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T</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tj表示学生的真实得分，zij表示学生i对j的评分，Ti表示评价者i评价的所有集合中有真实分数的集合。</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定义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获得评价能力。在这个而那些没有被评价审查资源的学生，将会沿用上一次计算留下的评价能力，而他们评价能力将会在互评结束之后，通过概率模型汇总的最终分数作为真实分数，进行更新，以用于下一次的同行互评。所以我们模型的流程图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研究的问题是通过建模互评分数、相对分数、可靠性、偏置、评价能力以及作业的真实分数之间的关系，来有效的估计作业的真实分数。换句话说，我们将问题定义如下：给定同行分数Z、相对分数D和评价能力R，我们会学习所有评价者v\in U，的\tau和b，以及所有的si。</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接下来我们介绍模型RPG6和RPG7.</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RPG6拓展于现有的PG6模型，其中结合了评分者的评价能力。其中RPG6中的随机变量之间的条件依赖结构如图1中的图形模型所示。如图所示，互评分数z、相对分数d和同伴的评价能力r是模型中可观测的随机变量。学生ui提交的真实得分si、评分者的可靠性\tau和偏置b是模型中需要估计的潜在变量。这些潜在变量的先验分布与超参数、、、制定的分布如图所示。由图可知，这些隐变量是彼此联系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eastAsia="华文楷体"/>
          <w:color w:val="auto"/>
          <w:szCs w:val="21"/>
        </w:rPr>
      </w:pPr>
    </w:p>
    <w:p>
      <w:pPr>
        <w:pStyle w:val="26"/>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6"/>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6"/>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6"/>
        <w:spacing w:before="0" w:beforeAutospacing="0" w:after="0" w:afterAutospacing="0"/>
        <w:rPr>
          <w:rFonts w:hint="eastAsia" w:ascii="Times New Roman" w:hAnsi="Times New Roman" w:eastAsia="华文楷体" w:cs="Times New Roman"/>
          <w:color w:val="auto"/>
          <w:szCs w:val="21"/>
        </w:rPr>
      </w:pPr>
    </w:p>
    <w:p>
      <w:pPr>
        <w:pStyle w:val="21"/>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1"/>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1"/>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1"/>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3"/>
        <w:jc w:val="left"/>
        <w:rPr>
          <w:rFonts w:hint="eastAsia" w:hAnsi="宋体" w:eastAsia="宋体"/>
          <w:color w:val="auto"/>
        </w:rPr>
      </w:pPr>
    </w:p>
    <w:p>
      <w:pPr>
        <w:pStyle w:val="23"/>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3"/>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5"/>
              <w:rPr>
                <w:color w:val="auto"/>
              </w:rPr>
            </w:pPr>
            <w:r>
              <w:rPr>
                <w:color w:val="auto"/>
              </w:rPr>
              <w:t>试样</w:t>
            </w:r>
          </w:p>
          <w:p>
            <w:pPr>
              <w:pStyle w:val="25"/>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5"/>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垂直燃烧等级</w:t>
            </w:r>
          </w:p>
          <w:p>
            <w:pPr>
              <w:pStyle w:val="25"/>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水平燃烧等级</w:t>
            </w:r>
          </w:p>
          <w:p>
            <w:pPr>
              <w:pStyle w:val="25"/>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5"/>
              <w:rPr>
                <w:color w:val="auto"/>
              </w:rPr>
            </w:pPr>
            <w:r>
              <w:rPr>
                <w:color w:val="auto"/>
              </w:rPr>
              <w:t>燃烧现象</w:t>
            </w:r>
          </w:p>
          <w:p>
            <w:pPr>
              <w:pStyle w:val="25"/>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A</w:t>
            </w:r>
          </w:p>
        </w:tc>
        <w:tc>
          <w:tcPr>
            <w:tcW w:w="938" w:type="pct"/>
            <w:tcBorders>
              <w:top w:val="nil"/>
              <w:left w:val="nil"/>
              <w:bottom w:val="nil"/>
              <w:right w:val="nil"/>
            </w:tcBorders>
            <w:noWrap w:val="0"/>
            <w:vAlign w:val="center"/>
          </w:tcPr>
          <w:p>
            <w:pPr>
              <w:pStyle w:val="25"/>
              <w:rPr>
                <w:color w:val="auto"/>
              </w:rPr>
            </w:pPr>
            <w:r>
              <w:rPr>
                <w:color w:val="auto"/>
              </w:rPr>
              <w:t>19.0</w:t>
            </w:r>
          </w:p>
        </w:tc>
        <w:tc>
          <w:tcPr>
            <w:tcW w:w="975" w:type="pct"/>
            <w:tcBorders>
              <w:top w:val="nil"/>
              <w:left w:val="nil"/>
              <w:bottom w:val="nil"/>
              <w:right w:val="nil"/>
            </w:tcBorders>
            <w:noWrap w:val="0"/>
            <w:vAlign w:val="center"/>
          </w:tcPr>
          <w:p>
            <w:pPr>
              <w:pStyle w:val="25"/>
              <w:rPr>
                <w:rFonts w:hint="eastAsia"/>
                <w:color w:val="auto"/>
              </w:rPr>
            </w:pPr>
            <w:r>
              <w:rPr>
                <w:color w:val="auto"/>
              </w:rPr>
              <w:t>完全燃烧殆尽</w:t>
            </w:r>
          </w:p>
          <w:p>
            <w:pPr>
              <w:pStyle w:val="25"/>
              <w:rPr>
                <w:color w:val="auto"/>
              </w:rPr>
            </w:pPr>
            <w:r>
              <w:rPr>
                <w:color w:val="auto"/>
              </w:rPr>
              <w:t>Completely burned up</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5"/>
              <w:rPr>
                <w:rFonts w:hint="eastAsia"/>
                <w:color w:val="auto"/>
              </w:rPr>
            </w:pPr>
            <w:r>
              <w:rPr>
                <w:color w:val="auto"/>
              </w:rPr>
              <w:t>严重滴落</w:t>
            </w:r>
          </w:p>
          <w:p>
            <w:pPr>
              <w:pStyle w:val="25"/>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B</w:t>
            </w:r>
          </w:p>
        </w:tc>
        <w:tc>
          <w:tcPr>
            <w:tcW w:w="938" w:type="pct"/>
            <w:tcBorders>
              <w:top w:val="nil"/>
              <w:left w:val="nil"/>
              <w:bottom w:val="nil"/>
              <w:right w:val="nil"/>
            </w:tcBorders>
            <w:noWrap w:val="0"/>
            <w:vAlign w:val="center"/>
          </w:tcPr>
          <w:p>
            <w:pPr>
              <w:pStyle w:val="25"/>
              <w:rPr>
                <w:color w:val="auto"/>
              </w:rPr>
            </w:pPr>
            <w:r>
              <w:rPr>
                <w:color w:val="auto"/>
              </w:rPr>
              <w:t>28.1</w:t>
            </w:r>
          </w:p>
        </w:tc>
        <w:tc>
          <w:tcPr>
            <w:tcW w:w="975" w:type="pct"/>
            <w:tcBorders>
              <w:top w:val="nil"/>
              <w:left w:val="nil"/>
              <w:bottom w:val="nil"/>
              <w:right w:val="nil"/>
            </w:tcBorders>
            <w:noWrap w:val="0"/>
            <w:vAlign w:val="center"/>
          </w:tcPr>
          <w:p>
            <w:pPr>
              <w:pStyle w:val="25"/>
              <w:rPr>
                <w:color w:val="auto"/>
              </w:rPr>
            </w:pPr>
            <w:r>
              <w:rPr>
                <w:color w:val="auto"/>
              </w:rPr>
              <w:t>V-2</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发烟量多，严重</w:t>
            </w:r>
            <w:r>
              <w:rPr>
                <w:color w:val="auto"/>
              </w:rPr>
              <w:t>滴落</w:t>
            </w:r>
          </w:p>
          <w:p>
            <w:pPr>
              <w:pStyle w:val="25"/>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C1</w:t>
            </w:r>
          </w:p>
        </w:tc>
        <w:tc>
          <w:tcPr>
            <w:tcW w:w="938" w:type="pct"/>
            <w:tcBorders>
              <w:top w:val="nil"/>
              <w:left w:val="nil"/>
              <w:bottom w:val="nil"/>
              <w:right w:val="nil"/>
            </w:tcBorders>
            <w:noWrap w:val="0"/>
            <w:vAlign w:val="center"/>
          </w:tcPr>
          <w:p>
            <w:pPr>
              <w:pStyle w:val="25"/>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C2</w:t>
            </w:r>
          </w:p>
        </w:tc>
        <w:tc>
          <w:tcPr>
            <w:tcW w:w="938" w:type="pct"/>
            <w:tcBorders>
              <w:top w:val="nil"/>
              <w:left w:val="nil"/>
              <w:bottom w:val="nil"/>
              <w:right w:val="nil"/>
            </w:tcBorders>
            <w:noWrap w:val="0"/>
            <w:vAlign w:val="center"/>
          </w:tcPr>
          <w:p>
            <w:pPr>
              <w:pStyle w:val="25"/>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5"/>
              <w:rPr>
                <w:color w:val="auto"/>
              </w:rPr>
            </w:pPr>
            <w:r>
              <w:rPr>
                <w:color w:val="auto"/>
              </w:rPr>
              <w:t>C3</w:t>
            </w:r>
          </w:p>
        </w:tc>
        <w:tc>
          <w:tcPr>
            <w:tcW w:w="938" w:type="pct"/>
            <w:tcBorders>
              <w:top w:val="nil"/>
              <w:left w:val="nil"/>
              <w:right w:val="nil"/>
            </w:tcBorders>
            <w:noWrap w:val="0"/>
            <w:vAlign w:val="center"/>
          </w:tcPr>
          <w:p>
            <w:pPr>
              <w:pStyle w:val="25"/>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5"/>
              <w:rPr>
                <w:color w:val="auto"/>
              </w:rPr>
            </w:pPr>
            <w:r>
              <w:rPr>
                <w:color w:val="auto"/>
              </w:rPr>
              <w:t>V-0</w:t>
            </w:r>
          </w:p>
        </w:tc>
        <w:tc>
          <w:tcPr>
            <w:tcW w:w="980" w:type="pct"/>
            <w:tcBorders>
              <w:top w:val="nil"/>
              <w:left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5"/>
              <w:rPr>
                <w:color w:val="auto"/>
              </w:rPr>
            </w:pPr>
            <w:r>
              <w:rPr>
                <w:color w:val="auto"/>
              </w:rPr>
              <w:t>C4</w:t>
            </w:r>
          </w:p>
        </w:tc>
        <w:tc>
          <w:tcPr>
            <w:tcW w:w="938" w:type="pct"/>
            <w:tcBorders>
              <w:top w:val="nil"/>
              <w:left w:val="nil"/>
              <w:bottom w:val="single" w:color="auto" w:sz="4" w:space="0"/>
              <w:right w:val="nil"/>
            </w:tcBorders>
            <w:noWrap w:val="0"/>
            <w:vAlign w:val="center"/>
          </w:tcPr>
          <w:p>
            <w:pPr>
              <w:pStyle w:val="25"/>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5"/>
              <w:rPr>
                <w:color w:val="auto"/>
              </w:rPr>
            </w:pPr>
            <w:r>
              <w:rPr>
                <w:color w:val="auto"/>
              </w:rPr>
              <w:t>V-0</w:t>
            </w:r>
          </w:p>
        </w:tc>
        <w:tc>
          <w:tcPr>
            <w:tcW w:w="98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bl>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1"/>
        <w:rPr>
          <w:rFonts w:hint="eastAsia" w:ascii="Times New Roman" w:hAnsi="Times New Roman"/>
          <w:color w:val="auto"/>
          <w:szCs w:val="21"/>
        </w:rPr>
      </w:pPr>
      <w:r>
        <w:rPr>
          <w:rFonts w:ascii="宋体" w:hAnsi="宋体"/>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1"/>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1"/>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62F6C1F"/>
    <w:rsid w:val="068F11DA"/>
    <w:rsid w:val="06D870D9"/>
    <w:rsid w:val="07612C2A"/>
    <w:rsid w:val="078057A6"/>
    <w:rsid w:val="07D65CF0"/>
    <w:rsid w:val="091361A6"/>
    <w:rsid w:val="09BB0D18"/>
    <w:rsid w:val="0A4725AB"/>
    <w:rsid w:val="0A51342A"/>
    <w:rsid w:val="0AF50259"/>
    <w:rsid w:val="0B3643CE"/>
    <w:rsid w:val="0BAB4DBC"/>
    <w:rsid w:val="0BCD4D32"/>
    <w:rsid w:val="0C5E1E2E"/>
    <w:rsid w:val="0C6F5DE9"/>
    <w:rsid w:val="0D4607D5"/>
    <w:rsid w:val="0E855450"/>
    <w:rsid w:val="0E8B557C"/>
    <w:rsid w:val="0F943B03"/>
    <w:rsid w:val="10272B2C"/>
    <w:rsid w:val="10356198"/>
    <w:rsid w:val="10A976AA"/>
    <w:rsid w:val="12505221"/>
    <w:rsid w:val="12624579"/>
    <w:rsid w:val="14031E6A"/>
    <w:rsid w:val="14A21D72"/>
    <w:rsid w:val="15173C06"/>
    <w:rsid w:val="1525330E"/>
    <w:rsid w:val="156C2EC6"/>
    <w:rsid w:val="15806971"/>
    <w:rsid w:val="15943FE5"/>
    <w:rsid w:val="15FF19F8"/>
    <w:rsid w:val="163C5738"/>
    <w:rsid w:val="164200CB"/>
    <w:rsid w:val="16E266C0"/>
    <w:rsid w:val="17920BDE"/>
    <w:rsid w:val="17A032FB"/>
    <w:rsid w:val="17AD77C6"/>
    <w:rsid w:val="18706C6E"/>
    <w:rsid w:val="198729C4"/>
    <w:rsid w:val="19AF614C"/>
    <w:rsid w:val="19C4670E"/>
    <w:rsid w:val="19CF7EC7"/>
    <w:rsid w:val="1B083691"/>
    <w:rsid w:val="1CEB5A11"/>
    <w:rsid w:val="1DA023FE"/>
    <w:rsid w:val="1DB339E0"/>
    <w:rsid w:val="2037116F"/>
    <w:rsid w:val="207C5907"/>
    <w:rsid w:val="20B61DE1"/>
    <w:rsid w:val="21380A48"/>
    <w:rsid w:val="215A3157"/>
    <w:rsid w:val="221B7DC1"/>
    <w:rsid w:val="224D0523"/>
    <w:rsid w:val="22EC6A43"/>
    <w:rsid w:val="234436D4"/>
    <w:rsid w:val="241B7553"/>
    <w:rsid w:val="24A26904"/>
    <w:rsid w:val="24A60B06"/>
    <w:rsid w:val="25B20DC9"/>
    <w:rsid w:val="26664E9A"/>
    <w:rsid w:val="2689617A"/>
    <w:rsid w:val="26B62F9B"/>
    <w:rsid w:val="271D4F12"/>
    <w:rsid w:val="2840157B"/>
    <w:rsid w:val="290A0F1C"/>
    <w:rsid w:val="293957C6"/>
    <w:rsid w:val="29F34A82"/>
    <w:rsid w:val="2B0C0F7B"/>
    <w:rsid w:val="2D260712"/>
    <w:rsid w:val="2DFB0E33"/>
    <w:rsid w:val="2E140F22"/>
    <w:rsid w:val="2E912E13"/>
    <w:rsid w:val="2EA661F2"/>
    <w:rsid w:val="2EB57234"/>
    <w:rsid w:val="2EE95130"/>
    <w:rsid w:val="2FB120F1"/>
    <w:rsid w:val="300C36FC"/>
    <w:rsid w:val="307F650E"/>
    <w:rsid w:val="30C43855"/>
    <w:rsid w:val="32316B26"/>
    <w:rsid w:val="32676A97"/>
    <w:rsid w:val="32AE46C6"/>
    <w:rsid w:val="3321758E"/>
    <w:rsid w:val="33582884"/>
    <w:rsid w:val="33FC7E90"/>
    <w:rsid w:val="344C063B"/>
    <w:rsid w:val="35C91817"/>
    <w:rsid w:val="36511F38"/>
    <w:rsid w:val="36B27D0B"/>
    <w:rsid w:val="36D93CDC"/>
    <w:rsid w:val="371A1291"/>
    <w:rsid w:val="37537F32"/>
    <w:rsid w:val="384A4E91"/>
    <w:rsid w:val="38E52E0C"/>
    <w:rsid w:val="3922196A"/>
    <w:rsid w:val="397F3113"/>
    <w:rsid w:val="3AAF1923"/>
    <w:rsid w:val="3AE01ADD"/>
    <w:rsid w:val="3AE8273F"/>
    <w:rsid w:val="3CFC6B49"/>
    <w:rsid w:val="3F23643C"/>
    <w:rsid w:val="41BA1803"/>
    <w:rsid w:val="42213106"/>
    <w:rsid w:val="42E5185A"/>
    <w:rsid w:val="43A4391F"/>
    <w:rsid w:val="44757A8F"/>
    <w:rsid w:val="449C6A74"/>
    <w:rsid w:val="45124F88"/>
    <w:rsid w:val="45725A27"/>
    <w:rsid w:val="457E261E"/>
    <w:rsid w:val="462F4289"/>
    <w:rsid w:val="46C16C66"/>
    <w:rsid w:val="46FA2178"/>
    <w:rsid w:val="472B0583"/>
    <w:rsid w:val="47342347"/>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786B55"/>
    <w:rsid w:val="50406E4E"/>
    <w:rsid w:val="511E6A63"/>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F347726"/>
    <w:rsid w:val="6F926B42"/>
    <w:rsid w:val="6FBA3333"/>
    <w:rsid w:val="70057B4E"/>
    <w:rsid w:val="708720A4"/>
    <w:rsid w:val="711C66C3"/>
    <w:rsid w:val="71657EE6"/>
    <w:rsid w:val="71AA0173"/>
    <w:rsid w:val="735369DB"/>
    <w:rsid w:val="743A2A0E"/>
    <w:rsid w:val="74E90FB2"/>
    <w:rsid w:val="74F636CF"/>
    <w:rsid w:val="7524023C"/>
    <w:rsid w:val="76051E1C"/>
    <w:rsid w:val="764F3097"/>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5"/>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7"/>
    <w:qFormat/>
    <w:uiPriority w:val="0"/>
    <w:rPr>
      <w:b/>
      <w:bCs/>
    </w:rPr>
  </w:style>
  <w:style w:type="character" w:styleId="11">
    <w:name w:val="page number"/>
    <w:basedOn w:val="10"/>
    <w:uiPriority w:val="0"/>
  </w:style>
  <w:style w:type="character" w:styleId="12">
    <w:name w:val="Emphasis"/>
    <w:qFormat/>
    <w:uiPriority w:val="0"/>
    <w:rPr>
      <w:color w:val="CC0000"/>
    </w:rPr>
  </w:style>
  <w:style w:type="character" w:styleId="13">
    <w:name w:val="annotation reference"/>
    <w:qFormat/>
    <w:uiPriority w:val="0"/>
    <w:rPr>
      <w:sz w:val="21"/>
      <w:szCs w:val="21"/>
    </w:rPr>
  </w:style>
  <w:style w:type="character" w:customStyle="1" w:styleId="14">
    <w:name w:val="批注文字 Char"/>
    <w:link w:val="2"/>
    <w:uiPriority w:val="0"/>
    <w:rPr>
      <w:kern w:val="2"/>
      <w:sz w:val="21"/>
      <w:szCs w:val="24"/>
    </w:rPr>
  </w:style>
  <w:style w:type="character" w:customStyle="1" w:styleId="15">
    <w:name w:val="日期 Char"/>
    <w:link w:val="4"/>
    <w:uiPriority w:val="0"/>
    <w:rPr>
      <w:kern w:val="2"/>
      <w:sz w:val="21"/>
      <w:szCs w:val="24"/>
    </w:rPr>
  </w:style>
  <w:style w:type="character" w:customStyle="1" w:styleId="16">
    <w:name w:val="页眉 Char"/>
    <w:link w:val="7"/>
    <w:qFormat/>
    <w:uiPriority w:val="0"/>
    <w:rPr>
      <w:kern w:val="2"/>
      <w:sz w:val="18"/>
      <w:szCs w:val="18"/>
    </w:rPr>
  </w:style>
  <w:style w:type="character" w:customStyle="1" w:styleId="17">
    <w:name w:val="批注主题 Char"/>
    <w:link w:val="8"/>
    <w:uiPriority w:val="0"/>
    <w:rPr>
      <w:b/>
      <w:bCs/>
      <w:kern w:val="2"/>
      <w:sz w:val="21"/>
      <w:szCs w:val="24"/>
    </w:rPr>
  </w:style>
  <w:style w:type="character" w:customStyle="1" w:styleId="18">
    <w:name w:val="high-light-bg4"/>
    <w:basedOn w:val="10"/>
    <w:uiPriority w:val="0"/>
  </w:style>
  <w:style w:type="character" w:customStyle="1" w:styleId="19">
    <w:name w:val="def"/>
    <w:basedOn w:val="10"/>
    <w:uiPriority w:val="0"/>
  </w:style>
  <w:style w:type="paragraph" w:customStyle="1" w:styleId="20">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1">
    <w:name w:val="List Paragraph"/>
    <w:basedOn w:val="1"/>
    <w:qFormat/>
    <w:uiPriority w:val="0"/>
    <w:pPr>
      <w:ind w:firstLine="420" w:firstLineChars="200"/>
    </w:pPr>
    <w:rPr>
      <w:rFonts w:ascii="Calibri" w:hAnsi="Calibri"/>
      <w:szCs w:val="22"/>
    </w:rPr>
  </w:style>
  <w:style w:type="character" w:customStyle="1" w:styleId="22">
    <w:name w:val="表头 Char"/>
    <w:link w:val="23"/>
    <w:uiPriority w:val="0"/>
    <w:rPr>
      <w:rFonts w:eastAsia="楷体_GB2312"/>
      <w:bCs/>
      <w:kern w:val="44"/>
      <w:sz w:val="21"/>
      <w:szCs w:val="44"/>
    </w:rPr>
  </w:style>
  <w:style w:type="paragraph" w:customStyle="1" w:styleId="23">
    <w:name w:val="表头"/>
    <w:basedOn w:val="1"/>
    <w:link w:val="22"/>
    <w:qFormat/>
    <w:uiPriority w:val="0"/>
    <w:pPr>
      <w:widowControl/>
      <w:jc w:val="center"/>
    </w:pPr>
    <w:rPr>
      <w:rFonts w:eastAsia="楷体_GB2312"/>
      <w:bCs/>
      <w:kern w:val="44"/>
      <w:szCs w:val="44"/>
    </w:rPr>
  </w:style>
  <w:style w:type="character" w:customStyle="1" w:styleId="24">
    <w:name w:val="表内容 Char"/>
    <w:link w:val="25"/>
    <w:uiPriority w:val="0"/>
    <w:rPr>
      <w:rFonts w:hAnsi="宋体"/>
      <w:sz w:val="21"/>
      <w:szCs w:val="21"/>
      <w:lang w:val="en-US" w:eastAsia="zh-CN" w:bidi="ar-SA"/>
    </w:rPr>
  </w:style>
  <w:style w:type="paragraph" w:customStyle="1" w:styleId="25">
    <w:name w:val="表内容"/>
    <w:link w:val="24"/>
    <w:qFormat/>
    <w:uiPriority w:val="0"/>
    <w:pPr>
      <w:jc w:val="center"/>
    </w:pPr>
    <w:rPr>
      <w:rFonts w:ascii="Times New Roman" w:hAnsi="宋体" w:eastAsia="宋体" w:cs="Times New Roman"/>
      <w:sz w:val="21"/>
      <w:szCs w:val="21"/>
      <w:lang w:val="en-US" w:eastAsia="zh-CN" w:bidi="ar-SA"/>
    </w:rPr>
  </w:style>
  <w:style w:type="paragraph" w:customStyle="1" w:styleId="26">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7">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7</Pages>
  <Words>7829</Words>
  <Characters>9110</Characters>
  <Lines>26</Lines>
  <Paragraphs>7</Paragraphs>
  <TotalTime>0</TotalTime>
  <ScaleCrop>false</ScaleCrop>
  <LinksUpToDate>false</LinksUpToDate>
  <CharactersWithSpaces>9264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2022-12-04T09:41:25Z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