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1"/>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1"/>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1"/>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1"/>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1"/>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w:t>
      </w:r>
      <w:r>
        <w:rPr>
          <w:rFonts w:hint="eastAsia" w:hAnsi="宋体"/>
          <w:color w:val="auto"/>
          <w:sz w:val="18"/>
          <w:szCs w:val="18"/>
        </w:rPr>
        <w:t>（我刊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w:t>
      </w:r>
      <w:r>
        <w:rPr>
          <w:rFonts w:hint="eastAsia" w:hAnsi="宋体"/>
          <w:color w:val="auto"/>
          <w:sz w:val="18"/>
          <w:szCs w:val="18"/>
        </w:rPr>
        <w:t>职称（需</w:t>
      </w:r>
      <w:r>
        <w:rPr>
          <w:rFonts w:hAnsi="宋体"/>
          <w:color w:val="auto"/>
          <w:sz w:val="18"/>
          <w:szCs w:val="18"/>
        </w:rPr>
        <w:t>与第一作者同级或更高</w:t>
      </w:r>
      <w:r>
        <w:rPr>
          <w:rFonts w:hint="eastAsia" w:hAnsi="宋体"/>
          <w:color w:val="auto"/>
          <w:sz w:val="18"/>
          <w:szCs w:val="18"/>
        </w:rPr>
        <w:t>）</w:t>
      </w:r>
      <w:r>
        <w:rPr>
          <w:rFonts w:hint="eastAsia" w:hAnsi="宋体"/>
          <w:color w:val="auto"/>
          <w:sz w:val="18"/>
          <w:szCs w:val="18"/>
        </w:rPr>
        <w:t>，主要从事研究方向，E-mail：</w:t>
      </w:r>
    </w:p>
    <w:p>
      <w:pPr>
        <w:pStyle w:val="21"/>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1"/>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对于所有在线上平台上提交了开放式作业的学生的集合，我们使用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中的任意学生。</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0000FF"/>
          <w:kern w:val="2"/>
          <w:sz w:val="21"/>
          <w:szCs w:val="21"/>
          <w:lang w:val="en-US" w:eastAsia="zh-CN"/>
        </w:rPr>
      </w:pPr>
      <w:r>
        <w:rPr>
          <w:rFonts w:hint="eastAsia" w:cs="Times New Roman"/>
          <w:color w:val="0000FF"/>
          <w:kern w:val="2"/>
          <w:sz w:val="21"/>
          <w:szCs w:val="21"/>
          <w:lang w:val="en-US" w:eastAsia="zh-CN"/>
        </w:rPr>
        <w:t>我们用</w:t>
      </w:r>
      <w:r>
        <w:rPr>
          <w:rFonts w:hint="default" w:ascii="Times New Roman" w:hAnsi="Times New Roman" w:cs="Times New Roman"/>
          <w:i/>
          <w:iCs/>
          <w:color w:val="0000FF"/>
          <w:kern w:val="2"/>
          <w:sz w:val="21"/>
          <w:szCs w:val="21"/>
          <w:lang w:val="en-US" w:eastAsia="zh-CN"/>
        </w:rPr>
        <w:t>H</w:t>
      </w:r>
      <w:r>
        <w:rPr>
          <w:rFonts w:hint="eastAsia" w:cs="Times New Roman"/>
          <w:color w:val="0000FF"/>
          <w:kern w:val="2"/>
          <w:sz w:val="21"/>
          <w:szCs w:val="21"/>
          <w:lang w:val="en-US" w:eastAsia="zh-CN"/>
        </w:rPr>
        <w:t>表示所有提交的开放式作业的集合，</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ℎ</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表示</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u</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提交的作业。</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。在互评活动中，一名同行评价者会为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份作业评分，其作业的满分为</w:t>
      </w:r>
      <m:oMath>
        <m:r>
          <m:rPr/>
          <w:rPr>
            <w:rFonts w:hint="default" w:ascii="Cambria Math" w:hAnsi="Cambria Math" w:cs="Times New Roman"/>
            <w:color w:val="auto"/>
            <w:kern w:val="2"/>
            <w:sz w:val="21"/>
            <w:szCs w:val="21"/>
            <w:lang w:val="en-US"/>
          </w:rPr>
          <m:t>φ</m:t>
        </m:r>
      </m:oMath>
      <w:r>
        <m:rP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：真实分数是隐变量，表示一份作业严格按照评分准则得到的分数，本文中，我们将教师的评分也定义为真实分数。真实分数用字母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：偏见是隐变量，表示一个同行互评者在互评时夸大和缩小一定分数的倾向,是同行评价者的存在客观属性。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的偏见。在我们的概率模型中，评价者的可靠性将取决于评分能力。</w:t>
      </w:r>
    </w:p>
    <w:p>
      <w:pPr>
        <w:pStyle w:val="2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为学生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m:rP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6"/>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偏置：偏置表示同行互评者的客观存在的偏见，用b_v表示。具体反应了一个同行互评者存在对于所有互评分数夸大和减低一定分数的倾向。</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真实分数：真实分数表示一个提交的作业按照评分准则的真实打分，用s_i表示,它是未观察到的，需要估计。</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表一</w:t>
      </w:r>
    </w:p>
    <w:p>
      <w:pPr>
        <w:pStyle w:val="21"/>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m:rP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以此通过公式，我们可以得到每个学生的评价能力，用于下一次的同行互评。通过实验，我们验证了每个学生的评价能力在迭代互评过程中很少发生变化。也就是说，认真的人会一直认真。所以为了能够少量的得到学生的准确性，我们通过最好的方式来对学会说呢过，</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，我们会学习所有评价者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w:t>
      </w:r>
    </w:p>
    <w:p>
      <w:pPr>
        <w:pStyle w:val="21"/>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eastAsia"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eastAsia"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两个概率模型。其中，</w:t>
      </w:r>
      <w:r>
        <w:rPr>
          <w:rFonts w:hint="default" w:ascii="Times New Roman" w:hAnsi="Times New Roman" w:cs="Times New Roman"/>
          <w:i/>
          <w:iCs/>
          <w:color w:val="auto"/>
          <w:kern w:val="2"/>
          <w:sz w:val="21"/>
          <w:szCs w:val="21"/>
          <w:lang w:val="en-US" w:eastAsia="zh-CN"/>
        </w:rPr>
        <w:t>RPG</w:t>
      </w:r>
      <w:r>
        <w:rPr>
          <w:rFonts w:hint="eastAsia" w:cs="Times New Roman"/>
          <w:color w:val="auto"/>
          <w:kern w:val="2"/>
          <w:sz w:val="21"/>
          <w:szCs w:val="21"/>
          <w:vertAlign w:val="subscript"/>
          <w:lang w:val="en-US" w:eastAsia="zh-CN"/>
        </w:rPr>
        <w:t>6</w:t>
      </w:r>
      <w:r>
        <w:rPr>
          <w:rFonts w:hint="eastAsia" w:cs="Times New Roman"/>
          <w:color w:val="auto"/>
          <w:kern w:val="2"/>
          <w:sz w:val="21"/>
          <w:szCs w:val="21"/>
          <w:lang w:val="en-US" w:eastAsia="zh-CN"/>
        </w:rPr>
        <w:t>拓展于现有的PG6模型，其随机变量之间的条件依赖结构如图1中的图形模型所示。如图所示，互评分数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αβγη</m:t>
        </m:r>
      </m:oMath>
      <w:r>
        <w:rPr>
          <w:rFonts w:hint="eastAsia" w:cs="Times New Roman"/>
          <w:color w:val="auto"/>
          <w:kern w:val="2"/>
          <w:sz w:val="21"/>
          <w:szCs w:val="21"/>
          <w:lang w:val="en-US" w:eastAsia="zh-CN"/>
        </w:rPr>
        <w:t>制定的分布如图所示。由图可知，这些隐变量是彼此联系的。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w:t>
      </w:r>
      <w:bookmarkStart w:id="2" w:name="_GoBack"/>
      <w:bookmarkEnd w:id="2"/>
      <w:r>
        <w:rPr>
          <w:rFonts w:hint="eastAsia" w:cs="Times New Roman"/>
          <w:color w:val="auto"/>
          <w:kern w:val="2"/>
          <w:sz w:val="21"/>
          <w:szCs w:val="21"/>
          <w:lang w:val="en-US" w:eastAsia="zh-CN"/>
        </w:rPr>
        <w:t>到学生的真实分数。由于我们需要在互评结果出现之前得到学生的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eastAsia="华文楷体"/>
          <w:color w:val="auto"/>
          <w:szCs w:val="21"/>
        </w:rPr>
      </w:pPr>
    </w:p>
    <w:p>
      <w:pPr>
        <w:pStyle w:val="26"/>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6"/>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6"/>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6"/>
        <w:spacing w:before="0" w:beforeAutospacing="0" w:after="0" w:afterAutospacing="0"/>
        <w:rPr>
          <w:rFonts w:hint="eastAsia" w:ascii="Times New Roman" w:hAnsi="Times New Roman" w:eastAsia="华文楷体" w:cs="Times New Roman"/>
          <w:color w:val="auto"/>
          <w:szCs w:val="21"/>
        </w:rPr>
      </w:pPr>
    </w:p>
    <w:p>
      <w:pPr>
        <w:pStyle w:val="21"/>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1"/>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1"/>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1"/>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3"/>
        <w:jc w:val="left"/>
        <w:rPr>
          <w:rFonts w:hint="eastAsia" w:hAnsi="宋体" w:eastAsia="宋体"/>
          <w:color w:val="auto"/>
        </w:rPr>
      </w:pPr>
    </w:p>
    <w:p>
      <w:pPr>
        <w:pStyle w:val="23"/>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3"/>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5"/>
              <w:rPr>
                <w:color w:val="auto"/>
              </w:rPr>
            </w:pPr>
            <w:r>
              <w:rPr>
                <w:color w:val="auto"/>
              </w:rPr>
              <w:t>试样</w:t>
            </w:r>
          </w:p>
          <w:p>
            <w:pPr>
              <w:pStyle w:val="25"/>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5"/>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垂直燃烧等级</w:t>
            </w:r>
          </w:p>
          <w:p>
            <w:pPr>
              <w:pStyle w:val="25"/>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水平燃烧等级</w:t>
            </w:r>
          </w:p>
          <w:p>
            <w:pPr>
              <w:pStyle w:val="25"/>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5"/>
              <w:rPr>
                <w:color w:val="auto"/>
              </w:rPr>
            </w:pPr>
            <w:r>
              <w:rPr>
                <w:color w:val="auto"/>
              </w:rPr>
              <w:t>燃烧现象</w:t>
            </w:r>
          </w:p>
          <w:p>
            <w:pPr>
              <w:pStyle w:val="25"/>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A</w:t>
            </w:r>
          </w:p>
        </w:tc>
        <w:tc>
          <w:tcPr>
            <w:tcW w:w="938" w:type="pct"/>
            <w:tcBorders>
              <w:top w:val="nil"/>
              <w:left w:val="nil"/>
              <w:bottom w:val="nil"/>
              <w:right w:val="nil"/>
            </w:tcBorders>
            <w:noWrap w:val="0"/>
            <w:vAlign w:val="center"/>
          </w:tcPr>
          <w:p>
            <w:pPr>
              <w:pStyle w:val="25"/>
              <w:rPr>
                <w:color w:val="auto"/>
              </w:rPr>
            </w:pPr>
            <w:r>
              <w:rPr>
                <w:color w:val="auto"/>
              </w:rPr>
              <w:t>19.0</w:t>
            </w:r>
          </w:p>
        </w:tc>
        <w:tc>
          <w:tcPr>
            <w:tcW w:w="975" w:type="pct"/>
            <w:tcBorders>
              <w:top w:val="nil"/>
              <w:left w:val="nil"/>
              <w:bottom w:val="nil"/>
              <w:right w:val="nil"/>
            </w:tcBorders>
            <w:noWrap w:val="0"/>
            <w:vAlign w:val="center"/>
          </w:tcPr>
          <w:p>
            <w:pPr>
              <w:pStyle w:val="25"/>
              <w:rPr>
                <w:rFonts w:hint="eastAsia"/>
                <w:color w:val="auto"/>
              </w:rPr>
            </w:pPr>
            <w:r>
              <w:rPr>
                <w:color w:val="auto"/>
              </w:rPr>
              <w:t>完全燃烧殆尽</w:t>
            </w:r>
          </w:p>
          <w:p>
            <w:pPr>
              <w:pStyle w:val="25"/>
              <w:rPr>
                <w:color w:val="auto"/>
              </w:rPr>
            </w:pPr>
            <w:r>
              <w:rPr>
                <w:color w:val="auto"/>
              </w:rPr>
              <w:t>Completely burned up</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5"/>
              <w:rPr>
                <w:rFonts w:hint="eastAsia"/>
                <w:color w:val="auto"/>
              </w:rPr>
            </w:pPr>
            <w:r>
              <w:rPr>
                <w:color w:val="auto"/>
              </w:rPr>
              <w:t>严重滴落</w:t>
            </w:r>
          </w:p>
          <w:p>
            <w:pPr>
              <w:pStyle w:val="25"/>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B</w:t>
            </w:r>
          </w:p>
        </w:tc>
        <w:tc>
          <w:tcPr>
            <w:tcW w:w="938" w:type="pct"/>
            <w:tcBorders>
              <w:top w:val="nil"/>
              <w:left w:val="nil"/>
              <w:bottom w:val="nil"/>
              <w:right w:val="nil"/>
            </w:tcBorders>
            <w:noWrap w:val="0"/>
            <w:vAlign w:val="center"/>
          </w:tcPr>
          <w:p>
            <w:pPr>
              <w:pStyle w:val="25"/>
              <w:rPr>
                <w:color w:val="auto"/>
              </w:rPr>
            </w:pPr>
            <w:r>
              <w:rPr>
                <w:color w:val="auto"/>
              </w:rPr>
              <w:t>28.1</w:t>
            </w:r>
          </w:p>
        </w:tc>
        <w:tc>
          <w:tcPr>
            <w:tcW w:w="975" w:type="pct"/>
            <w:tcBorders>
              <w:top w:val="nil"/>
              <w:left w:val="nil"/>
              <w:bottom w:val="nil"/>
              <w:right w:val="nil"/>
            </w:tcBorders>
            <w:noWrap w:val="0"/>
            <w:vAlign w:val="center"/>
          </w:tcPr>
          <w:p>
            <w:pPr>
              <w:pStyle w:val="25"/>
              <w:rPr>
                <w:color w:val="auto"/>
              </w:rPr>
            </w:pPr>
            <w:r>
              <w:rPr>
                <w:color w:val="auto"/>
              </w:rPr>
              <w:t>V-2</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发烟量多，严重</w:t>
            </w:r>
            <w:r>
              <w:rPr>
                <w:color w:val="auto"/>
              </w:rPr>
              <w:t>滴落</w:t>
            </w:r>
          </w:p>
          <w:p>
            <w:pPr>
              <w:pStyle w:val="25"/>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C1</w:t>
            </w:r>
          </w:p>
        </w:tc>
        <w:tc>
          <w:tcPr>
            <w:tcW w:w="938" w:type="pct"/>
            <w:tcBorders>
              <w:top w:val="nil"/>
              <w:left w:val="nil"/>
              <w:bottom w:val="nil"/>
              <w:right w:val="nil"/>
            </w:tcBorders>
            <w:noWrap w:val="0"/>
            <w:vAlign w:val="center"/>
          </w:tcPr>
          <w:p>
            <w:pPr>
              <w:pStyle w:val="25"/>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C2</w:t>
            </w:r>
          </w:p>
        </w:tc>
        <w:tc>
          <w:tcPr>
            <w:tcW w:w="938" w:type="pct"/>
            <w:tcBorders>
              <w:top w:val="nil"/>
              <w:left w:val="nil"/>
              <w:bottom w:val="nil"/>
              <w:right w:val="nil"/>
            </w:tcBorders>
            <w:noWrap w:val="0"/>
            <w:vAlign w:val="center"/>
          </w:tcPr>
          <w:p>
            <w:pPr>
              <w:pStyle w:val="25"/>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5"/>
              <w:rPr>
                <w:color w:val="auto"/>
              </w:rPr>
            </w:pPr>
            <w:r>
              <w:rPr>
                <w:color w:val="auto"/>
              </w:rPr>
              <w:t>C3</w:t>
            </w:r>
          </w:p>
        </w:tc>
        <w:tc>
          <w:tcPr>
            <w:tcW w:w="938" w:type="pct"/>
            <w:tcBorders>
              <w:top w:val="nil"/>
              <w:left w:val="nil"/>
              <w:right w:val="nil"/>
            </w:tcBorders>
            <w:noWrap w:val="0"/>
            <w:vAlign w:val="center"/>
          </w:tcPr>
          <w:p>
            <w:pPr>
              <w:pStyle w:val="25"/>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5"/>
              <w:rPr>
                <w:color w:val="auto"/>
              </w:rPr>
            </w:pPr>
            <w:r>
              <w:rPr>
                <w:color w:val="auto"/>
              </w:rPr>
              <w:t>V-0</w:t>
            </w:r>
          </w:p>
        </w:tc>
        <w:tc>
          <w:tcPr>
            <w:tcW w:w="980" w:type="pct"/>
            <w:tcBorders>
              <w:top w:val="nil"/>
              <w:left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5"/>
              <w:rPr>
                <w:color w:val="auto"/>
              </w:rPr>
            </w:pPr>
            <w:r>
              <w:rPr>
                <w:color w:val="auto"/>
              </w:rPr>
              <w:t>C4</w:t>
            </w:r>
          </w:p>
        </w:tc>
        <w:tc>
          <w:tcPr>
            <w:tcW w:w="938" w:type="pct"/>
            <w:tcBorders>
              <w:top w:val="nil"/>
              <w:left w:val="nil"/>
              <w:bottom w:val="single" w:color="auto" w:sz="4" w:space="0"/>
              <w:right w:val="nil"/>
            </w:tcBorders>
            <w:noWrap w:val="0"/>
            <w:vAlign w:val="center"/>
          </w:tcPr>
          <w:p>
            <w:pPr>
              <w:pStyle w:val="25"/>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5"/>
              <w:rPr>
                <w:color w:val="auto"/>
              </w:rPr>
            </w:pPr>
            <w:r>
              <w:rPr>
                <w:color w:val="auto"/>
              </w:rPr>
              <w:t>V-0</w:t>
            </w:r>
          </w:p>
        </w:tc>
        <w:tc>
          <w:tcPr>
            <w:tcW w:w="98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bl>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1"/>
        <w:rPr>
          <w:rFonts w:hint="eastAsia" w:ascii="Times New Roman" w:hAnsi="Times New Roman"/>
          <w:color w:val="auto"/>
          <w:szCs w:val="21"/>
        </w:rPr>
      </w:pPr>
      <w:r>
        <w:rPr>
          <w:rFonts w:ascii="宋体" w:hAnsi="宋体"/>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1"/>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1"/>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NimbusSa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MS Mincho">
    <w:panose1 w:val="02020609040205080304"/>
    <w:charset w:val="80"/>
    <w:family w:val="auto"/>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3991DF6"/>
    <w:rsid w:val="05387762"/>
    <w:rsid w:val="062F6C1F"/>
    <w:rsid w:val="068F11DA"/>
    <w:rsid w:val="06D870D9"/>
    <w:rsid w:val="07612C2A"/>
    <w:rsid w:val="078057A6"/>
    <w:rsid w:val="07D65CF0"/>
    <w:rsid w:val="091361A6"/>
    <w:rsid w:val="09BB0D18"/>
    <w:rsid w:val="0A4725AB"/>
    <w:rsid w:val="0A51342A"/>
    <w:rsid w:val="0AF50259"/>
    <w:rsid w:val="0B3643CE"/>
    <w:rsid w:val="0BAB4DBC"/>
    <w:rsid w:val="0BCD4D32"/>
    <w:rsid w:val="0C5E1E2E"/>
    <w:rsid w:val="0C6F5DE9"/>
    <w:rsid w:val="0D444B80"/>
    <w:rsid w:val="0D4607D5"/>
    <w:rsid w:val="0E855450"/>
    <w:rsid w:val="0E8B557C"/>
    <w:rsid w:val="0F943B03"/>
    <w:rsid w:val="10272B2C"/>
    <w:rsid w:val="10356198"/>
    <w:rsid w:val="10A976AA"/>
    <w:rsid w:val="12505221"/>
    <w:rsid w:val="12624579"/>
    <w:rsid w:val="14031E6A"/>
    <w:rsid w:val="14A21D72"/>
    <w:rsid w:val="14DB6680"/>
    <w:rsid w:val="15001CD4"/>
    <w:rsid w:val="15173C06"/>
    <w:rsid w:val="1525330E"/>
    <w:rsid w:val="156C2EC6"/>
    <w:rsid w:val="15806971"/>
    <w:rsid w:val="15943FE5"/>
    <w:rsid w:val="15FF19F8"/>
    <w:rsid w:val="163C5738"/>
    <w:rsid w:val="164200CB"/>
    <w:rsid w:val="16C467B9"/>
    <w:rsid w:val="16D660E7"/>
    <w:rsid w:val="16E266C0"/>
    <w:rsid w:val="17920BDE"/>
    <w:rsid w:val="17A032FB"/>
    <w:rsid w:val="17AD77C6"/>
    <w:rsid w:val="18706C6E"/>
    <w:rsid w:val="198729C4"/>
    <w:rsid w:val="19AF614C"/>
    <w:rsid w:val="19C4670E"/>
    <w:rsid w:val="19CF7EC7"/>
    <w:rsid w:val="19E75211"/>
    <w:rsid w:val="1B083691"/>
    <w:rsid w:val="1CEB5A11"/>
    <w:rsid w:val="1D7A7634"/>
    <w:rsid w:val="1DA023FE"/>
    <w:rsid w:val="1DB339E0"/>
    <w:rsid w:val="2037116F"/>
    <w:rsid w:val="207C5907"/>
    <w:rsid w:val="20B61DE1"/>
    <w:rsid w:val="21380A48"/>
    <w:rsid w:val="215A3157"/>
    <w:rsid w:val="221B7DC1"/>
    <w:rsid w:val="224D0523"/>
    <w:rsid w:val="22EC6A43"/>
    <w:rsid w:val="234436D4"/>
    <w:rsid w:val="241B7553"/>
    <w:rsid w:val="24A26904"/>
    <w:rsid w:val="24A60B06"/>
    <w:rsid w:val="24D26ABE"/>
    <w:rsid w:val="25B20DC9"/>
    <w:rsid w:val="26664E9A"/>
    <w:rsid w:val="2689617A"/>
    <w:rsid w:val="26B62F9B"/>
    <w:rsid w:val="271D4F12"/>
    <w:rsid w:val="2840157B"/>
    <w:rsid w:val="290A0F1C"/>
    <w:rsid w:val="29254455"/>
    <w:rsid w:val="293957C6"/>
    <w:rsid w:val="29F34A82"/>
    <w:rsid w:val="2B0C0F7B"/>
    <w:rsid w:val="2D260712"/>
    <w:rsid w:val="2DFB0E33"/>
    <w:rsid w:val="2E140F22"/>
    <w:rsid w:val="2E912E13"/>
    <w:rsid w:val="2EA661F2"/>
    <w:rsid w:val="2EB57234"/>
    <w:rsid w:val="2ECD39AB"/>
    <w:rsid w:val="2EE95130"/>
    <w:rsid w:val="2FB120F1"/>
    <w:rsid w:val="300C36FC"/>
    <w:rsid w:val="307F650E"/>
    <w:rsid w:val="30C43855"/>
    <w:rsid w:val="310A5BCF"/>
    <w:rsid w:val="31BB5FF9"/>
    <w:rsid w:val="32316B26"/>
    <w:rsid w:val="32676A97"/>
    <w:rsid w:val="32AE46C6"/>
    <w:rsid w:val="3321758E"/>
    <w:rsid w:val="33582884"/>
    <w:rsid w:val="33FC7E90"/>
    <w:rsid w:val="344C063B"/>
    <w:rsid w:val="352B0250"/>
    <w:rsid w:val="35C91817"/>
    <w:rsid w:val="36511F38"/>
    <w:rsid w:val="36B27D0B"/>
    <w:rsid w:val="36D93CDC"/>
    <w:rsid w:val="371A1291"/>
    <w:rsid w:val="37537F32"/>
    <w:rsid w:val="37A442EA"/>
    <w:rsid w:val="384A4E91"/>
    <w:rsid w:val="38693A61"/>
    <w:rsid w:val="38E52E0C"/>
    <w:rsid w:val="3922196A"/>
    <w:rsid w:val="397F3113"/>
    <w:rsid w:val="3AAF1923"/>
    <w:rsid w:val="3AE01ADD"/>
    <w:rsid w:val="3AE8273F"/>
    <w:rsid w:val="3BD3519D"/>
    <w:rsid w:val="3C0D55FF"/>
    <w:rsid w:val="3CFC6B49"/>
    <w:rsid w:val="3F23643C"/>
    <w:rsid w:val="3F604F9A"/>
    <w:rsid w:val="41BA1803"/>
    <w:rsid w:val="42213106"/>
    <w:rsid w:val="42E5185A"/>
    <w:rsid w:val="43A4391F"/>
    <w:rsid w:val="44757A8F"/>
    <w:rsid w:val="449C6A74"/>
    <w:rsid w:val="45124F88"/>
    <w:rsid w:val="45725A27"/>
    <w:rsid w:val="457E261E"/>
    <w:rsid w:val="462F4289"/>
    <w:rsid w:val="46C16C66"/>
    <w:rsid w:val="46FA2178"/>
    <w:rsid w:val="472B0583"/>
    <w:rsid w:val="47342347"/>
    <w:rsid w:val="473D4B90"/>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786B55"/>
    <w:rsid w:val="50406E4E"/>
    <w:rsid w:val="511E6A63"/>
    <w:rsid w:val="53066DB8"/>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ECF5BC7"/>
    <w:rsid w:val="6F347726"/>
    <w:rsid w:val="6F926B42"/>
    <w:rsid w:val="6FBA3333"/>
    <w:rsid w:val="70057B4E"/>
    <w:rsid w:val="708720A4"/>
    <w:rsid w:val="711C66C3"/>
    <w:rsid w:val="71657EE6"/>
    <w:rsid w:val="71AA0173"/>
    <w:rsid w:val="735369DB"/>
    <w:rsid w:val="73EE20D2"/>
    <w:rsid w:val="74143C26"/>
    <w:rsid w:val="743A2A0E"/>
    <w:rsid w:val="74E90FB2"/>
    <w:rsid w:val="74F636CF"/>
    <w:rsid w:val="7524023C"/>
    <w:rsid w:val="76051E1C"/>
    <w:rsid w:val="7608766F"/>
    <w:rsid w:val="764F3097"/>
    <w:rsid w:val="770F2826"/>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5"/>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7"/>
    <w:qFormat/>
    <w:uiPriority w:val="0"/>
    <w:rPr>
      <w:b/>
      <w:bCs/>
    </w:rPr>
  </w:style>
  <w:style w:type="character" w:styleId="11">
    <w:name w:val="page number"/>
    <w:basedOn w:val="10"/>
    <w:uiPriority w:val="0"/>
  </w:style>
  <w:style w:type="character" w:styleId="12">
    <w:name w:val="Emphasis"/>
    <w:qFormat/>
    <w:uiPriority w:val="0"/>
    <w:rPr>
      <w:color w:val="CC0000"/>
    </w:rPr>
  </w:style>
  <w:style w:type="character" w:styleId="13">
    <w:name w:val="annotation reference"/>
    <w:qFormat/>
    <w:uiPriority w:val="0"/>
    <w:rPr>
      <w:sz w:val="21"/>
      <w:szCs w:val="21"/>
    </w:rPr>
  </w:style>
  <w:style w:type="character" w:customStyle="1" w:styleId="14">
    <w:name w:val="批注文字 Char"/>
    <w:link w:val="2"/>
    <w:uiPriority w:val="0"/>
    <w:rPr>
      <w:kern w:val="2"/>
      <w:sz w:val="21"/>
      <w:szCs w:val="24"/>
    </w:rPr>
  </w:style>
  <w:style w:type="character" w:customStyle="1" w:styleId="15">
    <w:name w:val="日期 Char"/>
    <w:link w:val="4"/>
    <w:uiPriority w:val="0"/>
    <w:rPr>
      <w:kern w:val="2"/>
      <w:sz w:val="21"/>
      <w:szCs w:val="24"/>
    </w:rPr>
  </w:style>
  <w:style w:type="character" w:customStyle="1" w:styleId="16">
    <w:name w:val="页眉 Char"/>
    <w:link w:val="7"/>
    <w:qFormat/>
    <w:uiPriority w:val="0"/>
    <w:rPr>
      <w:kern w:val="2"/>
      <w:sz w:val="18"/>
      <w:szCs w:val="18"/>
    </w:rPr>
  </w:style>
  <w:style w:type="character" w:customStyle="1" w:styleId="17">
    <w:name w:val="批注主题 Char"/>
    <w:link w:val="8"/>
    <w:uiPriority w:val="0"/>
    <w:rPr>
      <w:b/>
      <w:bCs/>
      <w:kern w:val="2"/>
      <w:sz w:val="21"/>
      <w:szCs w:val="24"/>
    </w:rPr>
  </w:style>
  <w:style w:type="character" w:customStyle="1" w:styleId="18">
    <w:name w:val="high-light-bg4"/>
    <w:basedOn w:val="10"/>
    <w:uiPriority w:val="0"/>
  </w:style>
  <w:style w:type="character" w:customStyle="1" w:styleId="19">
    <w:name w:val="def"/>
    <w:basedOn w:val="10"/>
    <w:uiPriority w:val="0"/>
  </w:style>
  <w:style w:type="paragraph" w:customStyle="1" w:styleId="20">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1">
    <w:name w:val="List Paragraph"/>
    <w:basedOn w:val="1"/>
    <w:qFormat/>
    <w:uiPriority w:val="0"/>
    <w:pPr>
      <w:ind w:firstLine="420" w:firstLineChars="200"/>
    </w:pPr>
    <w:rPr>
      <w:rFonts w:ascii="Calibri" w:hAnsi="Calibri"/>
      <w:szCs w:val="22"/>
    </w:rPr>
  </w:style>
  <w:style w:type="character" w:customStyle="1" w:styleId="22">
    <w:name w:val="表头 Char"/>
    <w:link w:val="23"/>
    <w:uiPriority w:val="0"/>
    <w:rPr>
      <w:rFonts w:eastAsia="楷体_GB2312"/>
      <w:bCs/>
      <w:kern w:val="44"/>
      <w:sz w:val="21"/>
      <w:szCs w:val="44"/>
    </w:rPr>
  </w:style>
  <w:style w:type="paragraph" w:customStyle="1" w:styleId="23">
    <w:name w:val="表头"/>
    <w:basedOn w:val="1"/>
    <w:link w:val="22"/>
    <w:qFormat/>
    <w:uiPriority w:val="0"/>
    <w:pPr>
      <w:widowControl/>
      <w:jc w:val="center"/>
    </w:pPr>
    <w:rPr>
      <w:rFonts w:eastAsia="楷体_GB2312"/>
      <w:bCs/>
      <w:kern w:val="44"/>
      <w:szCs w:val="44"/>
    </w:rPr>
  </w:style>
  <w:style w:type="character" w:customStyle="1" w:styleId="24">
    <w:name w:val="表内容 Char"/>
    <w:link w:val="25"/>
    <w:uiPriority w:val="0"/>
    <w:rPr>
      <w:rFonts w:hAnsi="宋体"/>
      <w:sz w:val="21"/>
      <w:szCs w:val="21"/>
      <w:lang w:val="en-US" w:eastAsia="zh-CN" w:bidi="ar-SA"/>
    </w:rPr>
  </w:style>
  <w:style w:type="paragraph" w:customStyle="1" w:styleId="25">
    <w:name w:val="表内容"/>
    <w:link w:val="24"/>
    <w:qFormat/>
    <w:uiPriority w:val="0"/>
    <w:pPr>
      <w:jc w:val="center"/>
    </w:pPr>
    <w:rPr>
      <w:rFonts w:ascii="Times New Roman" w:hAnsi="宋体" w:eastAsia="宋体" w:cs="Times New Roman"/>
      <w:sz w:val="21"/>
      <w:szCs w:val="21"/>
      <w:lang w:val="en-US" w:eastAsia="zh-CN" w:bidi="ar-SA"/>
    </w:rPr>
  </w:style>
  <w:style w:type="paragraph" w:customStyle="1" w:styleId="26">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7">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8691</Words>
  <Characters>9971</Characters>
  <Lines>26</Lines>
  <Paragraphs>7</Paragraphs>
  <TotalTime>3</TotalTime>
  <ScaleCrop>false</ScaleCrop>
  <LinksUpToDate>false</LinksUpToDate>
  <CharactersWithSpaces>10119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2022-12-05T13:43:19Z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