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黑体" w:hAnsi="黑体" w:eastAsia="黑体"/>
          <w:color w:val="auto"/>
          <w:sz w:val="32"/>
          <w:szCs w:val="32"/>
          <w:lang w:val="en-US" w:eastAsia="zh-CN"/>
        </w:rPr>
      </w:pPr>
      <w:r>
        <w:rPr>
          <w:rFonts w:hint="eastAsia" w:ascii="黑体" w:hAnsi="黑体" w:eastAsia="黑体"/>
          <w:color w:val="auto"/>
          <w:sz w:val="32"/>
          <w:szCs w:val="32"/>
          <w:lang w:val="en-US" w:eastAsia="zh-CN"/>
        </w:rPr>
        <w:t>一种基于评价能力的概率模型同行评估技术</w:t>
      </w:r>
    </w:p>
    <w:p>
      <w:pPr>
        <w:ind w:right="565" w:rightChars="269"/>
        <w:rPr>
          <w:rFonts w:ascii="宋体" w:hAnsi="宋体"/>
          <w:color w:val="auto"/>
          <w:szCs w:val="21"/>
        </w:rPr>
      </w:pPr>
    </w:p>
    <w:p>
      <w:pPr>
        <w:adjustRightInd w:val="0"/>
        <w:snapToGrid w:val="0"/>
        <w:spacing w:line="360" w:lineRule="auto"/>
        <w:rPr>
          <w:rFonts w:hint="eastAsia" w:ascii="宋体" w:hAnsi="宋体"/>
          <w:color w:val="auto"/>
          <w:szCs w:val="21"/>
        </w:rPr>
      </w:pPr>
    </w:p>
    <w:p>
      <w:pPr>
        <w:adjustRightInd w:val="0"/>
        <w:snapToGrid w:val="0"/>
        <w:spacing w:line="360" w:lineRule="auto"/>
        <w:rPr>
          <w:color w:val="auto"/>
          <w:szCs w:val="21"/>
        </w:rPr>
      </w:pPr>
      <w:r>
        <w:rPr>
          <w:rFonts w:hint="eastAsia" w:hAnsi="宋体"/>
          <w:color w:val="auto"/>
          <w:szCs w:val="21"/>
        </w:rPr>
        <w:t>作者</w:t>
      </w:r>
    </w:p>
    <w:p>
      <w:pPr>
        <w:jc w:val="left"/>
        <w:rPr>
          <w:rFonts w:hint="default" w:hAnsi="宋体" w:eastAsia="宋体"/>
          <w:color w:val="auto"/>
          <w:szCs w:val="21"/>
          <w:lang w:val="en-US" w:eastAsia="zh-CN"/>
        </w:rPr>
      </w:pPr>
      <w:r>
        <w:rPr>
          <w:rFonts w:hint="eastAsia" w:hAnsi="宋体"/>
          <w:color w:val="auto"/>
          <w:szCs w:val="21"/>
          <w:lang w:val="en-US" w:eastAsia="zh-CN"/>
        </w:rPr>
        <w:t>许 嘉，杨攀原，吕 品</w:t>
      </w:r>
    </w:p>
    <w:p>
      <w:pPr>
        <w:jc w:val="left"/>
        <w:rPr>
          <w:rFonts w:hAnsi="宋体"/>
          <w:color w:val="auto"/>
          <w:szCs w:val="21"/>
        </w:rPr>
      </w:pPr>
      <w:r>
        <w:rPr>
          <w:rFonts w:hAnsi="宋体"/>
          <w:color w:val="auto"/>
          <w:szCs w:val="21"/>
        </w:rPr>
        <w:t>（</w:t>
      </w:r>
      <w:r>
        <w:rPr>
          <w:rFonts w:hint="eastAsia"/>
          <w:color w:val="auto"/>
          <w:szCs w:val="21"/>
        </w:rPr>
        <w:t>作者单位</w:t>
      </w:r>
      <w:r>
        <w:rPr>
          <w:rFonts w:hAnsi="宋体"/>
          <w:color w:val="auto"/>
          <w:szCs w:val="21"/>
        </w:rPr>
        <w:t>）</w:t>
      </w:r>
    </w:p>
    <w:p>
      <w:pPr>
        <w:jc w:val="left"/>
        <w:rPr>
          <w:rFonts w:ascii="宋体" w:hAnsi="宋体"/>
          <w:color w:val="auto"/>
          <w:szCs w:val="21"/>
        </w:rPr>
      </w:pPr>
      <w:r>
        <w:rPr>
          <w:rFonts w:hint="eastAsia" w:ascii="宋体" w:hAnsi="宋体"/>
          <w:color w:val="auto"/>
          <w:szCs w:val="21"/>
        </w:rPr>
        <w:t>（单位从大到小，省市  邮编；两个</w:t>
      </w:r>
      <w:r>
        <w:rPr>
          <w:rFonts w:ascii="宋体" w:hAnsi="宋体"/>
          <w:color w:val="auto"/>
          <w:szCs w:val="21"/>
        </w:rPr>
        <w:t>单位之间用“</w:t>
      </w:r>
      <w:r>
        <w:rPr>
          <w:rFonts w:hint="eastAsia" w:ascii="宋体" w:hAnsi="宋体"/>
          <w:color w:val="auto"/>
          <w:szCs w:val="21"/>
        </w:rPr>
        <w:t>；</w:t>
      </w:r>
      <w:r>
        <w:rPr>
          <w:rFonts w:ascii="宋体" w:hAnsi="宋体"/>
          <w:color w:val="auto"/>
          <w:szCs w:val="21"/>
        </w:rPr>
        <w:t>”</w:t>
      </w:r>
      <w:r>
        <w:rPr>
          <w:rFonts w:hint="eastAsia" w:ascii="宋体" w:hAnsi="宋体"/>
          <w:color w:val="auto"/>
          <w:szCs w:val="21"/>
        </w:rPr>
        <w:t>隔开，例如</w:t>
      </w:r>
      <w:r>
        <w:rPr>
          <w:rFonts w:ascii="宋体" w:hAnsi="宋体"/>
          <w:color w:val="auto"/>
          <w:szCs w:val="21"/>
        </w:rPr>
        <w:t>：</w:t>
      </w:r>
    </w:p>
    <w:p>
      <w:pPr>
        <w:jc w:val="left"/>
        <w:rPr>
          <w:rFonts w:ascii="宋体" w:hAnsi="宋体"/>
          <w:color w:val="auto"/>
          <w:szCs w:val="21"/>
        </w:rPr>
      </w:pPr>
      <w:r>
        <w:rPr>
          <w:rFonts w:hint="eastAsia" w:ascii="宋体" w:hAnsi="宋体"/>
          <w:color w:val="auto"/>
          <w:szCs w:val="21"/>
        </w:rPr>
        <w:t>广西科学院,国家非粮生物质能源工程技术研究中心，非粮生物质酶解国家重点实验室，广西生物炼制重点实验室，广西南宁　530007；</w:t>
      </w:r>
      <w:r>
        <w:rPr>
          <w:rFonts w:ascii="宋体" w:hAnsi="宋体"/>
          <w:color w:val="auto"/>
          <w:szCs w:val="21"/>
        </w:rPr>
        <w:t>广西科学生命科学与技术学院，</w:t>
      </w:r>
      <w:r>
        <w:rPr>
          <w:rFonts w:hint="eastAsia" w:ascii="宋体" w:hAnsi="宋体"/>
          <w:color w:val="auto"/>
          <w:szCs w:val="21"/>
        </w:rPr>
        <w:t>广西南宁　53000</w:t>
      </w:r>
      <w:r>
        <w:rPr>
          <w:rFonts w:ascii="宋体" w:hAnsi="宋体"/>
          <w:color w:val="auto"/>
          <w:szCs w:val="21"/>
        </w:rPr>
        <w:t>4</w:t>
      </w:r>
      <w:r>
        <w:rPr>
          <w:rFonts w:hint="eastAsia" w:ascii="宋体" w:hAnsi="宋体"/>
          <w:color w:val="auto"/>
          <w:szCs w:val="21"/>
        </w:rPr>
        <w:t>）</w:t>
      </w:r>
    </w:p>
    <w:p>
      <w:pPr>
        <w:adjustRightInd w:val="0"/>
        <w:snapToGrid w:val="0"/>
        <w:spacing w:line="360" w:lineRule="auto"/>
        <w:rPr>
          <w:rFonts w:hint="eastAsia"/>
          <w:color w:val="auto"/>
          <w:sz w:val="24"/>
        </w:rPr>
      </w:pPr>
    </w:p>
    <w:p>
      <w:pPr>
        <w:ind w:left="567" w:leftChars="270" w:right="565" w:rightChars="269"/>
        <w:rPr>
          <w:rFonts w:ascii="宋体" w:hAnsi="宋体"/>
          <w:color w:val="auto"/>
          <w:szCs w:val="21"/>
        </w:rPr>
      </w:pPr>
      <w:r>
        <w:rPr>
          <w:rFonts w:hint="eastAsia" w:ascii="黑体" w:hAnsi="黑体" w:eastAsia="黑体"/>
          <w:color w:val="auto"/>
          <w:szCs w:val="21"/>
        </w:rPr>
        <w:t>摘要：</w:t>
      </w:r>
      <w:r>
        <w:rPr>
          <w:rFonts w:hint="eastAsia" w:ascii="宋体" w:hAnsi="宋体"/>
          <w:color w:val="auto"/>
          <w:szCs w:val="21"/>
        </w:rPr>
        <w:t>（摘要既要有高度的信息浓缩性，又具有可读性，还要结构完整、篇幅简短及独立成篇，研究类论文</w:t>
      </w:r>
      <w:r>
        <w:rPr>
          <w:rFonts w:ascii="宋体" w:hAnsi="宋体"/>
          <w:color w:val="auto"/>
          <w:szCs w:val="21"/>
        </w:rPr>
        <w:t>摘要</w:t>
      </w:r>
      <w:r>
        <w:rPr>
          <w:rFonts w:hint="eastAsia" w:ascii="宋体" w:hAnsi="宋体"/>
          <w:color w:val="auto"/>
          <w:szCs w:val="21"/>
        </w:rPr>
        <w:t>从目的、方法、结果、结论4个</w:t>
      </w:r>
      <w:r>
        <w:rPr>
          <w:rFonts w:ascii="宋体" w:hAnsi="宋体"/>
          <w:color w:val="auto"/>
          <w:szCs w:val="21"/>
        </w:rPr>
        <w:t>方面进行撰写</w:t>
      </w:r>
      <w:r>
        <w:rPr>
          <w:rFonts w:hint="eastAsia" w:ascii="宋体" w:hAnsi="宋体"/>
          <w:color w:val="auto"/>
          <w:szCs w:val="21"/>
        </w:rPr>
        <w:t>，摘要中不应包括论文中没有出现的内容。）</w:t>
      </w:r>
    </w:p>
    <w:p>
      <w:pPr>
        <w:ind w:left="567" w:leftChars="270" w:right="565" w:rightChars="269"/>
        <w:rPr>
          <w:rFonts w:hint="eastAsia"/>
          <w:color w:val="auto"/>
          <w:szCs w:val="21"/>
        </w:rPr>
      </w:pPr>
      <w:r>
        <w:rPr>
          <w:rFonts w:ascii="黑体" w:hAnsi="黑体" w:eastAsia="黑体"/>
          <w:color w:val="auto"/>
          <w:szCs w:val="21"/>
        </w:rPr>
        <w:t>关键词：</w:t>
      </w:r>
      <w:r>
        <w:rPr>
          <w:rFonts w:hint="eastAsia" w:ascii="宋体" w:hAnsi="宋体"/>
          <w:color w:val="auto"/>
          <w:szCs w:val="21"/>
        </w:rPr>
        <w:t>(选择能准确反映文章主要内容，能引起读者兴趣，并为大家熟知的专业词汇来作为关键词，以使文章能被准确检索。一般为</w:t>
      </w:r>
      <w:r>
        <w:rPr>
          <w:rFonts w:ascii="宋体" w:hAnsi="宋体"/>
          <w:color w:val="auto"/>
          <w:szCs w:val="21"/>
        </w:rPr>
        <w:t>5-8</w:t>
      </w:r>
      <w:r>
        <w:rPr>
          <w:rFonts w:hint="eastAsia" w:ascii="宋体" w:hAnsi="宋体"/>
          <w:color w:val="auto"/>
          <w:szCs w:val="21"/>
        </w:rPr>
        <w:t>个，中英文一一对应)</w:t>
      </w:r>
    </w:p>
    <w:p>
      <w:pPr>
        <w:ind w:left="567" w:leftChars="270" w:right="565" w:rightChars="269"/>
        <w:rPr>
          <w:rFonts w:ascii="黑体" w:hAnsi="黑体" w:eastAsia="黑体"/>
          <w:color w:val="auto"/>
          <w:szCs w:val="21"/>
        </w:rPr>
      </w:pPr>
      <w:r>
        <w:rPr>
          <w:rFonts w:hint="eastAsia" w:ascii="黑体" w:hAnsi="黑体" w:eastAsia="黑体"/>
          <w:color w:val="auto"/>
          <w:szCs w:val="21"/>
        </w:rPr>
        <w:t>中图分类号：</w:t>
      </w:r>
    </w:p>
    <w:p>
      <w:pPr>
        <w:ind w:left="567" w:leftChars="270" w:right="565" w:rightChars="269"/>
        <w:rPr>
          <w:rFonts w:hint="eastAsia"/>
          <w:color w:val="auto"/>
          <w:kern w:val="0"/>
          <w:szCs w:val="21"/>
        </w:rPr>
      </w:pPr>
    </w:p>
    <w:p>
      <w:pPr>
        <w:pStyle w:val="22"/>
        <w:spacing w:line="360" w:lineRule="auto"/>
        <w:ind w:firstLine="0" w:firstLineChars="0"/>
        <w:rPr>
          <w:rFonts w:ascii="Times New Roman" w:hAnsi="Times New Roman"/>
          <w:b/>
          <w:color w:val="auto"/>
          <w:sz w:val="28"/>
          <w:szCs w:val="28"/>
        </w:rPr>
      </w:pP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0引言</w:t>
      </w:r>
    </w:p>
    <w:p>
      <w:pPr>
        <w:pStyle w:val="22"/>
        <w:rPr>
          <w:rFonts w:hint="eastAsia" w:ascii="宋体" w:hAnsi="宋体"/>
          <w:color w:val="auto"/>
          <w:szCs w:val="21"/>
        </w:rPr>
        <w:sectPr>
          <w:footerReference r:id="rId3" w:type="default"/>
          <w:footerReference r:id="rId4" w:type="even"/>
          <w:pgSz w:w="11906" w:h="16838"/>
          <w:pgMar w:top="1440" w:right="1416" w:bottom="1440" w:left="1560" w:header="851" w:footer="992" w:gutter="0"/>
          <w:cols w:space="720" w:num="1"/>
          <w:docGrid w:type="lines" w:linePitch="312" w:charSpace="0"/>
        </w:sectPr>
      </w:pPr>
    </w:p>
    <w:p>
      <w:pPr>
        <w:pStyle w:val="22"/>
        <w:rPr>
          <w:rFonts w:hint="default" w:ascii="宋体" w:hAnsi="宋体"/>
          <w:color w:val="auto"/>
          <w:szCs w:val="21"/>
          <w:lang w:val="en-US" w:eastAsia="zh-CN"/>
        </w:rPr>
      </w:pPr>
      <w:r>
        <w:rPr>
          <w:rFonts w:hint="eastAsia" w:ascii="宋体" w:hAnsi="宋体"/>
          <w:color w:val="auto"/>
          <w:szCs w:val="21"/>
          <w:lang w:val="en-US" w:eastAsia="zh-CN"/>
        </w:rPr>
        <w:t>随着互联网技术的不断发展，大规模的开放在线课程（</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等在线教育平台逐渐兴起，为学生提供高质量的免费教育资源。一门优秀的在线课程拥有数万参与者，这给平台的教师们带来了巨大的挑战：他们需要对大量的作业进行批改。尽管对于那些客观作业，例如选择题、判断题来说，自动化批改很容易实现，但是对于那些没有标准答案的开放式作业，例如简答题、作文题来说，目前还没有统一、有效的自动评分技术。【】考虑到开放式作业对提高学生创新思维能力和语言组织能力至关重要【】，</w:t>
      </w:r>
      <w:r>
        <w:rPr>
          <w:rFonts w:hint="eastAsia" w:ascii="Times New Roman" w:hAnsi="Times New Roman"/>
          <w:color w:val="auto"/>
          <w:szCs w:val="21"/>
          <w:lang w:val="en-US" w:eastAsia="zh-CN"/>
        </w:rPr>
        <w:t>目前主流的MOOC平台，包括</w:t>
      </w:r>
      <w:r>
        <w:rPr>
          <w:rFonts w:hint="default" w:ascii="Times New Roman" w:hAnsi="Times New Roman" w:cs="Times New Roman"/>
          <w:color w:val="auto"/>
          <w:szCs w:val="21"/>
          <w:lang w:val="en-US" w:eastAsia="zh-CN"/>
        </w:rPr>
        <w:t>Coursera1、edX2和ICourse3</w:t>
      </w:r>
      <w:r>
        <w:rPr>
          <w:rFonts w:hint="eastAsia" w:ascii="Times New Roman" w:hAnsi="Times New Roman"/>
          <w:color w:val="auto"/>
          <w:szCs w:val="21"/>
          <w:lang w:val="en-US" w:eastAsia="zh-CN"/>
        </w:rPr>
        <w:t>，都采用同行互评的方法来帮助教师评估学生提交的大量开放式作业。</w:t>
      </w:r>
      <w:r>
        <w:rPr>
          <w:rFonts w:hint="eastAsia" w:ascii="宋体" w:hAnsi="宋体"/>
          <w:color w:val="auto"/>
          <w:szCs w:val="21"/>
          <w:lang w:val="en-US" w:eastAsia="zh-CN"/>
        </w:rPr>
        <w:t>同行互评方法与众包类似，它要求所有提交作业的学生扮演同行评价者，根据教师提供的评分细则，以匿名的方式对所有提交的作业的一小部分进行评价。最后对每份作业的所有评价结果进行汇总，得到每份作业真实分数。其中，我们仅考虑基数估计的同行互评技术，即同行评价者必须给每份评价作业一个数值型的分数。</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color w:val="auto"/>
          <w:szCs w:val="21"/>
          <w:lang w:val="en-US" w:eastAsia="zh-CN"/>
        </w:rPr>
      </w:pPr>
      <w:r>
        <w:rPr>
          <w:rFonts w:hint="eastAsia" w:ascii="宋体" w:hAnsi="宋体"/>
          <w:color w:val="auto"/>
          <w:szCs w:val="21"/>
          <w:lang w:val="en-US" w:eastAsia="zh-CN"/>
        </w:rPr>
        <w:t>除了能够减少教师的工作量之外，同行互评还可以带来其他的教育价值，可以激发学生的学习兴趣</w:t>
      </w:r>
      <w:bookmarkStart w:id="2" w:name="_GoBack"/>
      <w:r>
        <w:rPr>
          <w:rFonts w:hint="eastAsia" w:ascii="宋体" w:hAnsi="宋体"/>
          <w:color w:val="auto"/>
          <w:szCs w:val="21"/>
          <w:lang w:val="en-US" w:eastAsia="zh-CN"/>
        </w:rPr>
        <w:t>【】</w:t>
      </w:r>
      <w:bookmarkEnd w:id="2"/>
      <w:r>
        <w:rPr>
          <w:rFonts w:hint="eastAsia" w:ascii="宋体" w:hAnsi="宋体"/>
          <w:color w:val="auto"/>
          <w:szCs w:val="21"/>
          <w:lang w:val="en-US" w:eastAsia="zh-CN"/>
        </w:rPr>
        <w:t>，加强学生的课程参与【】，提高学生的责任感【】。</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eastAsia" w:ascii="宋体" w:hAnsi="宋体" w:cs="Times New Roman"/>
          <w:color w:val="auto"/>
          <w:szCs w:val="21"/>
          <w:lang w:val="en-US" w:eastAsia="zh-CN"/>
        </w:rPr>
      </w:pPr>
      <w:r>
        <w:rPr>
          <w:rFonts w:hint="eastAsia" w:ascii="宋体" w:hAnsi="宋体"/>
          <w:color w:val="auto"/>
          <w:szCs w:val="21"/>
          <w:lang w:val="en-US" w:eastAsia="zh-CN"/>
        </w:rPr>
        <w:t>同行互评的</w:t>
      </w:r>
      <w:r>
        <w:rPr>
          <w:rFonts w:hint="eastAsia" w:ascii="Times New Roman" w:hAnsi="Times New Roman"/>
          <w:color w:val="auto"/>
          <w:szCs w:val="21"/>
          <w:lang w:val="en-US" w:eastAsia="zh-CN"/>
        </w:rPr>
        <w:t>最主要的研究问题</w:t>
      </w:r>
      <w:r>
        <w:rPr>
          <w:rFonts w:hint="eastAsia" w:ascii="宋体" w:hAnsi="宋体"/>
          <w:color w:val="auto"/>
          <w:szCs w:val="21"/>
          <w:lang w:val="en-US" w:eastAsia="zh-CN"/>
        </w:rPr>
        <w:t>之一是同行互评的分数汇总方式，即根据同行评价者的对作业评分集合得到尽可能接近该作业的真实分数的结果。目前，大多数的</w:t>
      </w:r>
      <w:r>
        <w:rPr>
          <w:rFonts w:hint="default" w:ascii="Times New Roman" w:hAnsi="Times New Roman" w:cs="Times New Roman"/>
          <w:color w:val="auto"/>
          <w:szCs w:val="21"/>
          <w:lang w:val="en-US" w:eastAsia="zh-CN"/>
        </w:rPr>
        <w:t>MOOC</w:t>
      </w:r>
      <w:r>
        <w:rPr>
          <w:rFonts w:hint="eastAsia" w:ascii="宋体" w:hAnsi="宋体"/>
          <w:color w:val="auto"/>
          <w:szCs w:val="21"/>
          <w:lang w:val="en-US" w:eastAsia="zh-CN"/>
        </w:rPr>
        <w:t>平台</w:t>
      </w:r>
      <w:r>
        <w:rPr>
          <w:rFonts w:hint="eastAsia" w:ascii="宋体" w:hAnsi="宋体" w:eastAsia="宋体" w:cs="Times New Roman"/>
          <w:color w:val="auto"/>
          <w:kern w:val="2"/>
          <w:sz w:val="21"/>
          <w:szCs w:val="21"/>
          <w:lang w:val="en-US" w:eastAsia="zh-CN" w:bidi="ar-SA"/>
        </w:rPr>
        <w:t>（例如</w:t>
      </w:r>
      <w:r>
        <w:rPr>
          <w:rFonts w:hint="default" w:ascii="Times New Roman" w:hAnsi="Times New Roman" w:eastAsia="宋体" w:cs="Times New Roman"/>
          <w:color w:val="auto"/>
          <w:kern w:val="2"/>
          <w:sz w:val="21"/>
          <w:szCs w:val="21"/>
          <w:lang w:val="en-US" w:eastAsia="zh-CN" w:bidi="ar-SA"/>
        </w:rPr>
        <w:t>Coursera</w:t>
      </w:r>
      <w:r>
        <w:rPr>
          <w:rFonts w:hint="eastAsia" w:ascii="宋体" w:hAnsi="宋体" w:eastAsia="宋体" w:cs="Times New Roman"/>
          <w:color w:val="auto"/>
          <w:kern w:val="2"/>
          <w:sz w:val="21"/>
          <w:szCs w:val="21"/>
          <w:lang w:val="en-US" w:eastAsia="zh-CN" w:bidi="ar-SA"/>
        </w:rPr>
        <w:t>和中国大学</w:t>
      </w:r>
      <w:r>
        <w:rPr>
          <w:rFonts w:hint="default" w:ascii="Times New Roman" w:hAnsi="Times New Roman" w:eastAsia="宋体" w:cs="Times New Roman"/>
          <w:color w:val="auto"/>
          <w:kern w:val="2"/>
          <w:sz w:val="21"/>
          <w:szCs w:val="21"/>
          <w:lang w:val="en-US" w:eastAsia="zh-CN" w:bidi="ar-SA"/>
        </w:rPr>
        <w:t>M</w:t>
      </w:r>
      <w:r>
        <w:rPr>
          <w:rFonts w:hint="eastAsia" w:cs="Times New Roman"/>
          <w:color w:val="auto"/>
          <w:kern w:val="2"/>
          <w:sz w:val="21"/>
          <w:szCs w:val="21"/>
          <w:lang w:val="en-US" w:eastAsia="zh-CN" w:bidi="ar-SA"/>
        </w:rPr>
        <w:t>OO</w:t>
      </w:r>
      <w:r>
        <w:rPr>
          <w:rFonts w:hint="default" w:ascii="Times New Roman" w:hAnsi="Times New Roman" w:eastAsia="宋体" w:cs="Times New Roman"/>
          <w:color w:val="auto"/>
          <w:kern w:val="2"/>
          <w:sz w:val="21"/>
          <w:szCs w:val="21"/>
          <w:lang w:val="en-US" w:eastAsia="zh-CN" w:bidi="ar-SA"/>
        </w:rPr>
        <w:t>C</w:t>
      </w:r>
      <w:r>
        <w:rPr>
          <w:rFonts w:hint="eastAsia" w:ascii="宋体" w:hAnsi="宋体" w:eastAsia="宋体" w:cs="Times New Roman"/>
          <w:color w:val="auto"/>
          <w:kern w:val="2"/>
          <w:sz w:val="21"/>
          <w:szCs w:val="21"/>
          <w:lang w:val="en-US" w:eastAsia="zh-CN" w:bidi="ar-SA"/>
        </w:rPr>
        <w:t>）</w:t>
      </w:r>
      <w:r>
        <w:rPr>
          <w:rFonts w:hint="eastAsia" w:ascii="宋体" w:hAnsi="宋体"/>
          <w:color w:val="auto"/>
          <w:szCs w:val="21"/>
          <w:lang w:val="en-US" w:eastAsia="zh-CN"/>
        </w:rPr>
        <w:t>的汇总方式只是简单地计算作业所有评价的均值和中位数，作为该作业的最终分数。然而，同行评价者的评分质量乘次不齐，受到其可靠性、偏见等因素的影响【】，其中，偏见意味着同行评价者的评分有放大或缩小的习惯性倾向，而可靠性表示了同行评价者的评分与真实分数之间的随机偏差。因此用均值和中位数来作为最终评分并不准确【】。目前，一些研究者提出一系列的概率模型，将同行评价者的评分可靠性和偏见设置成了随机变量，通过变量之间的依赖关系来更加准确地估计</w:t>
      </w:r>
      <w:r>
        <w:rPr>
          <w:rFonts w:hint="eastAsia" w:ascii="宋体" w:hAnsi="宋体" w:eastAsia="宋体" w:cs="Times New Roman"/>
          <w:color w:val="auto"/>
          <w:szCs w:val="21"/>
          <w:lang w:val="en-US" w:eastAsia="zh-CN"/>
        </w:rPr>
        <w:t>每份作业的真实分数。然而现有的概率模型中，</w:t>
      </w:r>
      <w:r>
        <w:rPr>
          <w:rFonts w:hint="eastAsia" w:ascii="宋体" w:hAnsi="宋体" w:cs="Times New Roman"/>
          <w:color w:val="auto"/>
          <w:szCs w:val="21"/>
          <w:lang w:val="en-US" w:eastAsia="zh-CN"/>
        </w:rPr>
        <w:t>对</w:t>
      </w:r>
      <w:r>
        <w:rPr>
          <w:rFonts w:hint="eastAsia" w:ascii="宋体" w:hAnsi="宋体" w:eastAsia="宋体" w:cs="Times New Roman"/>
          <w:color w:val="auto"/>
          <w:szCs w:val="21"/>
          <w:lang w:val="en-US" w:eastAsia="zh-CN"/>
        </w:rPr>
        <w:t>同行评价者的可靠性</w:t>
      </w:r>
      <w:r>
        <w:rPr>
          <w:rFonts w:hint="eastAsia" w:ascii="宋体" w:hAnsi="宋体" w:cs="Times New Roman"/>
          <w:color w:val="auto"/>
          <w:szCs w:val="21"/>
          <w:lang w:val="en-US" w:eastAsia="zh-CN"/>
        </w:rPr>
        <w:t>建模</w:t>
      </w:r>
      <w:r>
        <w:rPr>
          <w:rFonts w:hint="eastAsia" w:ascii="宋体" w:hAnsi="宋体" w:eastAsia="宋体" w:cs="Times New Roman"/>
          <w:color w:val="auto"/>
          <w:szCs w:val="21"/>
          <w:lang w:val="en-US" w:eastAsia="zh-CN"/>
        </w:rPr>
        <w:t>只与该评价者</w:t>
      </w:r>
      <w:r>
        <w:rPr>
          <w:rFonts w:hint="eastAsia" w:ascii="宋体" w:hAnsi="宋体" w:cs="Times New Roman"/>
          <w:color w:val="auto"/>
          <w:szCs w:val="21"/>
          <w:lang w:val="en-US" w:eastAsia="zh-CN"/>
        </w:rPr>
        <w:t>作为答题者，</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本次作业上</w:t>
      </w:r>
      <w:r>
        <w:rPr>
          <w:rFonts w:hint="eastAsia" w:ascii="宋体" w:hAnsi="宋体" w:eastAsia="宋体" w:cs="Times New Roman"/>
          <w:color w:val="auto"/>
          <w:szCs w:val="21"/>
          <w:lang w:val="en-US" w:eastAsia="zh-CN"/>
        </w:rPr>
        <w:t>的</w:t>
      </w:r>
      <w:r>
        <w:rPr>
          <w:rFonts w:hint="eastAsia" w:ascii="宋体" w:hAnsi="宋体" w:cs="Times New Roman"/>
          <w:color w:val="auto"/>
          <w:szCs w:val="21"/>
          <w:lang w:val="en-US" w:eastAsia="zh-CN"/>
        </w:rPr>
        <w:t>真实分数</w:t>
      </w:r>
      <w:r>
        <w:rPr>
          <w:rFonts w:hint="eastAsia" w:ascii="宋体" w:hAnsi="宋体" w:eastAsia="宋体" w:cs="Times New Roman"/>
          <w:color w:val="auto"/>
          <w:szCs w:val="21"/>
          <w:lang w:val="en-US" w:eastAsia="zh-CN"/>
        </w:rPr>
        <w:t>有关。虽然学生</w:t>
      </w:r>
      <w:r>
        <w:rPr>
          <w:rFonts w:hint="eastAsia" w:ascii="宋体" w:hAnsi="宋体" w:cs="Times New Roman"/>
          <w:color w:val="auto"/>
          <w:szCs w:val="21"/>
          <w:lang w:val="en-US" w:eastAsia="zh-CN"/>
        </w:rPr>
        <w:t>的作业分数</w:t>
      </w:r>
      <w:r>
        <w:rPr>
          <w:rFonts w:hint="eastAsia" w:ascii="宋体" w:hAnsi="宋体" w:eastAsia="宋体" w:cs="Times New Roman"/>
          <w:color w:val="auto"/>
          <w:szCs w:val="21"/>
          <w:lang w:val="en-US" w:eastAsia="zh-CN"/>
        </w:rPr>
        <w:t>在</w:t>
      </w:r>
      <w:r>
        <w:rPr>
          <w:rFonts w:hint="eastAsia" w:ascii="宋体" w:hAnsi="宋体" w:cs="Times New Roman"/>
          <w:color w:val="auto"/>
          <w:szCs w:val="21"/>
          <w:lang w:val="en-US" w:eastAsia="zh-CN"/>
        </w:rPr>
        <w:t>理想情况下可以</w:t>
      </w:r>
      <w:r>
        <w:rPr>
          <w:rFonts w:hint="eastAsia" w:ascii="宋体" w:hAnsi="宋体" w:eastAsia="宋体" w:cs="Times New Roman"/>
          <w:color w:val="auto"/>
          <w:szCs w:val="21"/>
          <w:lang w:val="en-US" w:eastAsia="zh-CN"/>
        </w:rPr>
        <w:t>反应</w:t>
      </w:r>
      <w:r>
        <w:rPr>
          <w:rFonts w:hint="eastAsia" w:ascii="宋体" w:hAnsi="宋体" w:cs="Times New Roman"/>
          <w:color w:val="auto"/>
          <w:szCs w:val="21"/>
          <w:lang w:val="en-US" w:eastAsia="zh-CN"/>
        </w:rPr>
        <w:t>一个</w:t>
      </w:r>
      <w:r>
        <w:rPr>
          <w:rFonts w:hint="eastAsia" w:ascii="宋体" w:hAnsi="宋体" w:eastAsia="宋体" w:cs="Times New Roman"/>
          <w:color w:val="auto"/>
          <w:szCs w:val="21"/>
          <w:lang w:val="en-US" w:eastAsia="zh-CN"/>
        </w:rPr>
        <w:t>学生</w:t>
      </w:r>
      <w:r>
        <w:rPr>
          <w:rFonts w:hint="eastAsia" w:ascii="宋体" w:hAnsi="宋体" w:cs="Times New Roman"/>
          <w:color w:val="auto"/>
          <w:szCs w:val="21"/>
          <w:lang w:val="en-US" w:eastAsia="zh-CN"/>
        </w:rPr>
        <w:t>的评价能力</w:t>
      </w:r>
      <w:r>
        <w:rPr>
          <w:rFonts w:hint="eastAsia" w:ascii="宋体" w:hAnsi="宋体" w:eastAsia="宋体" w:cs="Times New Roman"/>
          <w:color w:val="auto"/>
          <w:szCs w:val="21"/>
          <w:lang w:val="en-US" w:eastAsia="zh-CN"/>
        </w:rPr>
        <w:t>，但是</w:t>
      </w:r>
      <w:r>
        <w:rPr>
          <w:rFonts w:hint="eastAsia" w:ascii="宋体" w:hAnsi="宋体" w:cs="Times New Roman"/>
          <w:color w:val="auto"/>
          <w:szCs w:val="21"/>
          <w:lang w:val="en-US" w:eastAsia="zh-CN"/>
        </w:rPr>
        <w:t>他们并没有太强的依赖关系【】。例如，一个成绩很好的学生不喜欢批改其他人的作业，因此在互评中批改的并不仔细，导致其同行评分与真实分数仍存在较大的差距</w:t>
      </w:r>
      <w:r>
        <w:rPr>
          <w:rFonts w:hint="eastAsia" w:ascii="宋体" w:hAnsi="宋体" w:eastAsia="宋体" w:cs="Times New Roman"/>
          <w:color w:val="auto"/>
          <w:szCs w:val="21"/>
          <w:lang w:val="en-US" w:eastAsia="zh-CN"/>
        </w:rPr>
        <w:t>。</w:t>
      </w:r>
      <w:r>
        <w:rPr>
          <w:rFonts w:hint="eastAsia" w:ascii="宋体" w:hAnsi="宋体" w:cs="Times New Roman"/>
          <w:color w:val="auto"/>
          <w:szCs w:val="21"/>
          <w:lang w:val="en-US" w:eastAsia="zh-CN"/>
        </w:rPr>
        <w:t>因此，将作业得分作为可靠性的建模标准并不准确。而真正可以直观的衡量评价者可靠性的，是学生的评价能力。评价能力可以由互评分数与真实分数之间的绝对差体现，绝对差越小，评价能力越高，可靠性也就越高【】。</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宋体" w:hAnsi="宋体" w:eastAsia="宋体" w:cs="Times New Roman"/>
          <w:color w:val="auto"/>
          <w:szCs w:val="21"/>
          <w:lang w:val="en-US" w:eastAsia="zh-CN"/>
        </w:rPr>
      </w:pPr>
      <w:r>
        <w:rPr>
          <w:rFonts w:hint="eastAsia" w:ascii="宋体" w:hAnsi="宋体" w:cs="Times New Roman"/>
          <w:color w:val="auto"/>
          <w:szCs w:val="21"/>
          <w:lang w:val="en-US" w:eastAsia="zh-CN"/>
        </w:rPr>
        <w:t>如图我们发现，评价者在同一次的评分表现结果是很接近的，如果他在其中一份作业中的评价表现很好，那么他大概率在其他几份作业中的评价表现也很好。根据实验结果，我们发现一个评价者的历史表现良好，那么他在历史上的表现也很好，如果表现不好，这个学生的表现也一直不好。对此，评价的可靠性能力是相对固定的。</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鉴于此，本文利用学生的评价能力，提出了两个新的概率模型</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。这两个模型在现有模型的基础上，</w:t>
      </w:r>
      <w:r>
        <w:rPr>
          <w:rFonts w:hint="eastAsia" w:ascii="宋体" w:hAnsi="宋体" w:cs="Times New Roman"/>
          <w:color w:val="auto"/>
          <w:szCs w:val="21"/>
          <w:lang w:val="en-US" w:eastAsia="zh-CN"/>
        </w:rPr>
        <w:t>将</w:t>
      </w:r>
      <w:r>
        <w:rPr>
          <w:rFonts w:hint="eastAsia" w:ascii="宋体" w:hAnsi="宋体" w:eastAsia="宋体" w:cs="Times New Roman"/>
          <w:color w:val="auto"/>
          <w:szCs w:val="21"/>
          <w:lang w:val="en-US" w:eastAsia="zh-CN"/>
        </w:rPr>
        <w:t>可靠性的建模中</w:t>
      </w:r>
      <w:r>
        <w:rPr>
          <w:rFonts w:hint="eastAsia" w:ascii="宋体" w:hAnsi="宋体" w:cs="Times New Roman"/>
          <w:color w:val="auto"/>
          <w:szCs w:val="21"/>
          <w:lang w:val="en-US" w:eastAsia="zh-CN"/>
        </w:rPr>
        <w:t>的真实分数替换成了学生的评价能力</w:t>
      </w:r>
      <w:r>
        <w:rPr>
          <w:rFonts w:hint="eastAsia" w:ascii="宋体" w:hAnsi="宋体" w:eastAsia="宋体" w:cs="Times New Roman"/>
          <w:color w:val="auto"/>
          <w:szCs w:val="21"/>
          <w:lang w:val="en-US" w:eastAsia="zh-CN"/>
        </w:rPr>
        <w:t>，以提高模型在推导真实分数的准确性。</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的区别在于，</w:t>
      </w:r>
      <w:r>
        <w:rPr>
          <w:rFonts w:hint="default"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6</w:t>
      </w:r>
      <w:r>
        <w:rPr>
          <w:rFonts w:hint="eastAsia" w:ascii="宋体" w:hAnsi="宋体" w:eastAsia="宋体" w:cs="Times New Roman"/>
          <w:color w:val="auto"/>
          <w:szCs w:val="21"/>
          <w:lang w:val="en-US" w:eastAsia="zh-CN"/>
        </w:rPr>
        <w:t>假设评价者可靠性服从伽马分布，而</w:t>
      </w:r>
      <w:r>
        <w:rPr>
          <w:rFonts w:hint="eastAsia" w:ascii="Times New Roman" w:hAnsi="Times New Roman" w:cs="Times New Roman"/>
          <w:i/>
          <w:iCs/>
          <w:color w:val="auto"/>
          <w:szCs w:val="21"/>
          <w:lang w:val="en-US" w:eastAsia="zh-CN"/>
        </w:rPr>
        <w:t>RPG</w:t>
      </w:r>
      <w:r>
        <w:rPr>
          <w:rFonts w:hint="eastAsia" w:ascii="Times New Roman" w:hAnsi="Times New Roman" w:cs="Times New Roman"/>
          <w:color w:val="auto"/>
          <w:szCs w:val="21"/>
          <w:vertAlign w:val="subscript"/>
          <w:lang w:val="en-US" w:eastAsia="zh-CN"/>
        </w:rPr>
        <w:t>7</w:t>
      </w:r>
      <w:r>
        <w:rPr>
          <w:rFonts w:hint="eastAsia" w:ascii="宋体" w:hAnsi="宋体" w:eastAsia="宋体" w:cs="Times New Roman"/>
          <w:color w:val="auto"/>
          <w:szCs w:val="21"/>
          <w:lang w:val="en-US" w:eastAsia="zh-CN"/>
        </w:rPr>
        <w:t>假设评价者可靠性服从正态分布。我们还提出了一种方式来</w:t>
      </w:r>
      <w:r>
        <w:rPr>
          <w:rFonts w:hint="eastAsia" w:ascii="宋体" w:hAnsi="宋体" w:cs="Times New Roman"/>
          <w:color w:val="auto"/>
          <w:szCs w:val="21"/>
          <w:lang w:val="en-US" w:eastAsia="zh-CN"/>
        </w:rPr>
        <w:t>量化</w:t>
      </w:r>
      <w:r>
        <w:rPr>
          <w:rFonts w:hint="eastAsia" w:ascii="宋体" w:hAnsi="宋体" w:eastAsia="宋体" w:cs="Times New Roman"/>
          <w:color w:val="auto"/>
          <w:szCs w:val="21"/>
          <w:lang w:val="en-US" w:eastAsia="zh-CN"/>
        </w:rPr>
        <w:t>学生的评价能力，</w:t>
      </w:r>
      <w:r>
        <w:rPr>
          <w:rFonts w:hint="eastAsia" w:ascii="宋体" w:hAnsi="宋体" w:cs="Times New Roman"/>
          <w:color w:val="auto"/>
          <w:szCs w:val="21"/>
          <w:lang w:val="en-US" w:eastAsia="zh-CN"/>
        </w:rPr>
        <w:t>并且</w:t>
      </w:r>
      <w:r>
        <w:rPr>
          <w:rFonts w:hint="eastAsia" w:ascii="宋体" w:hAnsi="宋体" w:eastAsia="宋体" w:cs="Times New Roman"/>
          <w:color w:val="auto"/>
          <w:szCs w:val="21"/>
          <w:lang w:val="en-US" w:eastAsia="zh-CN"/>
        </w:rPr>
        <w:t>通过教师抽查的</w:t>
      </w:r>
      <w:r>
        <w:rPr>
          <w:rFonts w:hint="eastAsia" w:ascii="宋体" w:hAnsi="宋体" w:cs="Times New Roman"/>
          <w:color w:val="auto"/>
          <w:szCs w:val="21"/>
          <w:lang w:val="en-US" w:eastAsia="zh-CN"/>
        </w:rPr>
        <w:t>方式，对其迭代更新，提高准确性，</w:t>
      </w:r>
      <w:r>
        <w:rPr>
          <w:rFonts w:hint="eastAsia" w:ascii="宋体" w:hAnsi="宋体" w:eastAsia="宋体" w:cs="Times New Roman"/>
          <w:color w:val="auto"/>
          <w:szCs w:val="21"/>
          <w:lang w:val="en-US" w:eastAsia="zh-CN"/>
        </w:rPr>
        <w:t>最后通过真实数据集与传统的概率模型进行了对比，验证了该模型的有效性。</w:t>
      </w:r>
    </w:p>
    <w:p>
      <w:pPr>
        <w:pStyle w:val="22"/>
        <w:rPr>
          <w:rFonts w:hint="default" w:ascii="宋体" w:hAnsi="宋体" w:eastAsia="宋体" w:cs="Times New Roman"/>
          <w:color w:val="auto"/>
          <w:szCs w:val="21"/>
          <w:lang w:val="en-US" w:eastAsia="zh-CN"/>
        </w:rPr>
      </w:pPr>
      <w:r>
        <w:rPr>
          <w:rFonts w:hint="eastAsia" w:ascii="宋体" w:hAnsi="宋体" w:eastAsia="宋体" w:cs="Times New Roman"/>
          <w:color w:val="auto"/>
          <w:szCs w:val="21"/>
          <w:lang w:val="en-US" w:eastAsia="zh-CN"/>
        </w:rPr>
        <w:t>本文的主要贡献有：</w:t>
      </w:r>
    </w:p>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 xml:space="preserve">1 </w:t>
      </w:r>
      <w:r>
        <w:rPr>
          <w:rFonts w:hint="eastAsia" w:ascii="Times New Roman" w:hAnsi="Times New Roman"/>
          <w:b/>
          <w:color w:val="auto"/>
          <w:sz w:val="28"/>
          <w:szCs w:val="28"/>
          <w:lang w:val="en-US" w:eastAsia="zh-CN"/>
        </w:rPr>
        <w:t>相关工作</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目前主流的主观题作业的自动判别技术主要有两种，基于自然语言处理的技术和基于同行互评的技术。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根据同行评价者反馈的内容进行分类，可以将主观题的同行互评的汇总估计技术分为序数估计技术和基数估计技术。</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.1</w:t>
      </w:r>
      <w:r>
        <w:rPr>
          <w:rFonts w:hint="eastAsia" w:ascii="Times New Roman" w:hAnsi="Times New Roman"/>
          <w:b/>
          <w:color w:val="auto"/>
          <w:szCs w:val="21"/>
          <w:lang w:val="en-US" w:eastAsia="zh-CN"/>
        </w:rPr>
        <w:t xml:space="preserve"> 序数估计技术</w:t>
      </w:r>
    </w:p>
    <w:p>
      <w:pPr>
        <w:pStyle w:val="22"/>
        <w:rPr>
          <w:rFonts w:hint="eastAsia" w:ascii="Times New Roman" w:hAnsi="Times New Roman"/>
          <w:color w:val="auto"/>
          <w:szCs w:val="21"/>
          <w:lang w:val="en-US" w:eastAsia="zh-CN"/>
        </w:rPr>
      </w:pPr>
      <w:r>
        <w:rPr>
          <w:rFonts w:hint="eastAsia" w:ascii="Times New Roman" w:hAnsi="Times New Roman"/>
          <w:color w:val="auto"/>
          <w:szCs w:val="21"/>
          <w:lang w:val="en-US" w:eastAsia="zh-CN"/>
        </w:rPr>
        <w:t>序数估计技术要求每个同行评价者给出其评价作业的优劣排序，最后将所有同行评价者的部分作业排序进行汇总，得到所有作业的最终排名。序数估计的主要研究点在于将多个部分的排序序列整合，推断出整体序列。Shah等人在Bradley-Terry(BT)模型【】的基础上，提出了RBTL模型【】，将每个从学生那里收集的有序比较对，看做是两两比较的成对偏好分布，通过两两间的关系推导出最终的排名。而Raman【】等人将一些传统的排序聚合模型（包括BT【】、MAL【】、Thurstone【】、PL【】）应用到了序数估计模型中，并且引入了同行评价者的评分可靠性变量，有效提升了序数估计模型对作业真实分数估计的准确性。Nicola等人则基于模糊数学理论定义了一个有序同行评价模型FOPA【】，与只有“大于”、“小于”传统的序数估计不同，FOPA模型映入更多的关系符号，例如“远远大于”、“大于等于”、“约等于”等，以此提高序数估计的准确性。</w:t>
      </w:r>
    </w:p>
    <w:p>
      <w:pPr>
        <w:pStyle w:val="22"/>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序数估计技术将评审活动转化为了一项简单的比较任务，降低了互评的难度。但是，同行互评还存在一些的问题：对于一些水平相近的作业，序数估计在对其量化时会扩大它们的实际差距。</w:t>
      </w:r>
      <w:r>
        <w:rPr>
          <w:rFonts w:hint="eastAsia" w:ascii="Times New Roman" w:hAnsi="Times New Roman" w:eastAsia="宋体" w:cs="Times New Roman"/>
          <w:color w:val="auto"/>
          <w:szCs w:val="21"/>
          <w:lang w:val="en-US" w:eastAsia="zh-CN"/>
        </w:rPr>
        <w:t>此外</w:t>
      </w:r>
      <w:r>
        <w:rPr>
          <w:rFonts w:hint="eastAsia" w:ascii="Times New Roman" w:hAnsi="Times New Roman" w:cs="Times New Roman"/>
          <w:color w:val="auto"/>
          <w:szCs w:val="21"/>
          <w:lang w:val="en-US" w:eastAsia="zh-CN"/>
        </w:rPr>
        <w:t>，学生提交的比较对也可以</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直接打分</w:t>
      </w:r>
      <w:r>
        <w:rPr>
          <w:rFonts w:hint="eastAsia" w:ascii="Times New Roman" w:hAnsi="Times New Roman" w:eastAsia="宋体" w:cs="Times New Roman"/>
          <w:color w:val="auto"/>
          <w:szCs w:val="21"/>
          <w:lang w:val="en-US" w:eastAsia="zh-CN"/>
        </w:rPr>
        <w:t>的方式排序得到，</w:t>
      </w:r>
      <w:r>
        <w:rPr>
          <w:rFonts w:hint="eastAsia" w:ascii="Times New Roman" w:hAnsi="Times New Roman" w:cs="Times New Roman"/>
          <w:color w:val="auto"/>
          <w:szCs w:val="21"/>
          <w:lang w:val="en-US" w:eastAsia="zh-CN"/>
        </w:rPr>
        <w:t>这说明和</w:t>
      </w:r>
      <w:r>
        <w:rPr>
          <w:rFonts w:hint="eastAsia" w:ascii="Times New Roman" w:hAnsi="Times New Roman" w:eastAsia="宋体" w:cs="Times New Roman"/>
          <w:color w:val="auto"/>
          <w:szCs w:val="21"/>
          <w:lang w:val="en-US" w:eastAsia="zh-CN"/>
        </w:rPr>
        <w:t>直接打分</w:t>
      </w:r>
      <w:r>
        <w:rPr>
          <w:rFonts w:hint="eastAsia" w:ascii="Times New Roman" w:hAnsi="Times New Roman" w:cs="Times New Roman"/>
          <w:color w:val="auto"/>
          <w:szCs w:val="21"/>
          <w:lang w:val="en-US" w:eastAsia="zh-CN"/>
        </w:rPr>
        <w:t>相比</w:t>
      </w:r>
      <w:r>
        <w:rPr>
          <w:rFonts w:hint="eastAsia" w:ascii="Times New Roman" w:hAnsi="Times New Roman" w:eastAsia="宋体" w:cs="Times New Roman"/>
          <w:color w:val="auto"/>
          <w:szCs w:val="21"/>
          <w:lang w:val="en-US" w:eastAsia="zh-CN"/>
        </w:rPr>
        <w:t>，序数估计</w:t>
      </w:r>
      <w:r>
        <w:rPr>
          <w:rFonts w:hint="eastAsia" w:ascii="Times New Roman" w:hAnsi="Times New Roman" w:cs="Times New Roman"/>
          <w:color w:val="auto"/>
          <w:szCs w:val="21"/>
          <w:lang w:val="en-US" w:eastAsia="zh-CN"/>
        </w:rPr>
        <w:t>包含了更少的信息</w:t>
      </w:r>
      <w:r>
        <w:rPr>
          <w:rFonts w:hint="eastAsia" w:ascii="Times New Roman" w:hAnsi="Times New Roman" w:eastAsia="宋体" w:cs="Times New Roman"/>
          <w:color w:val="auto"/>
          <w:szCs w:val="21"/>
          <w:lang w:val="en-US" w:eastAsia="zh-CN"/>
        </w:rPr>
        <w:t>。</w:t>
      </w:r>
    </w:p>
    <w:p>
      <w:pPr>
        <w:pStyle w:val="22"/>
        <w:ind w:firstLine="0" w:firstLineChars="0"/>
        <w:rPr>
          <w:rFonts w:hint="default" w:ascii="Times New Roman" w:hAnsi="Times New Roman" w:eastAsia="宋体"/>
          <w:b/>
          <w:color w:val="auto"/>
          <w:szCs w:val="21"/>
          <w:lang w:val="en-US" w:eastAsia="zh-CN"/>
        </w:rPr>
      </w:pPr>
      <w:r>
        <w:rPr>
          <w:rFonts w:hint="eastAsia" w:ascii="Times New Roman" w:hAnsi="Times New Roman"/>
          <w:b/>
          <w:color w:val="auto"/>
          <w:szCs w:val="21"/>
          <w:lang w:val="en-US" w:eastAsia="zh-CN"/>
        </w:rPr>
        <w:t>1</w:t>
      </w:r>
      <w:r>
        <w:rPr>
          <w:rFonts w:hint="eastAsia" w:ascii="Times New Roman" w:hAnsi="Times New Roman"/>
          <w:b/>
          <w:color w:val="auto"/>
          <w:szCs w:val="21"/>
        </w:rPr>
        <w:t>.</w:t>
      </w:r>
      <w:r>
        <w:rPr>
          <w:rFonts w:hint="eastAsia" w:ascii="Times New Roman" w:hAnsi="Times New Roman"/>
          <w:b/>
          <w:color w:val="auto"/>
          <w:szCs w:val="21"/>
          <w:lang w:val="en-US" w:eastAsia="zh-CN"/>
        </w:rPr>
        <w:t>2 基数估计技术</w:t>
      </w:r>
    </w:p>
    <w:p>
      <w:pPr>
        <w:keepNext w:val="0"/>
        <w:keepLines w:val="0"/>
        <w:widowControl/>
        <w:suppressLineNumbers w:val="0"/>
        <w:jc w:val="left"/>
        <w:rPr>
          <w:rFonts w:hint="eastAsia" w:ascii="Times New Roman" w:hAnsi="Times New Roman" w:eastAsia="宋体" w:cs="Times New Roman"/>
          <w:color w:val="auto"/>
          <w:szCs w:val="21"/>
          <w:lang w:val="en-US" w:eastAsia="zh-CN"/>
        </w:rPr>
      </w:pPr>
      <w:r>
        <w:rPr>
          <w:rFonts w:hint="eastAsia" w:ascii="Times New Roman" w:hAnsi="Times New Roman"/>
          <w:color w:val="auto"/>
          <w:szCs w:val="21"/>
          <w:lang w:val="en-US" w:eastAsia="zh-CN"/>
        </w:rPr>
        <w:t>基数估计技术要求每个同行评价者根据评分准则，给评价的作业一个数字评分。之后通过一些方式汇总每份作业获得的所有评分，得到最终分数。</w:t>
      </w:r>
      <w:r>
        <w:rPr>
          <w:rFonts w:hint="eastAsia" w:ascii="Times New Roman" w:hAnsi="Times New Roman" w:eastAsia="宋体" w:cs="Times New Roman"/>
          <w:color w:val="auto"/>
          <w:szCs w:val="21"/>
          <w:lang w:val="en-US" w:eastAsia="zh-CN"/>
        </w:rPr>
        <w:t>目前基数估计是</w:t>
      </w:r>
      <w:r>
        <w:rPr>
          <w:rFonts w:hint="eastAsia" w:ascii="Times New Roman" w:hAnsi="Times New Roman" w:cs="Times New Roman"/>
          <w:color w:val="auto"/>
          <w:szCs w:val="21"/>
          <w:lang w:val="en-US" w:eastAsia="zh-CN"/>
        </w:rPr>
        <w:t>主流</w:t>
      </w:r>
      <w:r>
        <w:rPr>
          <w:rFonts w:hint="eastAsia" w:ascii="Times New Roman" w:hAnsi="Times New Roman" w:eastAsia="宋体" w:cs="Times New Roman"/>
          <w:color w:val="auto"/>
          <w:szCs w:val="21"/>
          <w:lang w:val="en-US" w:eastAsia="zh-CN"/>
        </w:rPr>
        <w:t>MOOC平台采用的同行互评的评判方法</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对比序数估计，基数估计更能体现作业之间的绝对分数差，可以更加准确的的量化作业之间的分数差距。</w:t>
      </w:r>
      <w:r>
        <w:rPr>
          <w:rFonts w:hint="eastAsia" w:ascii="Times New Roman" w:hAnsi="Times New Roman"/>
          <w:color w:val="auto"/>
          <w:szCs w:val="21"/>
          <w:lang w:val="en-US" w:eastAsia="zh-CN"/>
        </w:rPr>
        <w:t>基数估计的汇总方法主要有两种：加权聚合模型和生成概率模型。加权聚合模型主要通过计算每个同行评价者的准确性作为权</w:t>
      </w:r>
      <w:r>
        <w:rPr>
          <w:rFonts w:hint="eastAsia" w:ascii="Times New Roman" w:hAnsi="Times New Roman" w:eastAsia="宋体" w:cs="Times New Roman"/>
          <w:color w:val="auto"/>
          <w:szCs w:val="21"/>
          <w:lang w:val="en-US" w:eastAsia="zh-CN"/>
        </w:rPr>
        <w:t>重，然后</w:t>
      </w:r>
      <w:r>
        <w:rPr>
          <w:rFonts w:hint="eastAsia" w:ascii="Times New Roman" w:hAnsi="Times New Roman" w:cs="Times New Roman"/>
          <w:color w:val="auto"/>
          <w:szCs w:val="21"/>
          <w:lang w:val="en-US" w:eastAsia="zh-CN"/>
        </w:rPr>
        <w:t>将同行评价者的评分</w:t>
      </w:r>
      <w:r>
        <w:rPr>
          <w:rFonts w:hint="eastAsia" w:ascii="Times New Roman" w:hAnsi="Times New Roman" w:eastAsia="宋体" w:cs="Times New Roman"/>
          <w:color w:val="auto"/>
          <w:szCs w:val="21"/>
          <w:lang w:val="en-US" w:eastAsia="zh-CN"/>
        </w:rPr>
        <w:t>加权聚合</w:t>
      </w:r>
      <w:r>
        <w:rPr>
          <w:rFonts w:hint="eastAsia" w:ascii="Times New Roman" w:hAnsi="Times New Roman" w:cs="Times New Roman"/>
          <w:color w:val="auto"/>
          <w:szCs w:val="21"/>
          <w:lang w:val="en-US" w:eastAsia="zh-CN"/>
        </w:rPr>
        <w:t>，</w:t>
      </w:r>
      <w:r>
        <w:rPr>
          <w:rFonts w:hint="eastAsia" w:ascii="Times New Roman" w:hAnsi="Times New Roman" w:eastAsia="宋体" w:cs="Times New Roman"/>
          <w:color w:val="auto"/>
          <w:szCs w:val="21"/>
          <w:lang w:val="en-US" w:eastAsia="zh-CN"/>
        </w:rPr>
        <w:t>得到作业的真实分数。</w:t>
      </w:r>
      <w:r>
        <w:rPr>
          <w:rFonts w:hint="eastAsia" w:ascii="Times New Roman" w:hAnsi="Times New Roman" w:cs="Times New Roman"/>
          <w:color w:val="auto"/>
          <w:szCs w:val="21"/>
          <w:lang w:val="en-US" w:eastAsia="zh-CN"/>
        </w:rPr>
        <w:t>Fang等人</w:t>
      </w:r>
      <w:r>
        <w:rPr>
          <w:rFonts w:hint="eastAsia" w:ascii="Times New Roman" w:hAnsi="Times New Roman" w:eastAsia="宋体" w:cs="Times New Roman"/>
          <w:color w:val="auto"/>
          <w:szCs w:val="21"/>
          <w:lang w:val="en-US" w:eastAsia="zh-CN"/>
        </w:rPr>
        <w:t>提出了RankwithTA</w:t>
      </w:r>
      <w:r>
        <w:rPr>
          <w:rFonts w:hint="eastAsia" w:ascii="Times New Roman" w:hAnsi="Times New Roman" w:cs="Times New Roman"/>
          <w:color w:val="auto"/>
          <w:szCs w:val="21"/>
          <w:lang w:val="en-US" w:eastAsia="zh-CN"/>
        </w:rPr>
        <w:t>模型【】</w:t>
      </w:r>
      <w:r>
        <w:rPr>
          <w:rFonts w:hint="eastAsia" w:ascii="Times New Roman" w:hAnsi="Times New Roman" w:eastAsia="宋体" w:cs="Times New Roman"/>
          <w:color w:val="auto"/>
          <w:szCs w:val="21"/>
          <w:lang w:val="en-US" w:eastAsia="zh-CN"/>
        </w:rPr>
        <w:t>，通过</w:t>
      </w:r>
      <w:r>
        <w:rPr>
          <w:rFonts w:hint="eastAsia" w:ascii="Times New Roman" w:hAnsi="Times New Roman" w:cs="Times New Roman"/>
          <w:color w:val="auto"/>
          <w:szCs w:val="21"/>
          <w:lang w:val="en-US" w:eastAsia="zh-CN"/>
        </w:rPr>
        <w:t>教师</w:t>
      </w:r>
      <w:r>
        <w:rPr>
          <w:rFonts w:hint="eastAsia" w:ascii="Times New Roman" w:hAnsi="Times New Roman" w:eastAsia="宋体" w:cs="Times New Roman"/>
          <w:color w:val="auto"/>
          <w:szCs w:val="21"/>
          <w:lang w:val="en-US" w:eastAsia="zh-CN"/>
        </w:rPr>
        <w:t>半监督</w:t>
      </w:r>
      <w:r>
        <w:rPr>
          <w:rFonts w:hint="eastAsia" w:ascii="Times New Roman" w:hAnsi="Times New Roman" w:cs="Times New Roman"/>
          <w:color w:val="auto"/>
          <w:szCs w:val="21"/>
          <w:lang w:val="en-US" w:eastAsia="zh-CN"/>
        </w:rPr>
        <w:t>抽查</w:t>
      </w:r>
      <w:r>
        <w:rPr>
          <w:rFonts w:hint="eastAsia" w:ascii="Times New Roman" w:hAnsi="Times New Roman" w:eastAsia="宋体" w:cs="Times New Roman"/>
          <w:color w:val="auto"/>
          <w:szCs w:val="21"/>
          <w:lang w:val="en-US" w:eastAsia="zh-CN"/>
        </w:rPr>
        <w:t>的方式</w:t>
      </w:r>
      <w:r>
        <w:rPr>
          <w:rFonts w:hint="eastAsia" w:ascii="Times New Roman" w:hAnsi="Times New Roman" w:cs="Times New Roman"/>
          <w:color w:val="auto"/>
          <w:szCs w:val="21"/>
          <w:lang w:val="en-US" w:eastAsia="zh-CN"/>
        </w:rPr>
        <w:t>确定</w:t>
      </w:r>
      <w:r>
        <w:rPr>
          <w:rFonts w:hint="eastAsia" w:ascii="Times New Roman" w:hAnsi="Times New Roman" w:eastAsia="宋体" w:cs="Times New Roman"/>
          <w:color w:val="auto"/>
          <w:szCs w:val="21"/>
          <w:lang w:val="en-US" w:eastAsia="zh-CN"/>
        </w:rPr>
        <w:t>每个同行评价者的评分准确性</w:t>
      </w:r>
      <w:r>
        <w:rPr>
          <w:rFonts w:hint="eastAsia" w:ascii="Times New Roman" w:hAnsi="Times New Roman" w:cs="Times New Roman"/>
          <w:color w:val="auto"/>
          <w:szCs w:val="21"/>
          <w:lang w:val="en-US" w:eastAsia="zh-CN"/>
        </w:rPr>
        <w:t>。在该模型中，</w:t>
      </w:r>
      <w:r>
        <w:rPr>
          <w:rFonts w:hint="eastAsia" w:ascii="Times New Roman" w:hAnsi="Times New Roman" w:eastAsia="宋体" w:cs="Times New Roman"/>
          <w:color w:val="auto"/>
          <w:szCs w:val="21"/>
          <w:lang w:val="en-US" w:eastAsia="zh-CN"/>
        </w:rPr>
        <w:t>教师</w:t>
      </w:r>
      <w:r>
        <w:rPr>
          <w:rFonts w:hint="eastAsia" w:ascii="Times New Roman" w:hAnsi="Times New Roman" w:cs="Times New Roman"/>
          <w:color w:val="auto"/>
          <w:szCs w:val="21"/>
          <w:lang w:val="en-US" w:eastAsia="zh-CN"/>
        </w:rPr>
        <w:t>将抽查</w:t>
      </w:r>
      <w:r>
        <w:rPr>
          <w:rFonts w:hint="eastAsia" w:ascii="Times New Roman" w:hAnsi="Times New Roman" w:eastAsia="宋体" w:cs="Times New Roman"/>
          <w:color w:val="auto"/>
          <w:szCs w:val="21"/>
          <w:lang w:val="en-US" w:eastAsia="zh-CN"/>
        </w:rPr>
        <w:t>部分学生的作业打分，</w:t>
      </w:r>
      <w:r>
        <w:rPr>
          <w:rFonts w:hint="eastAsia" w:ascii="Times New Roman" w:hAnsi="Times New Roman" w:cs="Times New Roman"/>
          <w:color w:val="auto"/>
          <w:szCs w:val="21"/>
          <w:lang w:val="en-US" w:eastAsia="zh-CN"/>
        </w:rPr>
        <w:t>以教师的评分作为学生的权重，并通过这部分学生与其他学生间的评价交集得到所有学生的权重</w:t>
      </w:r>
      <w:r>
        <w:rPr>
          <w:rFonts w:hint="eastAsia" w:ascii="Times New Roman" w:hAnsi="Times New Roman" w:eastAsia="宋体" w:cs="Times New Roman"/>
          <w:color w:val="auto"/>
          <w:szCs w:val="21"/>
          <w:lang w:val="en-US" w:eastAsia="zh-CN"/>
        </w:rPr>
        <w:t>。而</w:t>
      </w:r>
      <w:r>
        <w:rPr>
          <w:rFonts w:hint="eastAsia" w:ascii="Times New Roman" w:hAnsi="Times New Roman" w:cs="Times New Roman"/>
          <w:color w:val="auto"/>
          <w:szCs w:val="21"/>
          <w:lang w:val="en-US" w:eastAsia="zh-CN"/>
        </w:rPr>
        <w:t>Wang</w:t>
      </w:r>
      <w:r>
        <w:rPr>
          <w:rFonts w:hint="eastAsia" w:ascii="Times New Roman" w:hAnsi="Times New Roman" w:eastAsia="宋体" w:cs="Times New Roman"/>
          <w:color w:val="auto"/>
          <w:szCs w:val="21"/>
          <w:lang w:val="en-US" w:eastAsia="zh-CN"/>
        </w:rPr>
        <w:t>认为将学生的作业成绩等价为评审能力是不全面的</w:t>
      </w:r>
      <w:r>
        <w:rPr>
          <w:rFonts w:hint="eastAsia" w:ascii="Times New Roman" w:hAnsi="Times New Roman" w:cs="Times New Roman"/>
          <w:color w:val="auto"/>
          <w:szCs w:val="21"/>
          <w:lang w:val="en-US" w:eastAsia="zh-CN"/>
        </w:rPr>
        <w:t>，于是在此基础上</w:t>
      </w:r>
      <w:r>
        <w:rPr>
          <w:rFonts w:hint="eastAsia" w:ascii="Times New Roman" w:hAnsi="Times New Roman" w:eastAsia="宋体" w:cs="Times New Roman"/>
          <w:color w:val="auto"/>
          <w:szCs w:val="21"/>
          <w:lang w:val="en-US" w:eastAsia="zh-CN"/>
        </w:rPr>
        <w:t>提出了SSPA模型</w:t>
      </w:r>
      <w:r>
        <w:rPr>
          <w:rFonts w:hint="eastAsia" w:ascii="Times New Roman" w:hAnsi="Times New Roman" w:cs="Times New Roman"/>
          <w:color w:val="auto"/>
          <w:szCs w:val="21"/>
          <w:lang w:val="en-US" w:eastAsia="zh-CN"/>
        </w:rPr>
        <w:t>【】。SSPA</w:t>
      </w:r>
      <w:r>
        <w:rPr>
          <w:rFonts w:hint="eastAsia" w:ascii="Times New Roman" w:hAnsi="Times New Roman" w:eastAsia="宋体" w:cs="Times New Roman"/>
          <w:color w:val="auto"/>
          <w:szCs w:val="21"/>
          <w:lang w:val="en-US" w:eastAsia="zh-CN"/>
        </w:rPr>
        <w:t>在构建同行评价者的准确性时，将同行评价者与教师评分的差距也作为其影响因素，结合学生的作业成绩来共同决定学生的准确性，进而加权聚合得到学生的真实分数。</w:t>
      </w:r>
      <w:r>
        <w:rPr>
          <w:rFonts w:hint="eastAsia" w:ascii="Times New Roman" w:hAnsi="Times New Roman" w:cs="Times New Roman"/>
          <w:color w:val="auto"/>
          <w:szCs w:val="21"/>
          <w:lang w:val="en-US" w:eastAsia="zh-CN"/>
        </w:rPr>
        <w:t>虽然加权聚合模型比起均值、中位数更加准确，但是它还是没有很好的量化同行评价者之间的个体差异。而</w:t>
      </w:r>
      <w:r>
        <w:rPr>
          <w:rFonts w:hint="eastAsia" w:ascii="Times New Roman" w:hAnsi="Times New Roman" w:eastAsia="宋体" w:cs="Times New Roman"/>
          <w:color w:val="auto"/>
          <w:szCs w:val="21"/>
          <w:lang w:val="en-US" w:eastAsia="zh-CN"/>
        </w:rPr>
        <w:t>生成概率模型则是将学生作业的真实分数、同行评价者的其他属性建模为含隐变量概率分布模型，然后通过可观测的评分信息推演隐变量的值。生成概率模型最早由Piech</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提出，他们</w:t>
      </w:r>
      <w:r>
        <w:rPr>
          <w:rFonts w:hint="eastAsia" w:cs="Times New Roman"/>
          <w:color w:val="auto"/>
          <w:szCs w:val="21"/>
          <w:lang w:val="en-US" w:eastAsia="zh-CN"/>
        </w:rPr>
        <w:t>一共</w:t>
      </w:r>
      <w:r>
        <w:rPr>
          <w:rFonts w:hint="eastAsia" w:ascii="Times New Roman" w:hAnsi="Times New Roman" w:eastAsia="宋体" w:cs="Times New Roman"/>
          <w:color w:val="auto"/>
          <w:szCs w:val="21"/>
          <w:lang w:val="en-US" w:eastAsia="zh-CN"/>
        </w:rPr>
        <w:t>提出了三种概率模型PG1，PG2，PG3。</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其中效果最好的PG3认为同行评价者的可靠性与其作业的真实分数之间存在联系，于是在两者之间建立了线性关系进行转化，在实验的数据中，PG3的预测分数的准确性在三个模型中是最好的。而Mi</w:t>
      </w:r>
      <w:r>
        <w:rPr>
          <w:rFonts w:hint="eastAsia" w:cs="Times New Roman"/>
          <w:color w:val="auto"/>
          <w:szCs w:val="21"/>
          <w:lang w:val="en-US" w:eastAsia="zh-CN"/>
        </w:rPr>
        <w:t>等人</w:t>
      </w:r>
      <w:r>
        <w:rPr>
          <w:rFonts w:hint="eastAsia" w:ascii="Times New Roman" w:hAnsi="Times New Roman" w:eastAsia="宋体" w:cs="Times New Roman"/>
          <w:color w:val="auto"/>
          <w:szCs w:val="21"/>
          <w:lang w:val="en-US" w:eastAsia="zh-CN"/>
        </w:rPr>
        <w:t>认为，</w:t>
      </w:r>
      <w:r>
        <w:rPr>
          <w:rFonts w:hint="eastAsia" w:cs="Times New Roman"/>
          <w:color w:val="auto"/>
          <w:szCs w:val="21"/>
          <w:lang w:val="en-US" w:eastAsia="zh-CN"/>
        </w:rPr>
        <w:t>线性关系</w:t>
      </w:r>
      <w:r>
        <w:rPr>
          <w:rFonts w:hint="eastAsia" w:ascii="Times New Roman" w:hAnsi="Times New Roman" w:eastAsia="宋体" w:cs="Times New Roman"/>
          <w:color w:val="auto"/>
          <w:szCs w:val="21"/>
          <w:lang w:val="en-US" w:eastAsia="zh-CN"/>
        </w:rPr>
        <w:t>不能准确的</w:t>
      </w:r>
      <w:r>
        <w:rPr>
          <w:rFonts w:hint="eastAsia" w:cs="Times New Roman"/>
          <w:color w:val="auto"/>
          <w:szCs w:val="21"/>
          <w:lang w:val="en-US" w:eastAsia="zh-CN"/>
        </w:rPr>
        <w:t>概括真实分数与可靠性</w:t>
      </w:r>
      <w:r>
        <w:rPr>
          <w:rFonts w:hint="eastAsia" w:ascii="Times New Roman" w:hAnsi="Times New Roman" w:eastAsia="宋体" w:cs="Times New Roman"/>
          <w:color w:val="auto"/>
          <w:szCs w:val="21"/>
          <w:lang w:val="en-US" w:eastAsia="zh-CN"/>
        </w:rPr>
        <w:t>的</w:t>
      </w:r>
      <w:r>
        <w:rPr>
          <w:rFonts w:hint="eastAsia" w:cs="Times New Roman"/>
          <w:color w:val="auto"/>
          <w:szCs w:val="21"/>
          <w:lang w:val="en-US" w:eastAsia="zh-CN"/>
        </w:rPr>
        <w:t>联系</w:t>
      </w:r>
      <w:r>
        <w:rPr>
          <w:rFonts w:hint="eastAsia" w:ascii="Times New Roman" w:hAnsi="Times New Roman" w:eastAsia="宋体" w:cs="Times New Roman"/>
          <w:color w:val="auto"/>
          <w:szCs w:val="21"/>
          <w:lang w:val="en-US" w:eastAsia="zh-CN"/>
        </w:rPr>
        <w:t>，所以</w:t>
      </w:r>
      <w:r>
        <w:rPr>
          <w:rFonts w:hint="eastAsia" w:cs="Times New Roman"/>
          <w:color w:val="auto"/>
          <w:szCs w:val="21"/>
          <w:lang w:val="en-US" w:eastAsia="zh-CN"/>
        </w:rPr>
        <w:t>他们</w:t>
      </w:r>
      <w:r>
        <w:rPr>
          <w:rFonts w:hint="eastAsia" w:ascii="Times New Roman" w:hAnsi="Times New Roman" w:eastAsia="宋体" w:cs="Times New Roman"/>
          <w:color w:val="auto"/>
          <w:szCs w:val="21"/>
          <w:lang w:val="en-US" w:eastAsia="zh-CN"/>
        </w:rPr>
        <w:t>在PG3的基础上，将同行评价者的可靠性建模为均值为真实分数的概率分布模型，提出了PG4和PG5</w:t>
      </w:r>
      <w:r>
        <w:rPr>
          <w:rFonts w:hint="eastAsia" w:cs="Times New Roman"/>
          <w:color w:val="auto"/>
          <w:szCs w:val="21"/>
          <w:lang w:val="en-US" w:eastAsia="zh-CN"/>
        </w:rPr>
        <w:t>【】</w:t>
      </w:r>
      <w:r>
        <w:rPr>
          <w:rFonts w:hint="eastAsia" w:ascii="Times New Roman" w:hAnsi="Times New Roman" w:eastAsia="宋体" w:cs="Times New Roman"/>
          <w:color w:val="auto"/>
          <w:szCs w:val="21"/>
          <w:lang w:val="en-US" w:eastAsia="zh-CN"/>
        </w:rPr>
        <w:t>，</w:t>
      </w:r>
      <w:r>
        <w:rPr>
          <w:rFonts w:hint="eastAsia" w:cs="Times New Roman"/>
          <w:color w:val="auto"/>
          <w:szCs w:val="21"/>
          <w:lang w:val="en-US" w:eastAsia="zh-CN"/>
        </w:rPr>
        <w:t>以此提高了预测最终分数的准确性</w:t>
      </w:r>
      <w:r>
        <w:rPr>
          <w:rFonts w:hint="eastAsia" w:ascii="Times New Roman" w:hAnsi="Times New Roman" w:eastAsia="宋体" w:cs="Times New Roman"/>
          <w:color w:val="auto"/>
          <w:szCs w:val="21"/>
          <w:lang w:val="en-US" w:eastAsia="zh-CN"/>
        </w:rPr>
        <w:t>。其中PG4假设可靠性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服从伽马分布，而PG5假设可靠性</w:t>
      </w:r>
      <w:r>
        <w:rPr>
          <w:rFonts w:hint="eastAsia" w:cs="Times New Roman"/>
          <w:color w:val="auto"/>
          <w:szCs w:val="21"/>
          <w:lang w:val="en-US" w:eastAsia="zh-CN"/>
        </w:rPr>
        <w:t>的概率</w:t>
      </w:r>
      <w:r>
        <w:rPr>
          <w:rFonts w:hint="eastAsia" w:ascii="Times New Roman" w:hAnsi="Times New Roman" w:eastAsia="宋体" w:cs="Times New Roman"/>
          <w:color w:val="auto"/>
          <w:szCs w:val="21"/>
          <w:lang w:val="en-US" w:eastAsia="zh-CN"/>
        </w:rPr>
        <w:t>服从高斯分布。然而，上诉模型都只依靠同行互评者打分这一个可观测的变量，使得预测模型存在数据稀疏的缺陷。因此，Wang在PG4和PG5上加入了相对分数等级，即同一评分者不同提交成绩的绝对同伴等级的差异，构成了PG6和PG7</w:t>
      </w:r>
      <w:r>
        <w:rPr>
          <w:rFonts w:hint="eastAsia" w:cs="Times New Roman"/>
          <w:color w:val="auto"/>
          <w:szCs w:val="21"/>
          <w:lang w:val="en-US" w:eastAsia="zh-CN"/>
        </w:rPr>
        <w:t>【】。两者在原有的模型基础上，加入了一个可观测变量，</w:t>
      </w:r>
      <w:r>
        <w:rPr>
          <w:rFonts w:hint="eastAsia" w:ascii="Times New Roman" w:hAnsi="Times New Roman" w:eastAsia="宋体" w:cs="Times New Roman"/>
          <w:color w:val="auto"/>
          <w:szCs w:val="21"/>
          <w:lang w:val="en-US" w:eastAsia="zh-CN"/>
        </w:rPr>
        <w:t>有效地解决了数据稀疏性带来的问题。然而，现有的概率生成模型在对学生的可靠性建模时，将学生作业的真实分数作为</w:t>
      </w:r>
      <w:r>
        <w:rPr>
          <w:rFonts w:hint="eastAsia" w:cs="Times New Roman"/>
          <w:color w:val="auto"/>
          <w:szCs w:val="21"/>
          <w:lang w:val="en-US" w:eastAsia="zh-CN"/>
        </w:rPr>
        <w:t>其</w:t>
      </w:r>
      <w:r>
        <w:rPr>
          <w:rFonts w:hint="eastAsia" w:ascii="Times New Roman" w:hAnsi="Times New Roman" w:eastAsia="宋体" w:cs="Times New Roman"/>
          <w:color w:val="auto"/>
          <w:szCs w:val="21"/>
          <w:lang w:val="en-US" w:eastAsia="zh-CN"/>
        </w:rPr>
        <w:t>主要的影响因素</w:t>
      </w:r>
      <w:r>
        <w:rPr>
          <w:rFonts w:hint="eastAsia" w:cs="Times New Roman"/>
          <w:color w:val="auto"/>
          <w:szCs w:val="21"/>
          <w:lang w:val="en-US" w:eastAsia="zh-CN"/>
        </w:rPr>
        <w:t>。然而</w:t>
      </w:r>
      <w:r>
        <w:rPr>
          <w:rFonts w:hint="eastAsia" w:ascii="Times New Roman" w:hAnsi="Times New Roman" w:eastAsia="宋体" w:cs="Times New Roman"/>
          <w:color w:val="auto"/>
          <w:szCs w:val="21"/>
          <w:lang w:val="en-US" w:eastAsia="zh-CN"/>
        </w:rPr>
        <w:t>学生的评价能力和作业成绩没有直接联系。例如一个具有高水平学术能力的学生在没有认真评价的情况下，依然会给出一个低质量的评价结果。所以，直接使用真实分数作为可靠性的建模标准会产生一定的误差。对此我们提出了一种学生的评价准确性的定义方法，将其</w:t>
      </w:r>
      <w:r>
        <w:rPr>
          <w:rFonts w:hint="eastAsia" w:cs="Times New Roman"/>
          <w:color w:val="auto"/>
          <w:szCs w:val="21"/>
          <w:lang w:val="en-US" w:eastAsia="zh-CN"/>
        </w:rPr>
        <w:t>作为</w:t>
      </w:r>
      <w:r>
        <w:rPr>
          <w:rFonts w:hint="eastAsia" w:ascii="Times New Roman" w:hAnsi="Times New Roman" w:eastAsia="宋体" w:cs="Times New Roman"/>
          <w:color w:val="auto"/>
          <w:szCs w:val="21"/>
          <w:lang w:val="en-US" w:eastAsia="zh-CN"/>
        </w:rPr>
        <w:t>可靠性的建模方法。评价的准确性</w:t>
      </w:r>
      <w:r>
        <w:rPr>
          <w:rFonts w:hint="eastAsia" w:cs="Times New Roman"/>
          <w:color w:val="auto"/>
          <w:szCs w:val="21"/>
          <w:lang w:val="en-US" w:eastAsia="zh-CN"/>
        </w:rPr>
        <w:t>可以</w:t>
      </w:r>
      <w:r>
        <w:rPr>
          <w:rFonts w:hint="eastAsia" w:ascii="Times New Roman" w:hAnsi="Times New Roman" w:eastAsia="宋体" w:cs="Times New Roman"/>
          <w:color w:val="auto"/>
          <w:szCs w:val="21"/>
          <w:lang w:val="en-US" w:eastAsia="zh-CN"/>
        </w:rPr>
        <w:t>直接体现</w:t>
      </w:r>
      <w:r>
        <w:rPr>
          <w:rFonts w:hint="eastAsia" w:cs="Times New Roman"/>
          <w:color w:val="auto"/>
          <w:szCs w:val="21"/>
          <w:lang w:val="en-US" w:eastAsia="zh-CN"/>
        </w:rPr>
        <w:t>在</w:t>
      </w:r>
      <w:r>
        <w:rPr>
          <w:rFonts w:hint="eastAsia" w:ascii="Times New Roman" w:hAnsi="Times New Roman" w:eastAsia="宋体" w:cs="Times New Roman"/>
          <w:color w:val="auto"/>
          <w:szCs w:val="21"/>
          <w:lang w:val="en-US" w:eastAsia="zh-CN"/>
        </w:rPr>
        <w:t>学生评分</w:t>
      </w:r>
      <w:r>
        <w:rPr>
          <w:rFonts w:hint="eastAsia" w:cs="Times New Roman"/>
          <w:color w:val="auto"/>
          <w:szCs w:val="21"/>
          <w:lang w:val="en-US" w:eastAsia="zh-CN"/>
        </w:rPr>
        <w:t>与真实分数的</w:t>
      </w:r>
      <w:r>
        <w:rPr>
          <w:rFonts w:hint="eastAsia" w:ascii="Times New Roman" w:hAnsi="Times New Roman" w:eastAsia="宋体" w:cs="Times New Roman"/>
          <w:color w:val="auto"/>
          <w:szCs w:val="21"/>
          <w:lang w:val="en-US" w:eastAsia="zh-CN"/>
        </w:rPr>
        <w:t>差距</w:t>
      </w:r>
      <w:r>
        <w:rPr>
          <w:rFonts w:hint="eastAsia" w:cs="Times New Roman"/>
          <w:color w:val="auto"/>
          <w:szCs w:val="21"/>
          <w:lang w:val="en-US" w:eastAsia="zh-CN"/>
        </w:rPr>
        <w:t>上</w:t>
      </w:r>
      <w:r>
        <w:rPr>
          <w:rFonts w:hint="eastAsia" w:ascii="Times New Roman" w:hAnsi="Times New Roman" w:eastAsia="宋体" w:cs="Times New Roman"/>
          <w:color w:val="auto"/>
          <w:szCs w:val="21"/>
          <w:lang w:val="en-US" w:eastAsia="zh-CN"/>
        </w:rPr>
        <w:t>，差距越小，说明学生评价的可靠性越高。并且，在一个周期之内，学生的可靠性不会发生太大的变化。</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color w:val="auto"/>
          <w:szCs w:val="21"/>
          <w:lang w:val="en-US" w:eastAsia="zh-CN"/>
        </w:rPr>
      </w:pPr>
      <w:r>
        <w:rPr>
          <w:rFonts w:hint="eastAsia" w:ascii="Times New Roman" w:hAnsi="Times New Roman" w:eastAsia="宋体" w:cs="Times New Roman"/>
          <w:color w:val="auto"/>
          <w:szCs w:val="21"/>
          <w:lang w:val="en-US" w:eastAsia="zh-CN"/>
        </w:rPr>
        <w:t>我们将学生的在互评结束之后的汇总分数看做学生的真实分数，通过差值来计算学生的可靠性。而且我们还使用了一种半监督的方式，让教师在互评时对部分学生打出真实分数，以此能够更好的对模型呈现更新性。最后，我们在真实的实验数据集中验证了我们的模型的有效性。</w:t>
      </w:r>
    </w:p>
    <w:p>
      <w:pPr>
        <w:rPr>
          <w:rFonts w:hint="eastAsia"/>
          <w:color w:val="auto"/>
          <w:szCs w:val="21"/>
        </w:rPr>
      </w:pPr>
      <w:r>
        <w:rPr>
          <w:rFonts w:hint="eastAsia"/>
          <w:color w:val="auto"/>
          <w:szCs w:val="21"/>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85090</wp:posOffset>
                </wp:positionV>
                <wp:extent cx="1943100" cy="0"/>
                <wp:effectExtent l="0" t="0" r="0" b="0"/>
                <wp:wrapNone/>
                <wp:docPr id="1" name="直线 3"/>
                <wp:cNvGraphicFramePr/>
                <a:graphic xmlns:a="http://schemas.openxmlformats.org/drawingml/2006/main">
                  <a:graphicData uri="http://schemas.microsoft.com/office/word/2010/wordprocessingShape">
                    <wps:wsp>
                      <wps:cNvCnPr/>
                      <wps:spPr>
                        <a:xfrm>
                          <a:off x="0" y="0"/>
                          <a:ext cx="19431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0pt;margin-top:6.7pt;height:0pt;width:153pt;z-index:251659264;mso-width-relative:page;mso-height-relative:page;" filled="f" stroked="t" coordsize="21600,21600" o:gfxdata="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kVJxZ0gAAAAYB&#10;AAAPAAAAAAAAAAEAIAAAACIAAABkcnMvZG93bnJldi54bWxQSwECFAAUAAAACACHTuJAezYbn+gB&#10;AADbAwAADgAAAAAAAAABACAAAAAhAQAAZHJzL2Uyb0RvYy54bWxQSwUGAAAAAAYABgBZAQAAewUA&#10;AAAA&#10;">
                <v:fill on="f" focussize="0,0"/>
                <v:stroke color="#000000" joinstyle="round"/>
                <v:imagedata o:title=""/>
                <o:lock v:ext="edit" aspectratio="f"/>
              </v:line>
            </w:pict>
          </mc:Fallback>
        </mc:AlternateContent>
      </w:r>
    </w:p>
    <w:p>
      <w:pPr>
        <w:spacing w:line="120" w:lineRule="auto"/>
        <w:rPr>
          <w:color w:val="auto"/>
          <w:sz w:val="18"/>
          <w:szCs w:val="18"/>
        </w:rPr>
      </w:pPr>
      <w:r>
        <w:rPr>
          <w:rFonts w:hint="eastAsia" w:hAnsi="宋体"/>
          <w:color w:val="auto"/>
          <w:sz w:val="18"/>
          <w:szCs w:val="18"/>
        </w:rPr>
        <w:t>*</w:t>
      </w:r>
      <w:r>
        <w:rPr>
          <w:rFonts w:hAnsi="宋体"/>
          <w:color w:val="auto"/>
          <w:sz w:val="18"/>
          <w:szCs w:val="18"/>
        </w:rPr>
        <w:t>基金项目</w:t>
      </w:r>
    </w:p>
    <w:p>
      <w:pPr>
        <w:rPr>
          <w:rFonts w:ascii="宋体" w:hAnsi="宋体"/>
          <w:color w:val="auto"/>
          <w:sz w:val="18"/>
          <w:szCs w:val="18"/>
        </w:rPr>
      </w:pPr>
      <w:r>
        <w:rPr>
          <w:rFonts w:hint="eastAsia" w:ascii="宋体" w:hAnsi="宋体"/>
          <w:b/>
          <w:bCs/>
          <w:color w:val="auto"/>
          <w:sz w:val="18"/>
          <w:szCs w:val="18"/>
        </w:rPr>
        <w:t>【作者简介】</w:t>
      </w:r>
    </w:p>
    <w:p>
      <w:pPr>
        <w:rPr>
          <w:rFonts w:hint="eastAsia" w:hAnsi="宋体"/>
          <w:color w:val="auto"/>
          <w:sz w:val="18"/>
          <w:szCs w:val="18"/>
        </w:rPr>
      </w:pPr>
      <w:r>
        <w:rPr>
          <w:rFonts w:hint="eastAsia" w:hAnsi="宋体"/>
          <w:color w:val="auto"/>
          <w:sz w:val="18"/>
          <w:szCs w:val="18"/>
        </w:rPr>
        <w:t>第一作者 (出生年—)，性别，职称，主要从事研究方向。（我刊</w:t>
      </w:r>
      <w:r>
        <w:rPr>
          <w:rFonts w:hAnsi="宋体"/>
          <w:color w:val="auto"/>
          <w:sz w:val="18"/>
          <w:szCs w:val="18"/>
        </w:rPr>
        <w:t>不接受共同第一作者。</w:t>
      </w:r>
      <w:r>
        <w:rPr>
          <w:rFonts w:hint="eastAsia" w:hAnsi="宋体"/>
          <w:color w:val="auto"/>
          <w:sz w:val="18"/>
          <w:szCs w:val="18"/>
        </w:rPr>
        <w:t>）</w:t>
      </w:r>
    </w:p>
    <w:p>
      <w:pPr>
        <w:rPr>
          <w:rFonts w:hAnsi="宋体"/>
          <w:color w:val="auto"/>
          <w:sz w:val="18"/>
          <w:szCs w:val="18"/>
        </w:rPr>
      </w:pPr>
      <w:r>
        <w:rPr>
          <w:rFonts w:hint="eastAsia" w:hAnsi="宋体"/>
          <w:color w:val="auto"/>
          <w:sz w:val="18"/>
          <w:szCs w:val="18"/>
        </w:rPr>
        <w:t>【**通信作者】</w:t>
      </w:r>
    </w:p>
    <w:p>
      <w:pPr>
        <w:rPr>
          <w:rFonts w:hint="eastAsia"/>
          <w:color w:val="auto"/>
          <w:szCs w:val="21"/>
        </w:rPr>
      </w:pPr>
      <w:r>
        <w:rPr>
          <w:rFonts w:hint="eastAsia" w:hAnsi="宋体"/>
          <w:color w:val="auto"/>
          <w:sz w:val="18"/>
          <w:szCs w:val="18"/>
        </w:rPr>
        <w:t>姓名 (出生年—)，性别，职称（需</w:t>
      </w:r>
      <w:r>
        <w:rPr>
          <w:rFonts w:hAnsi="宋体"/>
          <w:color w:val="auto"/>
          <w:sz w:val="18"/>
          <w:szCs w:val="18"/>
        </w:rPr>
        <w:t>与第一作者同级或更高</w:t>
      </w:r>
      <w:r>
        <w:rPr>
          <w:rFonts w:hint="eastAsia" w:hAnsi="宋体"/>
          <w:color w:val="auto"/>
          <w:sz w:val="18"/>
          <w:szCs w:val="18"/>
        </w:rPr>
        <w:t>），主要从事研究方向，E-mail：</w:t>
      </w:r>
    </w:p>
    <w:p>
      <w:pPr>
        <w:pStyle w:val="22"/>
        <w:spacing w:line="360" w:lineRule="auto"/>
        <w:ind w:firstLine="0" w:firstLineChars="0"/>
        <w:rPr>
          <w:rFonts w:hint="default" w:ascii="Times New Roman" w:hAnsi="Times New Roman"/>
          <w:b/>
          <w:color w:val="auto"/>
          <w:sz w:val="28"/>
          <w:szCs w:val="28"/>
          <w:lang w:val="en-US" w:eastAsia="zh-CN"/>
        </w:rPr>
      </w:pPr>
      <w:r>
        <w:rPr>
          <w:rFonts w:hint="eastAsia" w:ascii="Times New Roman" w:hAnsi="Times New Roman"/>
          <w:b/>
          <w:color w:val="auto"/>
          <w:sz w:val="28"/>
          <w:szCs w:val="28"/>
        </w:rPr>
        <w:t xml:space="preserve">2 </w:t>
      </w:r>
      <w:r>
        <w:rPr>
          <w:rFonts w:hint="eastAsia" w:ascii="Times New Roman" w:hAnsi="Times New Roman"/>
          <w:b/>
          <w:color w:val="auto"/>
          <w:sz w:val="28"/>
          <w:szCs w:val="28"/>
          <w:lang w:val="en-US" w:eastAsia="zh-CN"/>
        </w:rPr>
        <w:t>同行互评概率模型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在本节中，我们会首先介绍使用到的符号，然后介绍我们自定义的互评能力的计算方法，最后介绍我们的同行互评概率模型。</w:t>
      </w: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2.1</w:t>
      </w:r>
      <w:r>
        <w:rPr>
          <w:rFonts w:hint="eastAsia" w:ascii="Times New Roman" w:hAnsi="Times New Roman"/>
          <w:b/>
          <w:color w:val="auto"/>
          <w:szCs w:val="21"/>
          <w:lang w:val="en-US" w:eastAsia="zh-CN"/>
        </w:rPr>
        <w:t xml:space="preserve"> 符号意义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对于所有</w:t>
      </w:r>
      <w:r>
        <w:rPr>
          <w:rFonts w:hint="eastAsia" w:cs="Times New Roman"/>
          <w:color w:val="auto"/>
          <w:kern w:val="2"/>
          <w:sz w:val="21"/>
          <w:szCs w:val="21"/>
          <w:vertAlign w:val="baseline"/>
          <w:lang w:val="en-US" w:eastAsia="zh-CN"/>
        </w:rPr>
        <w:t>参与同行互评的学生集合</w:t>
      </w:r>
      <w:r>
        <w:rPr>
          <w:rFonts w:hint="eastAsia" w:cs="Times New Roman"/>
          <w:color w:val="auto"/>
          <w:kern w:val="2"/>
          <w:sz w:val="21"/>
          <w:szCs w:val="21"/>
          <w:lang w:val="en-US" w:eastAsia="zh-CN"/>
        </w:rPr>
        <w:t>，我们使用</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w:r>
        <w:rPr>
          <w:rFonts w:hint="default" w:ascii="Times New Roman" w:hAnsi="Times New Roman" w:cs="Times New Roman"/>
          <w:i/>
          <w:iCs/>
          <w:color w:val="auto"/>
          <w:kern w:val="2"/>
          <w:sz w:val="21"/>
          <w:szCs w:val="21"/>
          <w:lang w:val="en-US" w:eastAsia="zh-CN"/>
        </w:rPr>
        <w:t>U</w:t>
      </w:r>
      <w:r>
        <w:rPr>
          <w:rFonts w:hint="eastAsia" w:cs="Times New Roman"/>
          <w:color w:val="auto"/>
          <w:kern w:val="2"/>
          <w:sz w:val="21"/>
          <w:szCs w:val="21"/>
          <w:lang w:val="en-US" w:eastAsia="zh-CN"/>
        </w:rPr>
        <w:t>中的</w:t>
      </w:r>
      <w:r>
        <w:rPr>
          <w:rFonts w:hint="eastAsia" w:hAnsi="Cambria Math" w:cs="Times New Roman"/>
          <w:i w:val="0"/>
          <w:color w:val="auto"/>
          <w:kern w:val="2"/>
          <w:sz w:val="21"/>
          <w:szCs w:val="21"/>
          <w:lang w:val="en-US" w:eastAsia="zh-CN"/>
        </w:rPr>
        <w:t>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r>
        <w:rPr>
          <w:rFonts w:hint="eastAsia" w:cs="Times New Roman"/>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default" w:cs="Times New Roman"/>
          <w:color w:val="0000FF"/>
          <w:kern w:val="2"/>
          <w:sz w:val="21"/>
          <w:szCs w:val="21"/>
          <w:lang w:val="en-US" w:eastAsia="zh-CN"/>
        </w:rPr>
      </w:pPr>
      <w:r>
        <w:rPr>
          <w:rFonts w:hint="eastAsia" w:cs="Times New Roman"/>
          <w:color w:val="auto"/>
          <w:kern w:val="2"/>
          <w:sz w:val="21"/>
          <w:szCs w:val="21"/>
          <w:lang w:val="en-US" w:eastAsia="zh-CN"/>
        </w:rPr>
        <w:t>我们用</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表示同行评价者，通常情况下,所有提交作业的学生都将作为同行评价者参与打分，即</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r>
        <w:rPr>
          <w:rFonts w:hint="eastAsia" w:cs="Times New Roman"/>
          <w:color w:val="auto"/>
          <w:kern w:val="2"/>
          <w:sz w:val="21"/>
          <w:szCs w:val="21"/>
          <w:lang w:val="en-US" w:eastAsia="zh-CN"/>
        </w:rPr>
        <w:t>。我们用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作为评价者，评价的所有作业的集合</w:t>
      </w:r>
      <w:r>
        <w:rPr>
          <w:rFonts w:hint="eastAsia" w:cs="Times New Roman"/>
          <w:color w:val="auto"/>
          <w:kern w:val="2"/>
          <w:sz w:val="21"/>
          <w:szCs w:val="21"/>
          <w:lang w:val="en-US" w:eastAsia="zh-CN"/>
        </w:rPr>
        <w:t>。用</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在互评活动中，一名同行评价者要求为</w:t>
      </w:r>
      <w:r>
        <w:rPr>
          <w:rFonts w:hint="default" w:ascii="Times New Roman" w:hAnsi="Times New Roman" w:cs="Times New Roman"/>
          <w:i/>
          <w:iCs/>
          <w:color w:val="auto"/>
          <w:kern w:val="2"/>
          <w:sz w:val="21"/>
          <w:szCs w:val="21"/>
          <w:lang w:val="en-US" w:eastAsia="zh-CN"/>
        </w:rPr>
        <w:t>l</w:t>
      </w:r>
      <w:r>
        <w:rPr>
          <w:rFonts w:hint="eastAsia" w:cs="Times New Roman"/>
          <w:color w:val="auto"/>
          <w:kern w:val="2"/>
          <w:sz w:val="21"/>
          <w:szCs w:val="21"/>
          <w:lang w:val="en-US" w:eastAsia="zh-CN"/>
        </w:rPr>
        <w:t>份作业评分，即</w:t>
      </w:r>
      <m:oMath>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r>
          <m:rPr/>
          <w:rPr>
            <w:rFonts w:hint="default" w:ascii="Cambria Math" w:hAnsi="Cambria Math" w:cs="Times New Roman"/>
            <w:color w:val="auto"/>
            <w:kern w:val="2"/>
            <w:sz w:val="21"/>
            <w:szCs w:val="21"/>
            <w:lang w:val="en-US" w:eastAsia="zh-CN"/>
          </w:rPr>
          <m:t>=</m:t>
        </m:r>
        <m:d>
          <m:dPr>
            <m:begChr m:val="|"/>
            <m:endChr m:val="|"/>
            <m:ctrlPr>
              <w:rPr>
                <w:rFonts w:hint="default" w:ascii="Cambria Math" w:hAnsi="Cambria Math" w:cs="Times New Roman"/>
                <w:i/>
                <w:color w:val="auto"/>
                <w:kern w:val="2"/>
                <w:sz w:val="21"/>
                <w:szCs w:val="21"/>
                <w:lang w:val="en-US" w:eastAsia="zh-CN"/>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=l</m:t>
        </m:r>
      </m:oMath>
      <w:r>
        <w:rPr>
          <w:rFonts w:hint="eastAsia" w:cs="Times New Roman"/>
          <w:color w:val="auto"/>
          <w:kern w:val="2"/>
          <w:sz w:val="21"/>
          <w:szCs w:val="21"/>
          <w:lang w:val="en-US" w:eastAsia="zh-CN"/>
        </w:rPr>
        <w:t>，其作业的满分为</w:t>
      </w:r>
      <m:oMath>
        <m:r>
          <m:rPr/>
          <w:rPr>
            <w:rFonts w:hint="default"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接下来是概率模型重要概念的定义，包括可观测变量和隐变量。表一总结了以下变量。</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真实分数</w:t>
      </w:r>
      <w:r>
        <w:rPr>
          <w:rFonts w:hint="eastAsia" w:cs="Times New Roman"/>
          <w:color w:val="auto"/>
          <w:kern w:val="2"/>
          <w:sz w:val="21"/>
          <w:szCs w:val="21"/>
          <w:lang w:val="en-US" w:eastAsia="zh-CN"/>
        </w:rPr>
        <w:t>：真实分数是隐变量，表示一份作业严格按照评分准则得到的分数。本文中，我们将教师对作业的评分视为该作业的真实分数。真实分数用字母</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是学生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作业的真实分数。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偏见</w:t>
      </w:r>
      <w:r>
        <w:rPr>
          <w:rFonts w:hint="eastAsia" w:cs="Times New Roman"/>
          <w:color w:val="auto"/>
          <w:kern w:val="2"/>
          <w:sz w:val="21"/>
          <w:szCs w:val="21"/>
          <w:lang w:val="en-US" w:eastAsia="zh-CN"/>
        </w:rPr>
        <w:t>：偏见是隐变量，表示一个同行互评者在互评时夸大和缩小一定分数的倾向,作为同行评价者的评价属性。</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可靠性</w:t>
      </w:r>
      <w:r>
        <w:rPr>
          <w:rFonts w:hint="eastAsia" w:cs="Times New Roman"/>
          <w:color w:val="auto"/>
          <w:kern w:val="2"/>
          <w:sz w:val="21"/>
          <w:szCs w:val="21"/>
          <w:lang w:val="en-US" w:eastAsia="zh-CN"/>
        </w:rPr>
        <w:t>：可靠性是隐变量，表示评价者的评分在经历了偏置的校准后，对作业真实分数的平均倾向。可靠性通过</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表示，</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的可靠性。传统的概率模型中，评价者的可靠性取决于学生的真实分数，在我们的概率模型中，评价者的可靠性将取决于评分能力。</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互评分数</w:t>
      </w:r>
      <w:r>
        <w:rPr>
          <w:rFonts w:hint="eastAsia" w:cs="Times New Roman"/>
          <w:color w:val="auto"/>
          <w:kern w:val="2"/>
          <w:sz w:val="21"/>
          <w:szCs w:val="21"/>
          <w:lang w:val="en-US" w:eastAsia="zh-CN"/>
        </w:rPr>
        <w:t>：互评分数是可观测变量，表示同行评价者给作业打出的评分，用字母</w:t>
      </w:r>
      <w:r>
        <w:rPr>
          <w:rFonts w:hint="default" w:ascii="Times New Roman" w:hAnsi="Times New Roman" w:cs="Times New Roman"/>
          <w:i/>
          <w:iCs/>
          <w:color w:val="auto"/>
          <w:kern w:val="2"/>
          <w:sz w:val="21"/>
          <w:szCs w:val="21"/>
          <w:lang w:val="en-US" w:eastAsia="zh-CN"/>
        </w:rPr>
        <w:t>z</w:t>
      </w:r>
      <w:r>
        <w:rPr>
          <w:rFonts w:hint="eastAsia" w:ascii="Times New Roman" w:hAnsi="Times New Roman" w:cs="Times New Roman"/>
          <w:i w:val="0"/>
          <w:iCs w:val="0"/>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打出的评分。评价分数的集合</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表示为</w:t>
      </w:r>
      <m:oMath>
        <m:r>
          <m:rPr/>
          <w:rPr>
            <w:rFonts w:hint="default" w:ascii="Cambria Math" w:hAnsi="Cambria Math" w:cs="Times New Roman"/>
            <w:color w:val="auto"/>
            <w:kern w:val="2"/>
            <w:sz w:val="21"/>
            <w:szCs w:val="21"/>
            <w:lang w:val="en-US" w:eastAsia="zh-CN" w:bidi="ar-SA"/>
          </w:rPr>
          <m:t>Z={</m:t>
        </m:r>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r>
          <m:rPr/>
          <w:rPr>
            <w:rFonts w:hint="default" w:ascii="Cambria Math" w:hAnsi="Cambria Math" w:cs="Times New Roman"/>
            <w:color w:val="auto"/>
            <w:kern w:val="2"/>
            <w:sz w:val="21"/>
            <w:szCs w:val="21"/>
            <w:lang w:val="en-US" w:eastAsia="zh-CN"/>
          </w:rPr>
          <m:t>|</m:t>
        </m:r>
        <m:sSub>
          <m:sSubPr>
            <m:ctrlPr>
              <w:rPr>
                <w:rFonts w:ascii="Cambria Math" w:hAnsi="Cambria Math" w:cs="Times New Roman"/>
                <w:i/>
                <w:iCs/>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Sub>
        <m:r>
          <m:rPr>
            <m:sty m:val="p"/>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U,v</m:t>
        </m:r>
        <m:r>
          <m:rPr/>
          <w:rPr>
            <w:rFonts w:ascii="Cambria Math" w:hAnsi="Cambria Math" w:cs="Times New Roman"/>
            <w:color w:val="auto"/>
            <w:kern w:val="2"/>
            <w:sz w:val="21"/>
            <w:szCs w:val="21"/>
            <w:lang w:val="en-US"/>
          </w:rPr>
          <m:t>∈</m:t>
        </m:r>
        <m:r>
          <m:rPr/>
          <w:rPr>
            <w:rFonts w:hint="default" w:ascii="Cambria Math" w:hAnsi="Cambria Math" w:cs="Times New Roman"/>
            <w:color w:val="auto"/>
            <w:kern w:val="2"/>
            <w:sz w:val="21"/>
            <w:szCs w:val="21"/>
            <w:lang w:val="en-US" w:eastAsia="zh-CN"/>
          </w:rPr>
          <m:t>U</m:t>
        </m:r>
        <m:r>
          <m:rPr>
            <m:sty m:val="p"/>
          </m:rPr>
          <w:rPr>
            <w:rFonts w:hint="default" w:ascii="Cambria Math" w:hAnsi="Cambria Math" w:cs="Times New Roman"/>
            <w:color w:val="auto"/>
            <w:kern w:val="2"/>
            <w:sz w:val="21"/>
            <w:szCs w:val="21"/>
            <w:lang w:val="en-US" w:eastAsia="zh-CN" w:bidi="ar-SA"/>
          </w:rPr>
          <m:t>}</m:t>
        </m:r>
      </m:oMath>
      <w:r>
        <w:rPr>
          <w:rFonts w:hint="eastAsia" w:hAnsi="Cambria Math" w:cs="Times New Roman"/>
          <w:i w:val="0"/>
          <w:color w:val="auto"/>
          <w:kern w:val="2"/>
          <w:sz w:val="21"/>
          <w:szCs w:val="21"/>
          <w:lang w:val="en-US" w:eastAsia="zh-CN" w:bidi="ar-SA"/>
        </w:rPr>
        <w:t>.在生成评分者的偏差和可靠性以及真实分数后，可以用这些变量生成互评分数。</w:t>
      </w:r>
    </w:p>
    <w:p>
      <w:pPr>
        <w:pStyle w:val="27"/>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cs="Times New Roman"/>
          <w:color w:val="auto"/>
          <w:kern w:val="2"/>
          <w:sz w:val="21"/>
          <w:szCs w:val="21"/>
          <w:lang w:val="en-US" w:eastAsia="zh-CN"/>
        </w:rPr>
      </w:pPr>
      <w:r>
        <w:rPr>
          <w:rFonts w:hint="eastAsia" w:cs="Times New Roman"/>
          <w:b/>
          <w:bCs/>
          <w:color w:val="auto"/>
          <w:kern w:val="2"/>
          <w:sz w:val="21"/>
          <w:szCs w:val="21"/>
          <w:lang w:val="en-US" w:eastAsia="zh-CN"/>
        </w:rPr>
        <w:t>相对分数</w:t>
      </w:r>
      <w:r>
        <w:rPr>
          <w:rFonts w:hint="eastAsia" w:cs="Times New Roman"/>
          <w:color w:val="auto"/>
          <w:kern w:val="2"/>
          <w:sz w:val="21"/>
          <w:szCs w:val="21"/>
          <w:lang w:val="en-US" w:eastAsia="zh-CN"/>
        </w:rPr>
        <w:t>：相对分数是可观测变量，表示同一个同行评价者的互评分数们之间的差距，用</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表示。</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的互评分数之间的绝对差，即</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和</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之间的绝对差。</w:t>
      </w: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p>
    <w:p>
      <w:pPr>
        <w:pStyle w:val="2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eastAsia="zh-CN"/>
        </w:rPr>
      </w:pPr>
      <w:r>
        <w:rPr>
          <w:rFonts w:hint="eastAsia" w:cs="Times New Roman"/>
          <w:color w:val="auto"/>
          <w:kern w:val="2"/>
          <w:sz w:val="21"/>
          <w:szCs w:val="21"/>
          <w:lang w:val="en-US" w:eastAsia="zh-CN"/>
        </w:rPr>
        <w:t>表</w:t>
      </w:r>
      <w:r>
        <w:rPr>
          <w:rFonts w:hint="default" w:cs="Times New Roman"/>
          <w:color w:val="auto"/>
          <w:kern w:val="2"/>
          <w:sz w:val="21"/>
          <w:szCs w:val="21"/>
          <w:lang w:eastAsia="zh-CN"/>
        </w:rPr>
        <w:t xml:space="preserve"> 1 主要符号及其含义</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textAlignment w:val="auto"/>
        <w:rPr>
          <w:rFonts w:hint="default" w:ascii="Times New Roman" w:hAnsi="Times New Roman" w:cs="Times New Roman"/>
          <w:color w:val="auto"/>
          <w:kern w:val="2"/>
          <w:sz w:val="21"/>
          <w:szCs w:val="21"/>
          <w:lang w:eastAsia="zh-CN"/>
        </w:rPr>
      </w:pPr>
      <w:r>
        <w:rPr>
          <w:rFonts w:hint="default" w:ascii="Times New Roman" w:hAnsi="Times New Roman" w:cs="Times New Roman"/>
          <w:color w:val="auto"/>
          <w:kern w:val="2"/>
          <w:sz w:val="21"/>
          <w:szCs w:val="21"/>
          <w:lang w:eastAsia="zh-CN"/>
        </w:rPr>
        <w:t>Table 1 Main notations and their descriptions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3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符号</w:t>
            </w:r>
          </w:p>
        </w:tc>
        <w:tc>
          <w:tcPr>
            <w:tcW w:w="3371" w:type="dxa"/>
            <w:tcBorders>
              <w:top w:val="single" w:color="auto" w:sz="4" w:space="0"/>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eastAsia="zh-CN" w:bidi="ar-SA"/>
                  </w:rPr>
                  <m:t>U</m:t>
                </m:r>
              </m:oMath>
            </m:oMathPara>
          </w:p>
        </w:tc>
        <w:tc>
          <w:tcPr>
            <w:tcW w:w="3371" w:type="dxa"/>
            <w:tcBorders>
              <w:top w:val="single" w:color="auto" w:sz="4" w:space="0"/>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参与同行互评的学生集合，</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表示第</w:t>
            </w:r>
            <w:r>
              <w:rPr>
                <w:rFonts w:hint="default" w:ascii="Times New Roman" w:hAnsi="Times New Roman" w:cs="Times New Roman"/>
                <w:i/>
                <w:iCs/>
                <w:color w:val="auto"/>
                <w:kern w:val="2"/>
                <w:sz w:val="21"/>
                <w:szCs w:val="21"/>
                <w:lang w:val="en-US" w:eastAsia="zh-CN"/>
              </w:rPr>
              <w:t>i</w:t>
            </w:r>
            <w:r>
              <w:rPr>
                <w:rFonts w:hint="eastAsia" w:hAnsi="Cambria Math" w:cs="Times New Roman"/>
                <w:i w:val="0"/>
                <w:color w:val="auto"/>
                <w:kern w:val="2"/>
                <w:sz w:val="21"/>
                <w:szCs w:val="21"/>
                <w:lang w:val="en-US" w:eastAsia="zh-CN"/>
              </w:rPr>
              <w:t>个学生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lang w:val="en-US" w:eastAsia="zh-CN"/>
              </w:rPr>
              <w:t>v</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一位同行评价者，</w:t>
            </w:r>
            <m:oMath>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oMath>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ascii="Times New Roman" w:hAnsi="Times New Roman" w:cs="Times New Roman"/>
                <w:i/>
                <w:iCs/>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评价者</w:t>
            </w:r>
            <m:oMath>
              <m:r>
                <m:rPr/>
                <w:rPr>
                  <w:rFonts w:hint="default" w:ascii="Cambria Math" w:hAnsi="Cambria Math" w:cs="Times New Roman"/>
                  <w:color w:val="auto"/>
                  <w:kern w:val="2"/>
                  <w:sz w:val="21"/>
                  <w:szCs w:val="21"/>
                  <w:lang w:val="en-US" w:eastAsia="zh-CN"/>
                </w:rPr>
                <m:t>v</m:t>
              </m:r>
            </m:oMath>
            <w:r>
              <w:rPr>
                <w:rFonts w:hint="eastAsia" w:hAnsi="Cambria Math" w:cs="Times New Roman"/>
                <w:i w:val="0"/>
                <w:color w:val="auto"/>
                <w:kern w:val="2"/>
                <w:sz w:val="21"/>
                <w:szCs w:val="21"/>
                <w:lang w:val="en-US" w:eastAsia="zh-CN"/>
              </w:rPr>
              <w:t>评价的所有作业的集合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评价了学生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的所有评价者的集合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default" w:cs="Times New Roman"/>
                <w:color w:val="auto"/>
                <w:kern w:val="2"/>
                <w:sz w:val="21"/>
                <w:szCs w:val="21"/>
                <w:vertAlign w:val="baseline"/>
                <w:lang w:val="en-US" w:eastAsia="zh-CN"/>
              </w:rPr>
            </w:pPr>
            <w:r>
              <w:rPr>
                <w:rFonts w:hint="default" w:ascii="Times New Roman" w:hAnsi="Times New Roman" w:cs="Times New Roman"/>
                <w:i/>
                <w:iCs/>
                <w:color w:val="auto"/>
                <w:kern w:val="2"/>
                <w:sz w:val="21"/>
                <w:szCs w:val="21"/>
                <w:vertAlign w:val="baseline"/>
                <w:lang w:val="en-US" w:eastAsia="zh-CN"/>
              </w:rPr>
              <w:t>l</w:t>
            </w:r>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eastAsia="宋体"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每个学生在同行评审阶段评价的作业数量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r>
                  <m:rPr/>
                  <w:rPr>
                    <w:rFonts w:hint="default" w:ascii="Cambria Math" w:hAnsi="Cambria Math" w:cs="Times New Roman"/>
                    <w:color w:val="auto"/>
                    <w:kern w:val="2"/>
                    <w:sz w:val="21"/>
                    <w:szCs w:val="21"/>
                    <w:lang w:val="en-US"/>
                  </w:rPr>
                  <m:t>φ</m:t>
                </m:r>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作业的满分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default" w:cs="Times New Roman"/>
                <w:color w:val="auto"/>
                <w:kern w:val="2"/>
                <w:sz w:val="21"/>
                <w:szCs w:val="21"/>
                <w:vertAlign w:val="baseline"/>
                <w:lang w:val="en-US" w:eastAsia="zh-CN"/>
              </w:rPr>
            </w:pPr>
            <w:r>
              <w:rPr>
                <w:rFonts w:hint="eastAsia" w:cs="Times New Roman"/>
                <w:color w:val="auto"/>
                <w:kern w:val="2"/>
                <w:sz w:val="21"/>
                <w:szCs w:val="21"/>
                <w:vertAlign w:val="baseline"/>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w:t>
            </w:r>
            <w:r>
              <w:rPr>
                <w:rFonts w:hint="eastAsia" w:cs="Times New Roman"/>
                <w:color w:val="auto"/>
                <w:kern w:val="2"/>
                <w:sz w:val="21"/>
                <w:szCs w:val="21"/>
                <w:vertAlign w:val="baseline"/>
                <w:lang w:val="en-US" w:eastAsia="zh-CN"/>
              </w:rPr>
              <w:t>的真实分数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hint="eastAsia" w:cs="Times New Roman"/>
                <w:color w:val="auto"/>
                <w:kern w:val="2"/>
                <w:sz w:val="21"/>
                <w:szCs w:val="21"/>
                <w:vertAlign w:val="baseline"/>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同行评价者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iCs/>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iCs/>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iCs/>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iCs/>
                        <w:color w:val="auto"/>
                        <w:kern w:val="2"/>
                        <w:sz w:val="21"/>
                        <w:szCs w:val="21"/>
                        <w:lang w:val="en-US"/>
                      </w:rPr>
                    </m:ctrlPr>
                  </m:sup>
                </m:sSubSup>
              </m:oMath>
            </m:oMathPara>
          </w:p>
        </w:tc>
        <w:tc>
          <w:tcPr>
            <w:tcW w:w="3371" w:type="dxa"/>
            <w:tcBorders>
              <w:top w:val="nil"/>
              <w:left w:val="nil"/>
              <w:bottom w:val="nil"/>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给学生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的作业</w:t>
            </w:r>
            <w:r>
              <w:rPr>
                <w:rFonts w:hint="eastAsia" w:cs="Times New Roman"/>
                <w:color w:val="auto"/>
                <w:kern w:val="2"/>
                <w:sz w:val="21"/>
                <w:szCs w:val="21"/>
                <w:lang w:val="en-US" w:eastAsia="zh-CN"/>
              </w:rPr>
              <w:t>打出的评分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7"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center"/>
              <w:textAlignment w:val="auto"/>
              <w:rPr>
                <w:rFonts w:ascii="Cambria Math" w:hAnsi="Cambria Math" w:cs="Times New Roman"/>
                <w:i/>
                <w:color w:val="auto"/>
                <w:kern w:val="2"/>
                <w:sz w:val="21"/>
                <w:szCs w:val="21"/>
                <w:lang w:val="en-US"/>
                <w:oMath/>
              </w:rPr>
            </w:pPr>
            <m:oMathPara>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m:oMathPara>
          </w:p>
        </w:tc>
        <w:tc>
          <w:tcPr>
            <w:tcW w:w="3371" w:type="dxa"/>
            <w:tcBorders>
              <w:top w:val="nil"/>
              <w:left w:val="nil"/>
              <w:bottom w:val="single" w:color="auto" w:sz="4" w:space="0"/>
              <w:right w:val="nil"/>
            </w:tcBorders>
          </w:tcPr>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jc w:val="left"/>
              <w:textAlignment w:val="auto"/>
              <w:rPr>
                <w:rFonts w:hint="eastAsia" w:cs="Times New Roman"/>
                <w:color w:val="auto"/>
                <w:kern w:val="2"/>
                <w:sz w:val="21"/>
                <w:szCs w:val="21"/>
                <w:vertAlign w:val="baseline"/>
                <w:lang w:val="en-US" w:eastAsia="zh-CN"/>
              </w:rPr>
            </w:pP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v</w:t>
            </w:r>
            <w:r>
              <w:rPr>
                <w:rFonts w:hint="eastAsia" w:cs="Times New Roman"/>
                <w:color w:val="auto"/>
                <w:kern w:val="2"/>
                <w:sz w:val="21"/>
                <w:szCs w:val="21"/>
                <w:lang w:val="en-US" w:eastAsia="zh-CN"/>
              </w:rPr>
              <w:t>对学生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作业的评分和</w:t>
            </w:r>
            <w:r>
              <w:rPr>
                <w:rFonts w:hint="eastAsia" w:cs="Times New Roman"/>
                <w:color w:val="auto"/>
                <w:kern w:val="2"/>
                <w:sz w:val="21"/>
                <w:szCs w:val="21"/>
                <w:lang w:val="en-US" w:eastAsia="zh-CN"/>
              </w:rPr>
              <w:t>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作业的评分</w:t>
            </w:r>
            <w:r>
              <w:rPr>
                <w:rFonts w:hint="eastAsia" w:cs="Times New Roman"/>
                <w:color w:val="auto"/>
                <w:kern w:val="2"/>
                <w:sz w:val="21"/>
                <w:szCs w:val="21"/>
                <w:lang w:val="en-US" w:eastAsia="zh-CN"/>
              </w:rPr>
              <w:t>的互评分数之间的绝对差</w:t>
            </w:r>
          </w:p>
        </w:tc>
      </w:tr>
    </w:tbl>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2"/>
        <w:ind w:firstLine="0" w:firstLineChars="0"/>
        <w:rPr>
          <w:rFonts w:hint="default"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2 评价能力</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现有的同行概率模型中，对同行评价者的可靠性建模由学生的真实分数决定。然而作业分数与学生评价能力之间并没有绝对的关系【】，Wang指出【】，同行评价者的准确性可以由其互评分数与真实分数之间的差距决定。因此我们将同行评价者的互评分数与真实分数作为一个新的变量，称为同行互评者的评分能力，重新对可靠性进行建模。计算评分能力的公式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r</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=1−</m:t>
          </m:r>
          <m:f>
            <m:fPr>
              <m:ctrlPr>
                <w:rPr>
                  <w:rFonts w:hint="default" w:ascii="Cambria Math" w:hAnsi="Cambria Math" w:cs="Times New Roman"/>
                  <w:i/>
                  <w:color w:val="auto"/>
                  <w:kern w:val="2"/>
                  <w:sz w:val="21"/>
                  <w:szCs w:val="21"/>
                  <w:lang w:val="en-US" w:eastAsia="zh-CN"/>
                </w:rPr>
              </m:ctrlPr>
            </m:fPr>
            <m:num>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p>
                      </m:sSubSup>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d>
                <m:dPr>
                  <m:begChr m:val="|"/>
                  <m:endChr m:val="|"/>
                  <m:ctrlPr>
                    <w:rPr>
                      <w:rFonts w:hint="default" w:ascii="Cambria Math" w:hAnsi="Cambria Math" w:cs="Times New Roman"/>
                      <w:i/>
                      <w:color w:val="auto"/>
                      <w:kern w:val="2"/>
                      <w:sz w:val="21"/>
                      <w:szCs w:val="21"/>
                      <w:lang w:val="en-US" w:eastAsia="zh-CN"/>
                    </w:rPr>
                  </m:ctrlPr>
                </m:dPr>
                <m:e>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φ</m:t>
              </m:r>
              <m:ctrlPr>
                <w:rPr>
                  <w:rFonts w:hint="default" w:ascii="Cambria Math" w:hAnsi="Cambria Math" w:cs="Times New Roman"/>
                  <w:i/>
                  <w:color w:val="auto"/>
                  <w:kern w:val="2"/>
                  <w:sz w:val="21"/>
                  <w:szCs w:val="21"/>
                  <w:lang w:val="en-US" w:eastAsia="zh-CN"/>
                </w:rPr>
              </m:ctrlPr>
            </m:den>
          </m:f>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eastAsia="宋体" w:cs="Times New Roman"/>
          <w:color w:val="auto"/>
          <w:kern w:val="2"/>
          <w:sz w:val="21"/>
          <w:szCs w:val="21"/>
          <w:lang w:val="en-US" w:eastAsia="zh-CN"/>
        </w:rPr>
      </w:pP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表示学生的真实得分，</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z</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p>
        </m:sSubSup>
      </m:oMath>
      <w:r>
        <w:rPr>
          <w:rFonts w:hint="eastAsia" w:cs="Times New Roman"/>
          <w:color w:val="auto"/>
          <w:kern w:val="2"/>
          <w:sz w:val="21"/>
          <w:szCs w:val="21"/>
          <w:lang w:val="en-US" w:eastAsia="zh-CN"/>
        </w:rPr>
        <w:t>表示学生</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对</w:t>
      </w:r>
      <w:r>
        <w:rPr>
          <w:rFonts w:hint="default" w:ascii="Times New Roman" w:hAnsi="Times New Roman" w:cs="Times New Roman"/>
          <w:i/>
          <w:iCs/>
          <w:color w:val="auto"/>
          <w:kern w:val="2"/>
          <w:sz w:val="21"/>
          <w:szCs w:val="21"/>
          <w:lang w:val="en-US" w:eastAsia="zh-CN"/>
        </w:rPr>
        <w:t>j</w:t>
      </w:r>
      <w:r>
        <w:rPr>
          <w:rFonts w:hint="eastAsia" w:cs="Times New Roman"/>
          <w:color w:val="auto"/>
          <w:kern w:val="2"/>
          <w:sz w:val="21"/>
          <w:szCs w:val="21"/>
          <w:lang w:val="en-US" w:eastAsia="zh-CN"/>
        </w:rPr>
        <w:t>的评分。</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H</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表示同行</w:t>
      </w:r>
      <w:r>
        <w:rPr>
          <w:rFonts w:hint="eastAsia" w:cs="Times New Roman"/>
          <w:color w:val="auto"/>
          <w:kern w:val="2"/>
          <w:sz w:val="21"/>
          <w:szCs w:val="21"/>
          <w:lang w:val="en-US" w:eastAsia="zh-CN"/>
        </w:rPr>
        <w:t>评价者</w:t>
      </w:r>
      <w:r>
        <w:rPr>
          <w:rFonts w:hint="default" w:ascii="Times New Roman" w:hAnsi="Times New Roman" w:cs="Times New Roman"/>
          <w:i/>
          <w:iCs/>
          <w:color w:val="auto"/>
          <w:kern w:val="2"/>
          <w:sz w:val="21"/>
          <w:szCs w:val="21"/>
          <w:lang w:val="en-US" w:eastAsia="zh-CN"/>
        </w:rPr>
        <w:t>i</w:t>
      </w:r>
      <w:r>
        <w:rPr>
          <w:rFonts w:hint="eastAsia" w:cs="Times New Roman"/>
          <w:color w:val="auto"/>
          <w:kern w:val="2"/>
          <w:sz w:val="21"/>
          <w:szCs w:val="21"/>
          <w:lang w:val="en-US" w:eastAsia="zh-CN"/>
        </w:rPr>
        <w:t>评价的作业集合中，具有真实分数的作业集合。</w:t>
      </w:r>
      <m:oMath>
        <m:r>
          <m:rPr/>
          <w:rPr>
            <w:rFonts w:ascii="Cambria Math" w:hAnsi="Cambria Math" w:cs="Times New Roman"/>
            <w:color w:val="auto"/>
            <w:kern w:val="2"/>
            <w:sz w:val="21"/>
            <w:szCs w:val="21"/>
            <w:lang w:val="en-US"/>
          </w:rPr>
          <m:t>φ</m:t>
        </m:r>
      </m:oMath>
      <w:r>
        <w:rPr>
          <w:rFonts w:hint="eastAsia" w:hAnsi="Cambria Math" w:cs="Times New Roman"/>
          <w:i w:val="0"/>
          <w:color w:val="auto"/>
          <w:kern w:val="2"/>
          <w:sz w:val="21"/>
          <w:szCs w:val="21"/>
          <w:lang w:val="en-US" w:eastAsia="zh-CN"/>
        </w:rPr>
        <w:t>表示</w:t>
      </w:r>
      <w:r>
        <w:rPr>
          <w:rFonts w:hint="eastAsia" w:cs="Times New Roman"/>
          <w:color w:val="auto"/>
          <w:kern w:val="2"/>
          <w:sz w:val="21"/>
          <w:szCs w:val="21"/>
          <w:lang w:val="en-US" w:eastAsia="zh-CN"/>
        </w:rPr>
        <w:t>作业的满分。在互评结束后，我们将每位学生的最终得分视为真实分数。通过公式，我们可以得到每个学生的评价能力，用于下一次的同行互评。通过实验，我们验证了每个学生的评价能力在迭代互评过程中很少发生变化。也就是说，认真的人会一直认真。所以为了能够最大程度得到学生的准确性，我们通过最大限度分配审查资源的方式以得到更多的准确性</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计算学生的评价能力，我们需要提前知道学生的真实分数。因此我们可以通过半监督的方式，让教师评价部分学生的作业资源，获取该作业的真实分数，这些具有真实分数的作业被称为审查资源，在互评流程中，我们可以尽量均匀分布审查资源，使得让更多的学生可以和真实分数对比，以此获得这部分学生的评价能力。而那些没有被评价审查资源的学生，将会沿用上一次计算留下的评价能力，因为通过实验，我们验证了每个学生的评价能力在迭代互评过程中很少发生变化。也就是说，认真的人会一直认真。而他们评价能力将会在互评结束之后，通过概率模型汇总的最终分数作为真实分数，进行更新，以用于下一次的同行互评。所以我们模型的流程图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在拥有了评价能力之后，我们就可以对概率模型进行建模了。基于以上的符号表征，我们的研究问题是：通过建模互评分数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、可靠性</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、偏置</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以及作业的真实分数</w:t>
      </w:r>
      <w:r>
        <w:rPr>
          <w:rFonts w:hint="default" w:ascii="Times New Roman" w:hAnsi="Times New Roman" w:cs="Times New Roman"/>
          <w:i/>
          <w:iCs/>
          <w:color w:val="auto"/>
          <w:kern w:val="2"/>
          <w:sz w:val="21"/>
          <w:szCs w:val="21"/>
          <w:lang w:val="en-US" w:eastAsia="zh-CN"/>
        </w:rPr>
        <w:t>S</w:t>
      </w:r>
      <w:r>
        <w:rPr>
          <w:rFonts w:hint="eastAsia" w:cs="Times New Roman"/>
          <w:color w:val="auto"/>
          <w:kern w:val="2"/>
          <w:sz w:val="21"/>
          <w:szCs w:val="21"/>
          <w:lang w:val="en-US" w:eastAsia="zh-CN"/>
        </w:rPr>
        <w:t>之间的关系，来有效的估计作业的真实分数。换句话说，我们将问题定义如下：给定同行分数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，我们会推导出所有评价者</w:t>
      </w:r>
      <m:oMath>
        <m:r>
          <m:rPr/>
          <w:rPr>
            <w:rFonts w:hint="default" w:ascii="Cambria Math" w:hAnsi="Cambria Math" w:cs="Times New Roman"/>
            <w:color w:val="auto"/>
            <w:kern w:val="2"/>
            <w:sz w:val="21"/>
            <w:szCs w:val="21"/>
            <w:u w:val="none"/>
            <w:lang w:val="en-US"/>
          </w:rPr>
          <m:t>τ</m:t>
        </m:r>
      </m:oMath>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cs="Times New Roman"/>
          <w:color w:val="auto"/>
          <w:kern w:val="2"/>
          <w:sz w:val="21"/>
          <w:szCs w:val="21"/>
          <w:lang w:val="en-US" w:eastAsia="zh-CN"/>
        </w:rPr>
        <w:t>，以及所有的</w:t>
      </w:r>
      <m:oMath>
        <m:r>
          <m:rPr/>
          <w:rPr>
            <w:rFonts w:hint="default" w:ascii="Cambria Math" w:hAnsi="Cambria Math" w:cs="Times New Roman"/>
            <w:color w:val="auto"/>
            <w:kern w:val="2"/>
            <w:sz w:val="21"/>
            <w:szCs w:val="21"/>
            <w:lang w:val="en-US" w:eastAsia="zh-CN"/>
          </w:rPr>
          <m:t>s</m:t>
        </m:r>
      </m:oMath>
      <w:r>
        <w:rPr>
          <w:rFonts w:hint="eastAsia" w:cs="Times New Roman"/>
          <w:color w:val="auto"/>
          <w:kern w:val="2"/>
          <w:sz w:val="21"/>
          <w:szCs w:val="21"/>
          <w:lang w:val="en-US" w:eastAsia="zh-CN"/>
        </w:rPr>
        <w:t>。下面，我们将介绍我们提出的概率模型，以及如何通过概率模型和可观测变量，推导隐变量。</w:t>
      </w:r>
    </w:p>
    <w:p>
      <w:pPr>
        <w:pStyle w:val="22"/>
        <w:ind w:firstLine="0" w:firstLineChars="0"/>
        <w:rPr>
          <w:rFonts w:hint="eastAsia" w:cs="Times New Roman"/>
          <w:color w:val="auto"/>
          <w:kern w:val="2"/>
          <w:sz w:val="21"/>
          <w:szCs w:val="21"/>
          <w:lang w:val="en-US" w:eastAsia="zh-CN"/>
        </w:rPr>
      </w:pPr>
      <w:r>
        <w:rPr>
          <w:rFonts w:hint="eastAsia" w:ascii="Times New Roman" w:hAnsi="Times New Roman"/>
          <w:b/>
          <w:color w:val="auto"/>
          <w:szCs w:val="21"/>
        </w:rPr>
        <w:t>2.</w:t>
      </w:r>
      <w:r>
        <w:rPr>
          <w:rFonts w:hint="eastAsia" w:ascii="Times New Roman" w:hAnsi="Times New Roman"/>
          <w:b/>
          <w:color w:val="auto"/>
          <w:szCs w:val="21"/>
          <w:lang w:val="en-US" w:eastAsia="zh-CN"/>
        </w:rPr>
        <w:t>3 概率模型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我们一共提出了</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7</w:t>
      </w:r>
      <w:r>
        <w:rPr>
          <w:rFonts w:hint="eastAsia" w:cs="Times New Roman"/>
          <w:color w:val="auto"/>
          <w:kern w:val="2"/>
          <w:sz w:val="21"/>
          <w:szCs w:val="21"/>
          <w:lang w:val="en-US" w:eastAsia="zh-CN"/>
        </w:rPr>
        <w:t>两个概率模型，其随机变量之间的条件依赖结构如图1中的图形模型所示。如图所示，互评分数</w:t>
      </w:r>
      <w:r>
        <w:rPr>
          <w:rFonts w:hint="default" w:ascii="Times New Roman" w:hAnsi="Times New Roman" w:cs="Times New Roman"/>
          <w:i/>
          <w:iCs/>
          <w:color w:val="auto"/>
          <w:kern w:val="2"/>
          <w:sz w:val="21"/>
          <w:szCs w:val="21"/>
          <w:lang w:val="en-US" w:eastAsia="zh-CN"/>
        </w:rPr>
        <w:t>z</w:t>
      </w:r>
      <w:r>
        <w:rPr>
          <w:rFonts w:hint="eastAsia" w:cs="Times New Roman"/>
          <w:color w:val="auto"/>
          <w:kern w:val="2"/>
          <w:sz w:val="21"/>
          <w:szCs w:val="21"/>
          <w:lang w:val="en-US" w:eastAsia="zh-CN"/>
        </w:rPr>
        <w:t>、相对分数</w:t>
      </w:r>
      <w:r>
        <w:rPr>
          <w:rFonts w:hint="default" w:ascii="Times New Roman" w:hAnsi="Times New Roman" w:cs="Times New Roman"/>
          <w:i/>
          <w:iCs/>
          <w:color w:val="auto"/>
          <w:kern w:val="2"/>
          <w:sz w:val="21"/>
          <w:szCs w:val="21"/>
          <w:lang w:val="en-US" w:eastAsia="zh-CN"/>
        </w:rPr>
        <w:t>d</w:t>
      </w:r>
      <w:r>
        <w:rPr>
          <w:rFonts w:hint="eastAsia" w:cs="Times New Roman"/>
          <w:color w:val="auto"/>
          <w:kern w:val="2"/>
          <w:sz w:val="21"/>
          <w:szCs w:val="21"/>
          <w:lang w:val="en-US" w:eastAsia="zh-CN"/>
        </w:rPr>
        <w:t>和同伴的评价能力</w:t>
      </w:r>
      <w:r>
        <w:rPr>
          <w:rFonts w:hint="default" w:ascii="Times New Roman" w:hAnsi="Times New Roman" w:cs="Times New Roman"/>
          <w:i/>
          <w:iCs/>
          <w:color w:val="auto"/>
          <w:kern w:val="2"/>
          <w:sz w:val="21"/>
          <w:szCs w:val="21"/>
          <w:lang w:val="en-US" w:eastAsia="zh-CN"/>
        </w:rPr>
        <w:t>r</w:t>
      </w:r>
      <w:r>
        <w:rPr>
          <w:rFonts w:hint="eastAsia" w:cs="Times New Roman"/>
          <w:color w:val="auto"/>
          <w:kern w:val="2"/>
          <w:sz w:val="21"/>
          <w:szCs w:val="21"/>
          <w:lang w:val="en-US" w:eastAsia="zh-CN"/>
        </w:rPr>
        <w:t>是模型中可观测的随机变量。学生</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u</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提交的真实得分</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w:t>
      </w:r>
      <w:r>
        <w:rPr>
          <w:rFonts w:hint="eastAsia" w:cs="Times New Roman"/>
          <w:color w:val="auto"/>
          <w:kern w:val="2"/>
          <w:sz w:val="21"/>
          <w:szCs w:val="21"/>
          <w:lang w:val="en-US" w:eastAsia="zh-CN"/>
        </w:rPr>
        <w:t>评分者的可靠性和</w:t>
      </w:r>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oMath>
      <w:r>
        <w:rPr>
          <w:rFonts w:hint="eastAsia" w:cs="Times New Roman"/>
          <w:color w:val="auto"/>
          <w:kern w:val="2"/>
          <w:sz w:val="21"/>
          <w:szCs w:val="21"/>
          <w:lang w:val="en-US" w:eastAsia="zh-CN"/>
        </w:rPr>
        <w:t>偏置</w:t>
      </w:r>
      <m:oMath>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cs="Times New Roman"/>
          <w:color w:val="auto"/>
          <w:kern w:val="2"/>
          <w:sz w:val="21"/>
          <w:szCs w:val="21"/>
          <w:lang w:val="en-US" w:eastAsia="zh-CN"/>
        </w:rPr>
        <w:t>是模型中需要估计的潜在变量。这些潜在变量的先验分布与超参数</w:t>
      </w:r>
      <m:oMath>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η</m:t>
        </m:r>
      </m:oMath>
      <w:r>
        <w:rPr>
          <w:rFonts w:hint="eastAsia" w:cs="Times New Roman"/>
          <w:color w:val="auto"/>
          <w:kern w:val="2"/>
          <w:sz w:val="21"/>
          <w:szCs w:val="21"/>
          <w:lang w:val="en-US" w:eastAsia="zh-CN"/>
        </w:rPr>
        <w:t>的分布是彼此联系的。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cs="Times New Roman"/>
          <w:color w:val="auto"/>
          <w:kern w:val="2"/>
          <w:sz w:val="21"/>
          <w:szCs w:val="21"/>
          <w:lang w:val="en-US" w:eastAsia="zh-CN"/>
        </w:rPr>
      </w:pPr>
      <w:r>
        <w:rPr>
          <w:rFonts w:hint="eastAsia" w:cs="Times New Roman"/>
          <w:color w:val="auto"/>
          <w:kern w:val="2"/>
          <w:sz w:val="21"/>
          <w:szCs w:val="21"/>
          <w:lang w:val="en-US" w:eastAsia="zh-CN"/>
        </w:rPr>
        <w:t>为了确定这些隐变量的值，需要基于每个隐含变量的后验分布信息进行取样，我们采用</w:t>
      </w:r>
      <w:r>
        <w:rPr>
          <w:rFonts w:hint="default" w:ascii="Times New Roman" w:hAnsi="Times New Roman" w:cs="Times New Roman"/>
          <w:i/>
          <w:iCs/>
          <w:color w:val="auto"/>
          <w:kern w:val="2"/>
          <w:sz w:val="21"/>
          <w:szCs w:val="21"/>
          <w:lang w:val="en-US" w:eastAsia="zh-CN"/>
        </w:rPr>
        <w:t>Gibbs</w:t>
      </w:r>
      <w:r>
        <w:rPr>
          <w:rFonts w:hint="eastAsia" w:cs="Times New Roman"/>
          <w:color w:val="auto"/>
          <w:kern w:val="2"/>
          <w:sz w:val="21"/>
          <w:szCs w:val="21"/>
          <w:lang w:val="en-US" w:eastAsia="zh-CN"/>
        </w:rPr>
        <w:t>采样技术，对每个隐变量的取值进行采样。我们采用可观测的随机变量，包括互评分数，相对分数和学生的评价能力来估计隐变量。具体而言，对于每个隐变量的值，我们通过可观测变量和其他隐变量的值的后验分布进行计算。在计算若干次之后，我们将生成的若干组潜在变量的均值作为其最终值。对于一组潜在变量。我们进行了600次吉布斯采样，在计算均值时，我们去除了前60次的老化采样结果，使得最终的结果更加准确。</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具体的算法流程如图。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算法步骤，算法流程图。</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ascii="Times New Roman" w:hAnsi="Times New Roman" w:cs="Times New Roman"/>
          <w:color w:val="auto"/>
          <w:kern w:val="2"/>
          <w:sz w:val="21"/>
          <w:szCs w:val="21"/>
          <w:vertAlign w:val="baseline"/>
          <w:lang w:val="en-US" w:eastAsia="zh-CN"/>
        </w:rPr>
        <w:t>模型</w:t>
      </w:r>
      <w:r>
        <w:rPr>
          <w:rFonts w:hint="eastAsia" w:cs="Times New Roman"/>
          <w:color w:val="auto"/>
          <w:kern w:val="2"/>
          <w:sz w:val="21"/>
          <w:szCs w:val="21"/>
          <w:lang w:val="en-US" w:eastAsia="zh-CN"/>
        </w:rPr>
        <w:t>拓展于现有的</w:t>
      </w:r>
      <w:r>
        <w:rPr>
          <w:rFonts w:hint="default" w:ascii="Times New Roman" w:hAnsi="Times New Roman" w:cs="Times New Roman"/>
          <w:i/>
          <w:iCs/>
          <w:color w:val="auto"/>
          <w:kern w:val="2"/>
          <w:sz w:val="21"/>
          <w:szCs w:val="21"/>
          <w:lang w:val="en-US" w:eastAsia="zh-CN"/>
        </w:rPr>
        <w:t>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color w:val="auto"/>
          <w:kern w:val="2"/>
          <w:sz w:val="21"/>
          <w:szCs w:val="21"/>
          <w:vertAlign w:val="subscript"/>
          <w:lang w:val="en-US" w:eastAsia="zh-CN"/>
        </w:rPr>
        <w:t>6</w:t>
      </w:r>
      <w:r>
        <w:rPr>
          <w:rFonts w:hint="eastAsia" w:cs="Times New Roman"/>
          <w:color w:val="auto"/>
          <w:kern w:val="2"/>
          <w:sz w:val="21"/>
          <w:szCs w:val="21"/>
          <w:lang w:val="en-US" w:eastAsia="zh-CN"/>
        </w:rPr>
        <w:t>模型的所有随机变量的分布如下所示：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Γ</m:t>
          </m:r>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模型中，我们假设真实的分数</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服从高斯分布，均值为</w:t>
      </w:r>
      <m:oMath>
        <m:r>
          <m:rPr/>
          <w:rPr>
            <w:rFonts w:hint="default" w:ascii="Cambria Math" w:hAnsi="Cambria Math" w:cs="Times New Roman"/>
            <w:color w:val="auto"/>
            <w:kern w:val="2"/>
            <w:sz w:val="21"/>
            <w:szCs w:val="21"/>
            <w:lang w:val="en-US"/>
          </w:rPr>
          <m:t>α</m:t>
        </m:r>
      </m:oMath>
      <w:r>
        <w:rPr>
          <w:rFonts w:hint="eastAsia" w:hAnsi="Cambria Math" w:cs="Times New Roman"/>
          <w:i w:val="0"/>
          <w:color w:val="auto"/>
          <w:kern w:val="2"/>
          <w:sz w:val="21"/>
          <w:szCs w:val="21"/>
          <w:lang w:val="en-US" w:eastAsia="zh-CN"/>
        </w:rPr>
        <w:t>，方差为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γ</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。虽然评价者在同行互评中可能有不同的偏见，我们认为偏见的均值为0.并且假设</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服从均值为0，方差为</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1</m:t>
            </m:r>
            <m:ctrlPr>
              <w:rPr>
                <w:rFonts w:ascii="Cambria Math" w:hAnsi="Cambria Math" w:cs="Times New Roman"/>
                <w:i/>
                <w:color w:val="auto"/>
                <w:kern w:val="2"/>
                <w:sz w:val="21"/>
                <w:szCs w:val="21"/>
                <w:lang w:val="en-US"/>
              </w:rPr>
            </m:ctrlPr>
          </m:num>
          <m:den>
            <m:r>
              <m:rPr/>
              <w:rPr>
                <w:rFonts w:ascii="Cambria Math" w:hAnsi="Cambria Math" w:cs="Times New Roman"/>
                <w:color w:val="auto"/>
                <w:kern w:val="2"/>
                <w:sz w:val="21"/>
                <w:szCs w:val="21"/>
                <w:lang w:val="en-US"/>
              </w:rPr>
              <m:t>η</m:t>
            </m:r>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的高斯分布。对于可靠性</w:t>
      </w:r>
      <m:oMath>
        <m:r>
          <m:rPr/>
          <w:rPr>
            <w:rFonts w:hint="default"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，我们在</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iCs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中假设其服从伽马分布，其形状参数等于评价能力</w:t>
      </w:r>
      <w:r>
        <w:rPr>
          <w:rFonts w:hint="default" w:ascii="Times New Roman" w:hAnsi="Times New Roman" w:cs="Times New Roman"/>
          <w:i/>
          <w:iCs/>
          <w:color w:val="auto"/>
          <w:kern w:val="2"/>
          <w:sz w:val="21"/>
          <w:szCs w:val="21"/>
          <w:lang w:val="en-US" w:eastAsia="zh-CN"/>
        </w:rPr>
        <w:t>r</w:t>
      </w:r>
      <w:r>
        <w:rPr>
          <w:rFonts w:hint="eastAsia" w:hAnsi="Cambria Math" w:cs="Times New Roman"/>
          <w:i w:val="0"/>
          <w:color w:val="auto"/>
          <w:kern w:val="2"/>
          <w:sz w:val="21"/>
          <w:szCs w:val="21"/>
          <w:lang w:val="en-US" w:eastAsia="zh-CN"/>
        </w:rPr>
        <w:t>，和率参数等于</w:t>
      </w:r>
      <m:oMath>
        <m:r>
          <m:rPr/>
          <w:rPr>
            <w:rFonts w:hint="default" w:ascii="Cambria Math" w:hAnsi="Cambria Math" w:cs="Times New Roman"/>
            <w:color w:val="auto"/>
            <w:kern w:val="2"/>
            <w:sz w:val="21"/>
            <w:szCs w:val="21"/>
            <w:lang w:val="en-US"/>
          </w:rPr>
          <m:t>β</m:t>
        </m:r>
      </m:oMath>
      <w:r>
        <w:rPr>
          <w:rFonts w:hint="eastAsia" w:hAnsi="Cambria Math" w:cs="Times New Roman"/>
          <w:i w:val="0"/>
          <w:color w:val="auto"/>
          <w:kern w:val="2"/>
          <w:sz w:val="21"/>
          <w:szCs w:val="21"/>
          <w:lang w:val="en-US" w:eastAsia="zh-CN"/>
        </w:rPr>
        <w:t>。互评分数</w:t>
      </w:r>
      <w:r>
        <w:rPr>
          <w:rFonts w:hint="default" w:ascii="Times New Roman" w:hAnsi="Times New Roman" w:cs="Times New Roman"/>
          <w:i/>
          <w:iCs/>
          <w:color w:val="auto"/>
          <w:kern w:val="2"/>
          <w:sz w:val="21"/>
          <w:szCs w:val="21"/>
          <w:lang w:val="en-US" w:eastAsia="zh-CN"/>
        </w:rPr>
        <w:t>z</w:t>
      </w:r>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，方差与评分者的可靠性成反比。相对分数的</w:t>
      </w:r>
      <m:oMath>
        <m:sSubSup>
          <m:sSubSupPr>
            <m:ctrlPr>
              <w:rPr>
                <w:rFonts w:ascii="Cambria Math" w:hAnsi="Cambria Math" w:cs="Times New Roman"/>
                <w:i/>
                <w:color w:val="auto"/>
                <w:kern w:val="2"/>
                <w:sz w:val="21"/>
                <w:szCs w:val="21"/>
                <w:lang w:val="en-US"/>
              </w:rPr>
            </m:ctrlPr>
          </m:sSubSupPr>
          <m:e>
            <m:r>
              <m:rPr/>
              <w:rPr>
                <w:rFonts w:hint="default" w:ascii="Cambria Math" w:hAnsi="Cambria Math" w:cs="Times New Roman"/>
                <w:color w:val="auto"/>
                <w:kern w:val="2"/>
                <w:sz w:val="21"/>
                <w:szCs w:val="21"/>
                <w:lang w:val="en-US" w:eastAsia="zh-CN"/>
              </w:rPr>
              <m:t>d</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ij</m:t>
            </m:r>
            <m:ctrlPr>
              <w:rPr>
                <w:rFonts w:ascii="Cambria Math" w:hAnsi="Cambria Math" w:cs="Times New Roman"/>
                <w:i/>
                <w:color w:val="auto"/>
                <w:kern w:val="2"/>
                <w:sz w:val="21"/>
                <w:szCs w:val="21"/>
                <w:lang w:val="en-US"/>
              </w:rPr>
            </m:ctrlPr>
          </m:sub>
          <m:sup>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p>
        </m:sSubSup>
      </m:oMath>
      <w:r>
        <w:rPr>
          <w:rFonts w:hint="eastAsia" w:hAnsi="Cambria Math" w:cs="Times New Roman"/>
          <w:i w:val="0"/>
          <w:color w:val="auto"/>
          <w:kern w:val="2"/>
          <w:sz w:val="21"/>
          <w:szCs w:val="21"/>
          <w:lang w:val="en-US" w:eastAsia="zh-CN"/>
        </w:rPr>
        <w:t>，服从高斯分布，其均值等于</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oMath>
      <w:r>
        <w:rPr>
          <w:rFonts w:hint="eastAsia" w:hAnsi="Cambria Math" w:cs="Times New Roman"/>
          <w:i w:val="0"/>
          <w:color w:val="auto"/>
          <w:kern w:val="2"/>
          <w:sz w:val="21"/>
          <w:szCs w:val="21"/>
          <w:lang w:val="en-US" w:eastAsia="zh-CN"/>
        </w:rPr>
        <w:t>，和方差等于</w:t>
      </w:r>
      <m:oMath>
        <m:f>
          <m:fPr>
            <m:ctrlPr>
              <w:rPr>
                <w:rFonts w:ascii="Cambria Math" w:hAnsi="Cambria Math" w:cs="Times New Roman"/>
                <w:i/>
                <w:color w:val="auto"/>
                <w:kern w:val="2"/>
                <w:sz w:val="21"/>
                <w:szCs w:val="21"/>
                <w:lang w:val="en-US"/>
              </w:rPr>
            </m:ctrlPr>
          </m:fPr>
          <m:num>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den>
        </m:f>
      </m:oMath>
      <w:r>
        <w:rPr>
          <w:rFonts w:hint="eastAsia" w:hAnsi="Cambria Math" w:cs="Times New Roman"/>
          <w:i w:val="0"/>
          <w:color w:val="auto"/>
          <w:kern w:val="2"/>
          <w:sz w:val="21"/>
          <w:szCs w:val="21"/>
          <w:lang w:val="en-US" w:eastAsia="zh-CN"/>
        </w:rPr>
        <w:t>.</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6</w:t>
      </w:r>
      <w:r>
        <w:rPr>
          <w:rFonts w:hint="eastAsia" w:hAnsi="Cambria Math" w:cs="Times New Roman"/>
          <w:i w:val="0"/>
          <w:color w:val="auto"/>
          <w:kern w:val="2"/>
          <w:sz w:val="21"/>
          <w:szCs w:val="21"/>
          <w:lang w:val="en-US" w:eastAsia="zh-CN" w:bidi="ar-SA"/>
        </w:rPr>
        <w:t>的模型的区别在于</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模型假设同行评价者的可靠性满足伽马分布，而</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则假设同行评价者的可靠性满足高斯分布。</w:t>
      </w:r>
      <w:r>
        <w:rPr>
          <w:rFonts w:hint="default" w:ascii="Times New Roman" w:hAnsi="Times New Roman" w:cs="Times New Roman"/>
          <w:i/>
          <w:iCs/>
          <w:color w:val="auto"/>
          <w:kern w:val="2"/>
          <w:sz w:val="21"/>
          <w:szCs w:val="21"/>
          <w:lang w:val="en-US" w:eastAsia="zh-CN" w:bidi="ar-SA"/>
        </w:rPr>
        <w:t>RPG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模型拓展了现有的</w:t>
      </w:r>
      <w:r>
        <w:rPr>
          <w:rFonts w:hint="default" w:ascii="Times New Roman" w:hAnsi="Times New Roman" w:cs="Times New Roman"/>
          <w:i/>
          <w:iCs/>
          <w:color w:val="auto"/>
          <w:kern w:val="2"/>
          <w:sz w:val="21"/>
          <w:szCs w:val="21"/>
          <w:lang w:val="en-US" w:eastAsia="zh-CN" w:bidi="ar-SA"/>
        </w:rPr>
        <w:t>PG</w:t>
      </w:r>
      <w:r>
        <w:rPr>
          <w:rFonts w:hint="default" w:ascii="Times New Roman" w:hAnsi="Times New Roman" w:cs="Times New Roman"/>
          <w:i w:val="0"/>
          <w:color w:val="auto"/>
          <w:kern w:val="2"/>
          <w:sz w:val="21"/>
          <w:szCs w:val="21"/>
          <w:vertAlign w:val="subscript"/>
          <w:lang w:val="en-US" w:eastAsia="zh-CN" w:bidi="ar-SA"/>
        </w:rPr>
        <w:t>7</w:t>
      </w:r>
      <w:r>
        <w:rPr>
          <w:rFonts w:hint="eastAsia" w:hAnsi="Cambria Math" w:cs="Times New Roman"/>
          <w:i w:val="0"/>
          <w:color w:val="auto"/>
          <w:kern w:val="2"/>
          <w:sz w:val="21"/>
          <w:szCs w:val="21"/>
          <w:lang w:val="en-US" w:eastAsia="zh-CN" w:bidi="ar-SA"/>
        </w:rPr>
        <w:t>模型，其</w:t>
      </w:r>
      <w:r>
        <w:rPr>
          <w:rFonts w:hint="eastAsia" w:cs="Times New Roman"/>
          <w:color w:val="auto"/>
          <w:kern w:val="2"/>
          <w:sz w:val="21"/>
          <w:szCs w:val="21"/>
          <w:lang w:val="en-US" w:eastAsia="zh-CN"/>
        </w:rPr>
        <w:t>所有随机变量的分布如下所示：</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eastAsia="宋体" w:cs="Times New Roman"/>
          <w:i w:val="0"/>
          <w:color w:val="auto"/>
          <w:kern w:val="2"/>
          <w:sz w:val="21"/>
          <w:szCs w:val="21"/>
          <w:lang w:val="en-US" w:eastAsia="zh-CN" w:bidi="ar-SA"/>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r</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b</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~N(0,</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hint="default" w:ascii="Cambria Math" w:hAnsi="Cambria Math" w:cs="Times New Roman"/>
                      <w:i/>
                      <w:color w:val="auto"/>
                      <w:kern w:val="2"/>
                      <w:sz w:val="21"/>
                      <w:szCs w:val="21"/>
                      <w:lang w:val="en-US" w:eastAsia="zh-CN"/>
                    </w:rPr>
                  </m:ctrlPr>
                </m:sSubPr>
                <m:e>
                  <m:r>
                    <m:rPr/>
                    <w:rPr>
                      <w:rFonts w:ascii="Cambria Math" w:hAnsi="Cambria Math" w:cs="Times New Roman"/>
                      <w:color w:val="auto"/>
                      <w:kern w:val="2"/>
                      <w:sz w:val="21"/>
                      <w:szCs w:val="21"/>
                      <w:lang w:val="en-US"/>
                    </w:rPr>
                    <m:t>η</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0</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r>
            <m:rPr/>
            <w:rPr>
              <w:rFonts w:hint="default" w:ascii="Cambria Math" w:hAnsi="Cambria Math" w:cs="Times New Roman"/>
              <w:color w:val="auto"/>
              <w:kern w:val="2"/>
              <w:sz w:val="21"/>
              <w:szCs w:val="21"/>
              <w:lang w:val="en-US" w:eastAsia="zh-CN"/>
            </w:rPr>
            <m:t>~N(</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ascii="Cambria Math" w:hAnsi="Cambria Math" w:cs="Times New Roman"/>
                  <w:color w:val="auto"/>
                  <w:kern w:val="2"/>
                  <w:sz w:val="21"/>
                  <w:szCs w:val="21"/>
                  <w:lang w:val="en-US"/>
                </w:rPr>
                <m:t>γ</m:t>
              </m:r>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m:oMathPara>
        <m:oMath>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~N(</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num>
            <m:den>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den>
          </m:f>
          <m:r>
            <m:rPr/>
            <w:rPr>
              <w:rFonts w:hint="default" w:ascii="Cambria Math" w:hAnsi="Cambria Math" w:cs="Times New Roman"/>
              <w:color w:val="auto"/>
              <w:kern w:val="2"/>
              <w:sz w:val="21"/>
              <w:szCs w:val="21"/>
              <w:lang w:val="en-US" w:eastAsia="zh-CN"/>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eastAsia" w:hAnsi="Cambria Math" w:cs="Times New Roman"/>
          <w:i w:val="0"/>
          <w:color w:val="auto"/>
          <w:kern w:val="2"/>
          <w:sz w:val="21"/>
          <w:szCs w:val="21"/>
          <w:lang w:val="en-US" w:eastAsia="zh-CN"/>
        </w:rPr>
        <w:t>简介，不一定要</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w:r>
        <w:rPr>
          <w:rFonts w:hint="eastAsia" w:hAnsi="Cambria Math" w:cs="Times New Roman"/>
          <w:i w:val="0"/>
          <w:color w:val="auto"/>
          <w:kern w:val="2"/>
          <w:sz w:val="21"/>
          <w:szCs w:val="21"/>
          <w:lang w:val="en-US" w:eastAsia="zh-CN"/>
        </w:rPr>
        <w:t>由于概率模型</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中的隐含变量</w:t>
      </w:r>
      <m:oMath>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s</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oMath>
      <w:r>
        <w:rPr>
          <w:rFonts w:hint="eastAsia" w:hAnsi="Cambria Math" w:cs="Times New Roman"/>
          <w:i w:val="0"/>
          <w:color w:val="auto"/>
          <w:kern w:val="2"/>
          <w:sz w:val="21"/>
          <w:szCs w:val="21"/>
          <w:lang w:val="en-US" w:eastAsia="zh-CN"/>
        </w:rPr>
        <w:t>没有闭式解（</w:t>
      </w:r>
      <w:r>
        <w:rPr>
          <w:rFonts w:hint="default" w:ascii="Times New Roman" w:hAnsi="Times New Roman" w:cs="Times New Roman"/>
          <w:i/>
          <w:iCs/>
          <w:color w:val="auto"/>
          <w:kern w:val="2"/>
          <w:sz w:val="21"/>
          <w:szCs w:val="21"/>
          <w:lang w:val="en-US" w:eastAsia="zh-CN"/>
        </w:rPr>
        <w:t>closeform solution</w:t>
      </w:r>
      <w:r>
        <w:rPr>
          <w:rFonts w:hint="eastAsia" w:hAnsi="Cambria Math" w:cs="Times New Roman"/>
          <w:i w:val="0"/>
          <w:color w:val="auto"/>
          <w:kern w:val="2"/>
          <w:sz w:val="21"/>
          <w:szCs w:val="21"/>
          <w:lang w:val="en-US" w:eastAsia="zh-CN"/>
        </w:rPr>
        <w:t>），因而采用近似离散推断的策略得到该隐含变量的近似后验分布。对于</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和</w:t>
      </w:r>
      <w:r>
        <w:rPr>
          <w:rFonts w:hint="default"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w:t>
      </w: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和</w:t>
      </w:r>
      <w:r>
        <w:rPr>
          <w:rFonts w:hint="eastAsia"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中的后验分布推断结果是一样的。其中</w:t>
      </w:r>
      <w:r>
        <w:rPr>
          <w:rFonts w:hint="default" w:ascii="Times New Roman" w:hAnsi="Times New Roman" w:cs="Times New Roman"/>
          <w:i/>
          <w:iCs/>
          <w:color w:val="auto"/>
          <w:kern w:val="2"/>
          <w:sz w:val="21"/>
          <w:szCs w:val="21"/>
          <w:lang w:val="en-US" w:eastAsia="zh-CN"/>
        </w:rPr>
        <w:t>s</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s</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r>
            <m:rPr/>
            <w:rPr>
              <w:rFonts w:hint="default" w:ascii="Cambria Math" w:hAnsi="Cambria Math" w:cs="Times New Roman"/>
              <w:color w:val="auto"/>
              <w:kern w:val="2"/>
              <w:sz w:val="21"/>
              <w:szCs w:val="21"/>
              <w:lang w:val="en-US" w:bidi="ar-SA"/>
            </w:rPr>
            <m:t>γ</m:t>
          </m:r>
          <m:r>
            <m:rPr/>
            <w:rPr>
              <w:rFonts w:hint="default" w:ascii="Cambria Math" w:hAnsi="Cambria Math" w:cs="Times New Roman"/>
              <w:color w:val="auto"/>
              <w:kern w:val="2"/>
              <w:sz w:val="21"/>
              <w:szCs w:val="21"/>
              <w:lang w:val="en-US" w:eastAsia="zh-CN" w:bidi="ar-SA"/>
            </w:rPr>
            <m:t>u</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v</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ctrlPr>
                    <w:rPr>
                      <w:rFonts w:ascii="Cambria Math" w:hAnsi="Cambria Math" w:cs="Times New Roman"/>
                      <w:i/>
                      <w:color w:val="auto"/>
                      <w:kern w:val="2"/>
                      <w:sz w:val="21"/>
                      <w:szCs w:val="21"/>
                      <w:lang w:val="en-US" w:bidi="ar-SA"/>
                    </w:rPr>
                  </m:ctrlPr>
                </m:e>
              </m:nary>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val="0"/>
          <w:color w:val="auto"/>
          <w:kern w:val="2"/>
          <w:sz w:val="21"/>
          <w:szCs w:val="21"/>
          <w:lang w:val="en-US" w:eastAsia="zh-CN"/>
        </w:rPr>
      </w:pPr>
      <w:r>
        <w:rPr>
          <w:rFonts w:hint="eastAsia" w:ascii="Times New Roman" w:hAnsi="Times New Roman" w:cs="Times New Roman"/>
          <w:i/>
          <w:iCs/>
          <w:color w:val="auto"/>
          <w:kern w:val="2"/>
          <w:sz w:val="21"/>
          <w:szCs w:val="21"/>
          <w:lang w:val="en-US" w:eastAsia="zh-CN"/>
        </w:rPr>
        <w:t>b</w:t>
      </w:r>
      <w:r>
        <w:rPr>
          <w:rFonts w:hint="eastAsia" w:hAnsi="Cambria Math" w:cs="Times New Roman"/>
          <w:i w:val="0"/>
          <w:color w:val="auto"/>
          <w:kern w:val="2"/>
          <w:sz w:val="21"/>
          <w:szCs w:val="21"/>
          <w:lang w:val="en-US" w:eastAsia="zh-CN"/>
        </w:rPr>
        <w:t>结果的隐含变量的后验分布推断如下：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b</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N(</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Y</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f>
            <m:fPr>
              <m:ctrlPr>
                <w:rPr>
                  <w:rFonts w:hint="default" w:ascii="Cambria Math" w:hAnsi="Cambria Math" w:cs="Times New Roman"/>
                  <w:i/>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X</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Ansi="Cambria Math" w:cs="Times New Roman"/>
          <w:i/>
          <w:color w:val="auto"/>
          <w:kern w:val="2"/>
          <w:sz w:val="21"/>
          <w:szCs w:val="21"/>
          <w:lang w:val="en-US" w:bidi="ar-SA"/>
        </w:rPr>
      </w:pPr>
      <m:oMathPara>
        <m:oMath>
          <m:r>
            <m:rPr/>
            <w:rPr>
              <w:rFonts w:hint="default" w:ascii="Cambria Math" w:hAnsi="Cambria Math" w:cs="Times New Roman"/>
              <w:color w:val="auto"/>
              <w:kern w:val="2"/>
              <w:sz w:val="21"/>
              <w:szCs w:val="21"/>
              <w:lang w:val="en-US" w:eastAsia="zh-CN" w:bidi="ar-SA"/>
            </w:rPr>
            <m:t>X</m:t>
          </m:r>
          <m:r>
            <m:rPr>
              <m:sty m:val="p"/>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η</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cs="Times New Roman"/>
          <w:i/>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Y</m:t>
          </m:r>
          <m:r>
            <m:rPr>
              <m:sty m:val="p"/>
            </m:rPr>
            <w:rPr>
              <w:rFonts w:hint="default" w:ascii="Cambria Math" w:hAnsi="Cambria Math" w:cs="Times New Roman"/>
              <w:color w:val="auto"/>
              <w:kern w:val="2"/>
              <w:sz w:val="21"/>
              <w:szCs w:val="21"/>
              <w:lang w:val="en-US" w:eastAsia="zh-CN" w:bidi="ar-SA"/>
            </w:rPr>
            <m:t>=</m:t>
          </m:r>
          <m:nary>
            <m:naryPr>
              <m:chr m:val="∑"/>
              <m:limLoc m:val="subSup"/>
              <m:supHide m:val="1"/>
              <m:ctrlPr>
                <w:rPr>
                  <w:rFonts w:ascii="Cambria Math" w:hAnsi="Cambria Math" w:cs="Times New Roman"/>
                  <w:i/>
                  <w:color w:val="auto"/>
                  <w:kern w:val="2"/>
                  <w:sz w:val="21"/>
                  <w:szCs w:val="21"/>
                  <w:lang w:val="en-US"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sub>
            <m:sup>
              <m:ctrlPr>
                <w:rPr>
                  <w:rFonts w:ascii="Cambria Math" w:hAnsi="Cambria Math" w:cs="Times New Roman"/>
                  <w:i/>
                  <w:color w:val="auto"/>
                  <w:kern w:val="2"/>
                  <w:sz w:val="21"/>
                  <w:szCs w:val="21"/>
                  <w:lang w:val="en-US" w:bidi="ar-SA"/>
                </w:rPr>
              </m:ctrlPr>
            </m:sup>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ascii="Cambria Math" w:hAnsi="Cambria Math" w:cs="Times New Roman"/>
                      <w:i/>
                      <w:color w:val="auto"/>
                      <w:kern w:val="2"/>
                      <w:sz w:val="21"/>
                      <w:szCs w:val="21"/>
                      <w:lang w:val="en-US"/>
                    </w:rPr>
                  </m:ctrlPr>
                </m:sSub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bidi="ar-SA"/>
                </w:rPr>
              </m:ctrlPr>
            </m:e>
          </m:nary>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ascii="Times New Roman" w:hAnsi="Times New Roman" w:cs="Times New Roman"/>
          <w:i/>
          <w:iCs/>
          <w:color w:val="auto"/>
          <w:kern w:val="2"/>
          <w:sz w:val="21"/>
          <w:szCs w:val="21"/>
          <w:lang w:val="en-US" w:eastAsia="zh-CN"/>
        </w:rPr>
      </w:pP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default" w:ascii="Times New Roman" w:hAnsi="Times New Roman" w:cs="Times New Roman"/>
          <w:i w:val="0"/>
          <w:color w:val="auto"/>
          <w:kern w:val="2"/>
          <w:sz w:val="21"/>
          <w:szCs w:val="21"/>
          <w:vertAlign w:val="subscript"/>
          <w:lang w:val="en-US" w:eastAsia="zh-CN"/>
        </w:rPr>
        <w:t>6</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eastAsia" w:hAnsi="Cambria Math" w:eastAsia="宋体" w:cs="Times New Roman"/>
          <w:i w:val="0"/>
          <w:color w:val="auto"/>
          <w:kern w:val="2"/>
          <w:sz w:val="21"/>
          <w:szCs w:val="21"/>
          <w:lang w:val="en-US" w:eastAsia="zh-CN" w:bidi="ar-SA"/>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r>
            <m:rPr/>
            <w:rPr>
              <w:rFonts w:ascii="Cambria Math" w:hAnsi="Cambria Math" w:cs="Times New Roman"/>
              <w:color w:val="auto"/>
              <w:kern w:val="2"/>
              <w:sz w:val="21"/>
              <w:szCs w:val="21"/>
              <w:lang w:val="en-US"/>
            </w:rPr>
            <m:t>Γ</m:t>
          </m:r>
          <m:d>
            <m:dPr>
              <m:ctrlPr>
                <w:rPr>
                  <w:rFonts w:ascii="Cambria Math" w:hAnsi="Cambria Math" w:cs="Times New Roman"/>
                  <w:i/>
                  <w:color w:val="auto"/>
                  <w:kern w:val="2"/>
                  <w:sz w:val="21"/>
                  <w:szCs w:val="21"/>
                  <w:lang w:val="en-US"/>
                </w:rPr>
              </m:ctrlPr>
            </m:dPr>
            <m:e>
              <m:f>
                <m:fPr>
                  <m:ctrlPr>
                    <w:rPr>
                      <w:rFonts w:ascii="Cambria Math" w:hAnsi="Cambria Math" w:cs="Times New Roman"/>
                      <w:i/>
                      <w:color w:val="auto"/>
                      <w:kern w:val="2"/>
                      <w:sz w:val="21"/>
                      <w:szCs w:val="21"/>
                      <w:lang w:val="en-US"/>
                    </w:rPr>
                  </m:ctrlPr>
                </m:fPr>
                <m:num>
                  <m:sSup>
                    <m:sSupPr>
                      <m:ctrlPr>
                        <w:rPr>
                          <w:rFonts w:ascii="Cambria Math" w:hAnsi="Cambria Math" w:cs="Times New Roman"/>
                          <w:i/>
                          <w:color w:val="auto"/>
                          <w:kern w:val="2"/>
                          <w:sz w:val="21"/>
                          <w:szCs w:val="21"/>
                          <w:lang w:val="en-US"/>
                        </w:rPr>
                      </m:ctrlPr>
                    </m:sSupPr>
                    <m:e>
                      <m:d>
                        <m:dPr>
                          <m:begChr m:val="|"/>
                          <m:endChr m:val="|"/>
                          <m:ctrlPr>
                            <w:rPr>
                              <w:rFonts w:ascii="Cambria Math" w:hAnsi="Cambria Math" w:cs="Times New Roman"/>
                              <w:i/>
                              <w:color w:val="auto"/>
                              <w:kern w:val="2"/>
                              <w:sz w:val="21"/>
                              <w:szCs w:val="21"/>
                              <w:lang w:val="en-US"/>
                            </w:rPr>
                          </m:ctrlPr>
                        </m:dPr>
                        <m:e>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i</m:t>
                              </m:r>
                              <m:ctrlPr>
                                <w:rPr>
                                  <w:rFonts w:ascii="Cambria Math" w:hAnsi="Cambria Math" w:cs="Times New Roman"/>
                                  <w:i/>
                                  <w:color w:val="auto"/>
                                  <w:kern w:val="2"/>
                                  <w:sz w:val="21"/>
                                  <w:szCs w:val="21"/>
                                  <w:lang w:val="en-US"/>
                                </w:rPr>
                              </m:ctrlPr>
                            </m:sub>
                          </m:sSub>
                          <m:ctrlPr>
                            <w:rPr>
                              <w:rFonts w:ascii="Cambria Math" w:hAnsi="Cambria Math" w:cs="Times New Roman"/>
                              <w:i/>
                              <w:color w:val="auto"/>
                              <w:kern w:val="2"/>
                              <w:sz w:val="21"/>
                              <w:szCs w:val="21"/>
                              <w:lang w:val="en-US"/>
                            </w:rPr>
                          </m:ctrlPr>
                        </m:e>
                      </m:d>
                      <m:ctrlPr>
                        <w:rPr>
                          <w:rFonts w:ascii="Cambria Math" w:hAnsi="Cambria Math" w:cs="Times New Roman"/>
                          <w:i/>
                          <w:color w:val="auto"/>
                          <w:kern w:val="2"/>
                          <w:sz w:val="21"/>
                          <w:szCs w:val="21"/>
                          <w:lang w:val="en-US"/>
                        </w:rPr>
                      </m:ctrlPr>
                    </m:e>
                    <m:sup>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sup>
                  </m:sSup>
                  <m:ctrlPr>
                    <w:rPr>
                      <w:rFonts w:ascii="Cambria Math" w:hAnsi="Cambria Math" w:cs="Times New Roman"/>
                      <w:i/>
                      <w:color w:val="auto"/>
                      <w:kern w:val="2"/>
                      <w:sz w:val="21"/>
                      <w:szCs w:val="21"/>
                      <w:lang w:val="en-US"/>
                    </w:rPr>
                  </m:ctrlPr>
                </m:num>
                <m:den>
                  <m:r>
                    <m:rPr/>
                    <w:rPr>
                      <w:rFonts w:hint="default" w:ascii="Cambria Math" w:hAnsi="Cambria Math" w:cs="Times New Roman"/>
                      <w:color w:val="auto"/>
                      <w:kern w:val="2"/>
                      <w:sz w:val="21"/>
                      <w:szCs w:val="21"/>
                      <w:lang w:val="en-US" w:eastAsia="zh-CN"/>
                    </w:rPr>
                    <m:t>2</m:t>
                  </m:r>
                  <m:ctrlPr>
                    <w:rPr>
                      <w:rFonts w:ascii="Cambria Math" w:hAnsi="Cambria Math" w:cs="Times New Roman"/>
                      <w:i/>
                      <w:color w:val="auto"/>
                      <w:kern w:val="2"/>
                      <w:sz w:val="21"/>
                      <w:szCs w:val="21"/>
                      <w:lang w:val="en-US"/>
                    </w:rPr>
                  </m:ctrlPr>
                </m:den>
              </m:f>
              <m:r>
                <m:rPr/>
                <w:rPr>
                  <w:rFonts w:hint="default" w:ascii="Cambria Math" w:hAnsi="Cambria Math" w:cs="Times New Roman"/>
                  <w:color w:val="auto"/>
                  <w:kern w:val="2"/>
                  <w:sz w:val="21"/>
                  <w:szCs w:val="21"/>
                  <w:lang w:val="en-US" w:eastAsia="zh-CN"/>
                </w:rPr>
                <m:t>+</m:t>
              </m:r>
              <m:r>
                <m:rPr/>
                <w:rPr>
                  <w:rFonts w:ascii="Cambria Math" w:hAnsi="Cambria Math" w:cs="Times New Roman"/>
                  <w:color w:val="auto"/>
                  <w:kern w:val="2"/>
                  <w:sz w:val="21"/>
                  <w:szCs w:val="21"/>
                  <w:lang w:val="en-US"/>
                </w:rPr>
                <m:t>α</m:t>
              </m:r>
              <m:r>
                <m:rPr/>
                <w:rPr>
                  <w:rFonts w:hint="default" w:ascii="Cambria Math" w:hAnsi="Cambria Math" w:cs="Times New Roman"/>
                  <w:color w:val="auto"/>
                  <w:kern w:val="2"/>
                  <w:sz w:val="21"/>
                  <w:szCs w:val="21"/>
                  <w:lang w:val="en-US" w:eastAsia="zh-CN"/>
                </w:rPr>
                <m:t xml:space="preserve">, </m:t>
              </m:r>
              <m:r>
                <m:rPr/>
                <w:rPr>
                  <w:rFonts w:ascii="Cambria Math" w:hAnsi="Cambria Math" w:cs="Times New Roman"/>
                  <w:color w:val="auto"/>
                  <w:kern w:val="2"/>
                  <w:sz w:val="21"/>
                  <w:szCs w:val="21"/>
                  <w:lang w:val="en-US"/>
                </w:rPr>
                <m:t>β</m:t>
              </m:r>
              <m:r>
                <m:rPr/>
                <w:rPr>
                  <w:rFonts w:hint="default" w:ascii="Cambria Math" w:hAnsi="Cambria Math" w:cs="Times New Roman"/>
                  <w:color w:val="auto"/>
                  <w:kern w:val="2"/>
                  <w:sz w:val="21"/>
                  <w:szCs w:val="21"/>
                  <w:lang w:val="en-US" w:eastAsia="zh-CN"/>
                </w:rPr>
                <m:t>+</m:t>
              </m:r>
              <m:f>
                <m:fPr>
                  <m:ctrlPr>
                    <w:rPr>
                      <w:rFonts w:hint="default" w:ascii="Cambria Math" w:hAnsi="Cambria Math" w:cs="Times New Roman"/>
                      <w:i/>
                      <w:color w:val="auto"/>
                      <w:kern w:val="2"/>
                      <w:sz w:val="21"/>
                      <w:szCs w:val="21"/>
                      <w:lang w:val="en-US" w:eastAsia="zh-CN"/>
                    </w:rPr>
                  </m:ctrlPr>
                </m:fPr>
                <m:num>
                  <m:nary>
                    <m:naryPr>
                      <m:chr m:val="∑"/>
                      <m:limLoc m:val="undOvr"/>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z</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b</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r>
                        <m:rPr/>
                        <w:rPr>
                          <w:rFonts w:hint="default" w:ascii="Cambria Math" w:hAnsi="Cambria Math" w:cs="Times New Roman"/>
                          <w:color w:val="auto"/>
                          <w:kern w:val="2"/>
                          <w:sz w:val="21"/>
                          <w:szCs w:val="21"/>
                          <w:lang w:val="en-US" w:eastAsia="zh-CN"/>
                        </w:rPr>
                        <m:t>+</m:t>
                      </m:r>
                      <m:nary>
                        <m:naryPr>
                          <m:chr m:val="∑"/>
                          <m:limLoc m:val="subSup"/>
                          <m:supHide m:val="1"/>
                          <m:ctrlPr>
                            <w:rPr>
                              <w:rFonts w:hint="default" w:ascii="Cambria Math" w:hAnsi="Cambria Math" w:cs="Times New Roman"/>
                              <w:i/>
                              <w:color w:val="auto"/>
                              <w:kern w:val="2"/>
                              <w:sz w:val="21"/>
                              <w:szCs w:val="21"/>
                              <w:lang w:val="en-US" w:eastAsia="zh-CN"/>
                            </w:rPr>
                          </m:ctrlPr>
                        </m:naryPr>
                        <m:sub>
                          <m:r>
                            <m:rPr/>
                            <w:rPr>
                              <w:rFonts w:hint="default" w:ascii="Cambria Math" w:hAnsi="Cambria Math" w:cs="Times New Roman"/>
                              <w:color w:val="auto"/>
                              <w:kern w:val="2"/>
                              <w:sz w:val="21"/>
                              <w:szCs w:val="21"/>
                              <w:lang w:val="en-US" w:eastAsia="zh-CN"/>
                            </w:rPr>
                            <m:t>i,j</m:t>
                          </m:r>
                          <m:r>
                            <m:rPr/>
                            <w:rPr>
                              <w:rFonts w:ascii="Cambria Math" w:hAnsi="Cambria Math" w:cs="Times New Roman"/>
                              <w:color w:val="auto"/>
                              <w:kern w:val="2"/>
                              <w:sz w:val="21"/>
                              <w:szCs w:val="21"/>
                              <w:lang w:val="en-US"/>
                            </w:rPr>
                            <m:t>∈</m:t>
                          </m:r>
                          <m:sSub>
                            <m:sSubPr>
                              <m:ctrlPr>
                                <w:rPr>
                                  <w:rFonts w:ascii="Cambria Math" w:hAnsi="Cambria Math" w:cs="Times New Roman"/>
                                  <w:i/>
                                  <w:color w:val="auto"/>
                                  <w:kern w:val="2"/>
                                  <w:sz w:val="21"/>
                                  <w:szCs w:val="21"/>
                                  <w:lang w:val="en-US"/>
                                </w:rPr>
                              </m:ctrlPr>
                            </m:sSubPr>
                            <m:e>
                              <m:r>
                                <m:rPr/>
                                <w:rPr>
                                  <w:rFonts w:hint="default" w:ascii="Cambria Math" w:hAnsi="Cambria Math" w:cs="Times New Roman"/>
                                  <w:color w:val="auto"/>
                                  <w:kern w:val="2"/>
                                  <w:sz w:val="21"/>
                                  <w:szCs w:val="21"/>
                                  <w:lang w:val="en-US" w:eastAsia="zh-CN"/>
                                </w:rPr>
                                <m:t>H</m:t>
                              </m:r>
                              <m:ctrlPr>
                                <w:rPr>
                                  <w:rFonts w:ascii="Cambria Math" w:hAnsi="Cambria Math" w:cs="Times New Roman"/>
                                  <w:i/>
                                  <w:color w:val="auto"/>
                                  <w:kern w:val="2"/>
                                  <w:sz w:val="21"/>
                                  <w:szCs w:val="21"/>
                                  <w:lang w:val="en-US"/>
                                </w:rPr>
                              </m:ctrlPr>
                            </m:e>
                            <m:sub>
                              <m:r>
                                <m:rPr/>
                                <w:rPr>
                                  <w:rFonts w:hint="default" w:ascii="Cambria Math" w:hAnsi="Cambria Math" w:cs="Times New Roman"/>
                                  <w:color w:val="auto"/>
                                  <w:kern w:val="2"/>
                                  <w:sz w:val="21"/>
                                  <w:szCs w:val="21"/>
                                  <w:lang w:val="en-US" w:eastAsia="zh-CN"/>
                                </w:rPr>
                                <m:t>v</m:t>
                              </m:r>
                              <m:ctrlPr>
                                <w:rPr>
                                  <w:rFonts w:ascii="Cambria Math" w:hAnsi="Cambria Math" w:cs="Times New Roman"/>
                                  <w:i/>
                                  <w:color w:val="auto"/>
                                  <w:kern w:val="2"/>
                                  <w:sz w:val="21"/>
                                  <w:szCs w:val="21"/>
                                  <w:lang w:val="en-US"/>
                                </w:rPr>
                              </m:ctrlPr>
                            </m:sub>
                          </m:sSub>
                          <m:ctrlPr>
                            <w:rPr>
                              <w:rFonts w:hint="default" w:ascii="Cambria Math" w:hAnsi="Cambria Math" w:cs="Times New Roman"/>
                              <w:i/>
                              <w:color w:val="auto"/>
                              <w:kern w:val="2"/>
                              <w:sz w:val="21"/>
                              <w:szCs w:val="21"/>
                              <w:lang w:val="en-US" w:eastAsia="zh-CN"/>
                            </w:rPr>
                          </m:ctrlPr>
                        </m:sub>
                        <m:sup>
                          <m:ctrlPr>
                            <w:rPr>
                              <w:rFonts w:hint="default" w:ascii="Cambria Math" w:hAnsi="Cambria Math" w:cs="Times New Roman"/>
                              <w:i/>
                              <w:color w:val="auto"/>
                              <w:kern w:val="2"/>
                              <w:sz w:val="21"/>
                              <w:szCs w:val="21"/>
                              <w:lang w:val="en-US" w:eastAsia="zh-CN"/>
                            </w:rPr>
                          </m:ctrlPr>
                        </m:sup>
                        <m:e>
                          <m:sSup>
                            <m:sSupPr>
                              <m:ctrlPr>
                                <w:rPr>
                                  <w:rFonts w:hint="default" w:ascii="Cambria Math" w:hAnsi="Cambria Math" w:cs="Times New Roman"/>
                                  <w:i/>
                                  <w:color w:val="auto"/>
                                  <w:kern w:val="2"/>
                                  <w:sz w:val="21"/>
                                  <w:szCs w:val="21"/>
                                  <w:lang w:val="en-US" w:eastAsia="zh-CN"/>
                                </w:rPr>
                              </m:ctrlPr>
                            </m:sSupPr>
                            <m:e>
                              <m:f>
                                <m:fPr>
                                  <m:ctrlPr>
                                    <w:rPr>
                                      <w:rFonts w:hint="default" w:ascii="Cambria Math" w:hAnsi="Cambria Math" w:cs="Times New Roman"/>
                                      <w:i/>
                                      <w:color w:val="auto"/>
                                      <w:kern w:val="2"/>
                                      <w:sz w:val="21"/>
                                      <w:szCs w:val="21"/>
                                      <w:lang w:val="en-US" w:eastAsia="zh-CN"/>
                                    </w:rPr>
                                  </m:ctrlPr>
                                </m:fPr>
                                <m:num>
                                  <m:r>
                                    <m:rPr/>
                                    <w:rPr>
                                      <w:rFonts w:hint="default" w:ascii="Cambria Math" w:hAnsi="Cambria Math" w:cs="Times New Roman"/>
                                      <w:color w:val="auto"/>
                                      <w:kern w:val="2"/>
                                      <w:sz w:val="21"/>
                                      <w:szCs w:val="21"/>
                                      <w:lang w:val="en-US" w:eastAsia="zh-CN"/>
                                    </w:rPr>
                                    <m:t>1</m:t>
                                  </m:r>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d>
                                <m:dPr>
                                  <m:ctrlPr>
                                    <w:rPr>
                                      <w:rFonts w:hint="default" w:ascii="Cambria Math" w:hAnsi="Cambria Math" w:cs="Times New Roman"/>
                                      <w:i/>
                                      <w:color w:val="auto"/>
                                      <w:kern w:val="2"/>
                                      <w:sz w:val="21"/>
                                      <w:szCs w:val="21"/>
                                      <w:lang w:val="en-US" w:eastAsia="zh-CN"/>
                                    </w:rPr>
                                  </m:ctrlPr>
                                </m:dPr>
                                <m:e>
                                  <m:sSubSup>
                                    <m:sSubSupPr>
                                      <m:ctrlPr>
                                        <w:rPr>
                                          <w:rFonts w:hint="default" w:ascii="Cambria Math" w:hAnsi="Cambria Math" w:cs="Times New Roman"/>
                                          <w:i/>
                                          <w:color w:val="auto"/>
                                          <w:kern w:val="2"/>
                                          <w:sz w:val="21"/>
                                          <w:szCs w:val="21"/>
                                          <w:lang w:val="en-US" w:eastAsia="zh-CN"/>
                                        </w:rPr>
                                      </m:ctrlPr>
                                    </m:sSubSupPr>
                                    <m:e>
                                      <m:r>
                                        <m:rPr/>
                                        <w:rPr>
                                          <w:rFonts w:hint="default" w:ascii="Cambria Math" w:hAnsi="Cambria Math" w:cs="Times New Roman"/>
                                          <w:color w:val="auto"/>
                                          <w:kern w:val="2"/>
                                          <w:sz w:val="21"/>
                                          <w:szCs w:val="21"/>
                                          <w:lang w:val="en-US" w:eastAsia="zh-CN"/>
                                        </w:rPr>
                                        <m:t>d</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ij</m:t>
                                      </m:r>
                                      <m:ctrlPr>
                                        <w:rPr>
                                          <w:rFonts w:hint="default" w:ascii="Cambria Math" w:hAnsi="Cambria Math" w:cs="Times New Roman"/>
                                          <w:i/>
                                          <w:color w:val="auto"/>
                                          <w:kern w:val="2"/>
                                          <w:sz w:val="21"/>
                                          <w:szCs w:val="21"/>
                                          <w:lang w:val="en-US" w:eastAsia="zh-CN"/>
                                        </w:rPr>
                                      </m:ctrlPr>
                                    </m:sub>
                                    <m:sup>
                                      <m:r>
                                        <m:rPr/>
                                        <w:rPr>
                                          <w:rFonts w:hint="default" w:ascii="Cambria Math" w:hAnsi="Cambria Math" w:cs="Times New Roman"/>
                                          <w:color w:val="auto"/>
                                          <w:kern w:val="2"/>
                                          <w:sz w:val="21"/>
                                          <w:szCs w:val="21"/>
                                          <w:lang w:val="en-US" w:eastAsia="zh-CN"/>
                                        </w:rPr>
                                        <m:t>v</m:t>
                                      </m:r>
                                      <m:ctrlPr>
                                        <w:rPr>
                                          <w:rFonts w:hint="default" w:ascii="Cambria Math" w:hAnsi="Cambria Math" w:cs="Times New Roman"/>
                                          <w:i/>
                                          <w:color w:val="auto"/>
                                          <w:kern w:val="2"/>
                                          <w:sz w:val="21"/>
                                          <w:szCs w:val="21"/>
                                          <w:lang w:val="en-US" w:eastAsia="zh-CN"/>
                                        </w:rPr>
                                      </m:ctrlPr>
                                    </m:sup>
                                  </m:sSubSup>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i</m:t>
                                      </m:r>
                                      <m:ctrlPr>
                                        <w:rPr>
                                          <w:rFonts w:hint="default" w:ascii="Cambria Math" w:hAnsi="Cambria Math" w:cs="Times New Roman"/>
                                          <w:i/>
                                          <w:color w:val="auto"/>
                                          <w:kern w:val="2"/>
                                          <w:sz w:val="21"/>
                                          <w:szCs w:val="21"/>
                                          <w:lang w:val="en-US" w:eastAsia="zh-CN"/>
                                        </w:rPr>
                                      </m:ctrlPr>
                                    </m:sub>
                                  </m:sSub>
                                  <m:r>
                                    <m:rPr/>
                                    <w:rPr>
                                      <w:rFonts w:hint="default" w:ascii="Cambria Math" w:hAnsi="Cambria Math" w:cs="Times New Roman"/>
                                      <w:color w:val="auto"/>
                                      <w:kern w:val="2"/>
                                      <w:sz w:val="21"/>
                                      <w:szCs w:val="21"/>
                                      <w:lang w:val="en-US" w:eastAsia="zh-CN"/>
                                    </w:rPr>
                                    <m:t>+</m:t>
                                  </m:r>
                                  <m:sSub>
                                    <m:sSubPr>
                                      <m:ctrlPr>
                                        <w:rPr>
                                          <w:rFonts w:hint="default" w:ascii="Cambria Math" w:hAnsi="Cambria Math" w:cs="Times New Roman"/>
                                          <w:i/>
                                          <w:color w:val="auto"/>
                                          <w:kern w:val="2"/>
                                          <w:sz w:val="21"/>
                                          <w:szCs w:val="21"/>
                                          <w:lang w:val="en-US" w:eastAsia="zh-CN"/>
                                        </w:rPr>
                                      </m:ctrlPr>
                                    </m:sSubPr>
                                    <m:e>
                                      <m:r>
                                        <m:rPr/>
                                        <w:rPr>
                                          <w:rFonts w:hint="default" w:ascii="Cambria Math" w:hAnsi="Cambria Math" w:cs="Times New Roman"/>
                                          <w:color w:val="auto"/>
                                          <w:kern w:val="2"/>
                                          <w:sz w:val="21"/>
                                          <w:szCs w:val="21"/>
                                          <w:lang w:val="en-US" w:eastAsia="zh-CN"/>
                                        </w:rPr>
                                        <m:t>s</m:t>
                                      </m:r>
                                      <m:ctrlPr>
                                        <w:rPr>
                                          <w:rFonts w:hint="default" w:ascii="Cambria Math" w:hAnsi="Cambria Math" w:cs="Times New Roman"/>
                                          <w:i/>
                                          <w:color w:val="auto"/>
                                          <w:kern w:val="2"/>
                                          <w:sz w:val="21"/>
                                          <w:szCs w:val="21"/>
                                          <w:lang w:val="en-US" w:eastAsia="zh-CN"/>
                                        </w:rPr>
                                      </m:ctrlPr>
                                    </m:e>
                                    <m:sub>
                                      <m:r>
                                        <m:rPr/>
                                        <w:rPr>
                                          <w:rFonts w:hint="default" w:ascii="Cambria Math" w:hAnsi="Cambria Math" w:cs="Times New Roman"/>
                                          <w:color w:val="auto"/>
                                          <w:kern w:val="2"/>
                                          <w:sz w:val="21"/>
                                          <w:szCs w:val="21"/>
                                          <w:lang w:val="en-US" w:eastAsia="zh-CN"/>
                                        </w:rPr>
                                        <m:t>j</m:t>
                                      </m:r>
                                      <m:ctrlPr>
                                        <w:rPr>
                                          <w:rFonts w:hint="default" w:ascii="Cambria Math" w:hAnsi="Cambria Math" w:cs="Times New Roman"/>
                                          <w:i/>
                                          <w:color w:val="auto"/>
                                          <w:kern w:val="2"/>
                                          <w:sz w:val="21"/>
                                          <w:szCs w:val="21"/>
                                          <w:lang w:val="en-US" w:eastAsia="zh-CN"/>
                                        </w:rPr>
                                      </m:ctrlPr>
                                    </m:sub>
                                  </m:sSub>
                                  <m:ctrlPr>
                                    <w:rPr>
                                      <w:rFonts w:hint="default" w:ascii="Cambria Math" w:hAnsi="Cambria Math" w:cs="Times New Roman"/>
                                      <w:i/>
                                      <w:color w:val="auto"/>
                                      <w:kern w:val="2"/>
                                      <w:sz w:val="21"/>
                                      <w:szCs w:val="21"/>
                                      <w:lang w:val="en-US" w:eastAsia="zh-CN"/>
                                    </w:rPr>
                                  </m:ctrlPr>
                                </m:e>
                              </m:d>
                              <m:ctrlPr>
                                <w:rPr>
                                  <w:rFonts w:hint="default" w:ascii="Cambria Math" w:hAnsi="Cambria Math" w:cs="Times New Roman"/>
                                  <w:i/>
                                  <w:color w:val="auto"/>
                                  <w:kern w:val="2"/>
                                  <w:sz w:val="21"/>
                                  <w:szCs w:val="21"/>
                                  <w:lang w:val="en-US" w:eastAsia="zh-CN"/>
                                </w:rPr>
                              </m:ctrlPr>
                            </m:e>
                            <m:sup>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sup>
                          </m:sSup>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e>
                  </m:nary>
                  <m:ctrlPr>
                    <w:rPr>
                      <w:rFonts w:hint="default" w:ascii="Cambria Math" w:hAnsi="Cambria Math" w:cs="Times New Roman"/>
                      <w:i/>
                      <w:color w:val="auto"/>
                      <w:kern w:val="2"/>
                      <w:sz w:val="21"/>
                      <w:szCs w:val="21"/>
                      <w:lang w:val="en-US" w:eastAsia="zh-CN"/>
                    </w:rPr>
                  </m:ctrlPr>
                </m:num>
                <m:den>
                  <m:r>
                    <m:rPr/>
                    <w:rPr>
                      <w:rFonts w:hint="default" w:ascii="Cambria Math" w:hAnsi="Cambria Math" w:cs="Times New Roman"/>
                      <w:color w:val="auto"/>
                      <w:kern w:val="2"/>
                      <w:sz w:val="21"/>
                      <w:szCs w:val="21"/>
                      <w:lang w:val="en-US" w:eastAsia="zh-CN"/>
                    </w:rPr>
                    <m:t>2</m:t>
                  </m:r>
                  <m:ctrlPr>
                    <w:rPr>
                      <w:rFonts w:hint="default" w:ascii="Cambria Math" w:hAnsi="Cambria Math" w:cs="Times New Roman"/>
                      <w:i/>
                      <w:color w:val="auto"/>
                      <w:kern w:val="2"/>
                      <w:sz w:val="21"/>
                      <w:szCs w:val="21"/>
                      <w:lang w:val="en-US" w:eastAsia="zh-CN"/>
                    </w:rPr>
                  </m:ctrlPr>
                </m:den>
              </m:f>
              <m:ctrlPr>
                <w:rPr>
                  <w:rFonts w:ascii="Cambria Math" w:hAnsi="Cambria Math" w:cs="Times New Roman"/>
                  <w:i/>
                  <w:color w:val="auto"/>
                  <w:kern w:val="2"/>
                  <w:sz w:val="21"/>
                  <w:szCs w:val="21"/>
                  <w:lang w:val="en-US"/>
                </w:rPr>
              </m:ctrlPr>
            </m:e>
          </m:d>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hAnsi="Cambria Math" w:cs="Times New Roman"/>
          <w:i w:val="0"/>
          <w:color w:val="auto"/>
          <w:kern w:val="2"/>
          <w:sz w:val="21"/>
          <w:szCs w:val="21"/>
          <w:lang w:val="en-US" w:eastAsia="zh-CN"/>
        </w:rPr>
      </w:pPr>
      <w:r>
        <w:rPr>
          <w:rFonts w:hint="default" w:ascii="Times New Roman" w:hAnsi="Times New Roman" w:cs="Times New Roman"/>
          <w:i/>
          <w:iCs/>
          <w:color w:val="auto"/>
          <w:kern w:val="2"/>
          <w:sz w:val="21"/>
          <w:szCs w:val="21"/>
          <w:lang w:val="en-US" w:eastAsia="zh-CN"/>
        </w:rPr>
        <w:t>RPG</w:t>
      </w:r>
      <w:r>
        <w:rPr>
          <w:rFonts w:hint="eastAsia" w:ascii="Times New Roman" w:hAnsi="Times New Roman" w:cs="Times New Roman"/>
          <w:i w:val="0"/>
          <w:color w:val="auto"/>
          <w:kern w:val="2"/>
          <w:sz w:val="21"/>
          <w:szCs w:val="21"/>
          <w:vertAlign w:val="subscript"/>
          <w:lang w:val="en-US" w:eastAsia="zh-CN"/>
        </w:rPr>
        <w:t>7</w:t>
      </w:r>
      <w:r>
        <w:rPr>
          <w:rFonts w:hint="eastAsia" w:hAnsi="Cambria Math" w:cs="Times New Roman"/>
          <w:i w:val="0"/>
          <w:color w:val="auto"/>
          <w:kern w:val="2"/>
          <w:sz w:val="21"/>
          <w:szCs w:val="21"/>
          <w:lang w:val="en-US" w:eastAsia="zh-CN"/>
        </w:rPr>
        <w:t>中</w:t>
      </w:r>
      <m:oMath>
        <m:r>
          <m:rPr/>
          <w:rPr>
            <w:rFonts w:ascii="Cambria Math" w:hAnsi="Cambria Math" w:cs="Times New Roman"/>
            <w:color w:val="auto"/>
            <w:kern w:val="2"/>
            <w:sz w:val="21"/>
            <w:szCs w:val="21"/>
            <w:lang w:val="en-US"/>
          </w:rPr>
          <m:t>τ</m:t>
        </m:r>
      </m:oMath>
      <w:r>
        <w:rPr>
          <w:rFonts w:hint="eastAsia" w:hAnsi="Cambria Math" w:cs="Times New Roman"/>
          <w:i w:val="0"/>
          <w:color w:val="auto"/>
          <w:kern w:val="2"/>
          <w:sz w:val="21"/>
          <w:szCs w:val="21"/>
          <w:lang w:val="en-US" w:eastAsia="zh-CN"/>
        </w:rPr>
        <w:t>的隐含变量的后验分布推断结果如下：</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m:oMathPara>
        <m:oMath>
          <m:r>
            <m:rPr/>
            <w:rPr>
              <w:rFonts w:ascii="Cambria Math" w:hAnsi="Cambria Math" w:cs="Times New Roman"/>
              <w:color w:val="auto"/>
              <w:kern w:val="2"/>
              <w:sz w:val="21"/>
              <w:szCs w:val="21"/>
              <w:lang w:val="en-US"/>
            </w:rPr>
            <m:t>τ</m:t>
          </m:r>
          <m:r>
            <m:rPr/>
            <w:rPr>
              <w:rFonts w:ascii="Cambria Math" w:hAnsi="Cambria Math" w:cs="Times New Roman"/>
              <w:color w:val="auto"/>
              <w:kern w:val="2"/>
              <w:sz w:val="21"/>
              <w:szCs w:val="21"/>
              <w:lang w:val="en-US" w:bidi="ar-SA"/>
            </w:rPr>
            <m:t>∝</m:t>
          </m:r>
          <m:sSubSup>
            <m:sSubSupPr>
              <m:ctrlPr>
                <w:rPr>
                  <w:rFonts w:ascii="Cambria Math" w:hAnsi="Cambria Math" w:cs="Times New Roman"/>
                  <w:i/>
                  <w:color w:val="auto"/>
                  <w:kern w:val="2"/>
                  <w:sz w:val="21"/>
                  <w:szCs w:val="21"/>
                  <w:lang w:val="en-US" w:bidi="ar-SA"/>
                </w:rPr>
              </m:ctrlPr>
            </m:sSubSupPr>
            <m:e>
              <m:r>
                <m:rPr/>
                <w:rPr>
                  <w:rFonts w:ascii="Cambria Math" w:hAnsi="Cambria Math" w:cs="Times New Roman"/>
                  <w:color w:val="auto"/>
                  <w:kern w:val="2"/>
                  <w:sz w:val="21"/>
                  <w:szCs w:val="21"/>
                  <w:lang w:val="en-US"/>
                </w:rPr>
                <m:t>τ</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i</m:t>
              </m:r>
              <m:ctrlPr>
                <w:rPr>
                  <w:rFonts w:ascii="Cambria Math" w:hAnsi="Cambria Math" w:cs="Times New Roman"/>
                  <w:i/>
                  <w:color w:val="auto"/>
                  <w:kern w:val="2"/>
                  <w:sz w:val="21"/>
                  <w:szCs w:val="21"/>
                  <w:lang w:val="en-US" w:bidi="ar-SA"/>
                </w:rPr>
              </m:ctrlPr>
            </m:sub>
            <m:sup>
              <m:f>
                <m:fPr>
                  <m:ctrlPr>
                    <w:rPr>
                      <w:rFonts w:ascii="Cambria Math" w:hAnsi="Cambria Math" w:cs="Times New Roman"/>
                      <w:i/>
                      <w:color w:val="auto"/>
                      <w:kern w:val="2"/>
                      <w:sz w:val="21"/>
                      <w:szCs w:val="21"/>
                      <w:lang w:val="en-US" w:bidi="ar-SA"/>
                    </w:rPr>
                  </m:ctrlPr>
                </m:fPr>
                <m:num>
                  <m:sSup>
                    <m:sSupPr>
                      <m:ctrlPr>
                        <w:rPr>
                          <w:rFonts w:ascii="Cambria Math" w:hAnsi="Cambria Math" w:cs="Times New Roman"/>
                          <w:i/>
                          <w:color w:val="auto"/>
                          <w:kern w:val="2"/>
                          <w:sz w:val="21"/>
                          <w:szCs w:val="21"/>
                          <w:lang w:val="en-US" w:bidi="ar-SA"/>
                        </w:rPr>
                      </m:ctrlPr>
                    </m:sSupPr>
                    <m:e>
                      <m:d>
                        <m:dPr>
                          <m:begChr m:val="|"/>
                          <m:endChr m:val="|"/>
                          <m:ctrlPr>
                            <w:rPr>
                              <w:rFonts w:ascii="Cambria Math" w:hAnsi="Cambria Math" w:cs="Times New Roman"/>
                              <w:i/>
                              <w:color w:val="auto"/>
                              <w:kern w:val="2"/>
                              <w:sz w:val="21"/>
                              <w:szCs w:val="21"/>
                              <w:lang w:val="en-US" w:bidi="ar-SA"/>
                            </w:rPr>
                          </m:ctrlPr>
                        </m:dPr>
                        <m:e>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ascii="Cambria Math" w:hAnsi="Cambria Math" w:cs="Times New Roman"/>
                              <w:i/>
                              <w:color w:val="auto"/>
                              <w:kern w:val="2"/>
                              <w:sz w:val="21"/>
                              <w:szCs w:val="21"/>
                              <w:lang w:val="en-US" w:bidi="ar-SA"/>
                            </w:rPr>
                          </m:ctrlPr>
                        </m:e>
                      </m:d>
                      <m:ctrlPr>
                        <w:rPr>
                          <w:rFonts w:ascii="Cambria Math" w:hAnsi="Cambria Math" w:cs="Times New Roman"/>
                          <w:i/>
                          <w:color w:val="auto"/>
                          <w:kern w:val="2"/>
                          <w:sz w:val="21"/>
                          <w:szCs w:val="21"/>
                          <w:lang w:val="en-US" w:bidi="ar-SA"/>
                        </w:rPr>
                      </m:ctrlPr>
                    </m:e>
                    <m:sup>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sup>
                  </m:sSup>
                  <m:ctrlPr>
                    <w:rPr>
                      <w:rFonts w:ascii="Cambria Math" w:hAnsi="Cambria Math" w:cs="Times New Roman"/>
                      <w:i/>
                      <w:color w:val="auto"/>
                      <w:kern w:val="2"/>
                      <w:sz w:val="21"/>
                      <w:szCs w:val="21"/>
                      <w:lang w:val="en-US" w:bidi="ar-SA"/>
                    </w:rPr>
                  </m:ctrlPr>
                </m:num>
                <m:den>
                  <m:r>
                    <m:rPr/>
                    <w:rPr>
                      <w:rFonts w:hint="default" w:ascii="Cambria Math" w:hAnsi="Cambria Math" w:cs="Times New Roman"/>
                      <w:color w:val="auto"/>
                      <w:kern w:val="2"/>
                      <w:sz w:val="21"/>
                      <w:szCs w:val="21"/>
                      <w:lang w:val="en-US" w:eastAsia="zh-CN" w:bidi="ar-SA"/>
                    </w:rPr>
                    <m:t>2</m:t>
                  </m:r>
                  <m:ctrlPr>
                    <w:rPr>
                      <w:rFonts w:ascii="Cambria Math" w:hAnsi="Cambria Math" w:cs="Times New Roman"/>
                      <w:i/>
                      <w:color w:val="auto"/>
                      <w:kern w:val="2"/>
                      <w:sz w:val="21"/>
                      <w:szCs w:val="21"/>
                      <w:lang w:val="en-US" w:bidi="ar-SA"/>
                    </w:rPr>
                  </m:ctrlPr>
                </m:den>
              </m:f>
              <m:ctrlPr>
                <w:rPr>
                  <w:rFonts w:ascii="Cambria Math" w:hAnsi="Cambria Math" w:cs="Times New Roman"/>
                  <w:i/>
                  <w:color w:val="auto"/>
                  <w:kern w:val="2"/>
                  <w:sz w:val="21"/>
                  <w:szCs w:val="21"/>
                  <w:lang w:val="en-US" w:bidi="ar-SA"/>
                </w:rPr>
              </m:ctrlPr>
            </m:sup>
          </m:sSubSup>
          <m:r>
            <m:rPr/>
            <w:rPr>
              <w:rFonts w:hint="default" w:ascii="Cambria Math" w:hAnsi="Cambria Math" w:cs="Times New Roman"/>
              <w:color w:val="auto"/>
              <w:kern w:val="2"/>
              <w:sz w:val="21"/>
              <w:szCs w:val="21"/>
              <w:lang w:val="en-US" w:eastAsia="zh-CN" w:bidi="ar-SA"/>
            </w:rPr>
            <m:t>exp(−</m:t>
          </m:r>
          <m:f>
            <m:fPr>
              <m:ctrlPr>
                <w:rPr>
                  <w:rFonts w:hint="default" w:ascii="Cambria Math" w:hAnsi="Cambria Math" w:cs="Times New Roman"/>
                  <w:i/>
                  <w:color w:val="auto"/>
                  <w:kern w:val="2"/>
                  <w:sz w:val="21"/>
                  <w:szCs w:val="21"/>
                  <w:lang w:val="en-US" w:eastAsia="zh-CN" w:bidi="ar-SA"/>
                </w:rPr>
              </m:ctrlPr>
            </m:fPr>
            <m:num>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den>
          </m:f>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ascii="Cambria Math" w:hAnsi="Cambria Math" w:cs="Times New Roman"/>
                  <w:color w:val="auto"/>
                  <w:kern w:val="2"/>
                  <w:sz w:val="21"/>
                  <w:szCs w:val="21"/>
                  <w:lang w:val="en-US" w:bidi="ar-SA"/>
                </w:rPr>
                <m:t>τ</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r>
            <m:rPr/>
            <w:rPr>
              <w:rFonts w:ascii="Cambria Math" w:hAnsi="Cambria Math" w:cs="Times New Roman"/>
              <w:color w:val="auto"/>
              <w:kern w:val="2"/>
              <w:sz w:val="21"/>
              <w:szCs w:val="21"/>
              <w:lang w:val="en-US" w:bidi="ar-SA"/>
            </w:rPr>
            <m:t>α</m:t>
          </m:r>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z</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b</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nary>
            <m:naryPr>
              <m:chr m:val="∑"/>
              <m:limLoc m:val="subSup"/>
              <m:supHide m:val="1"/>
              <m:ctrlPr>
                <w:rPr>
                  <w:rFonts w:hint="default" w:ascii="Cambria Math" w:hAnsi="Cambria Math" w:cs="Times New Roman"/>
                  <w:i/>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i,j</m:t>
              </m:r>
              <m:r>
                <m:rPr/>
                <w:rPr>
                  <w:rFonts w:ascii="Cambria Math" w:hAnsi="Cambria Math" w:cs="Times New Roman"/>
                  <w:color w:val="auto"/>
                  <w:kern w:val="2"/>
                  <w:sz w:val="21"/>
                  <w:szCs w:val="21"/>
                  <w:lang w:val="en-US" w:bidi="ar-SA"/>
                </w:rPr>
                <m:t>∈</m:t>
              </m:r>
              <m:sSub>
                <m:sSubPr>
                  <m:ctrlPr>
                    <w:rPr>
                      <w:rFonts w:ascii="Cambria Math" w:hAnsi="Cambria Math" w:cs="Times New Roman"/>
                      <w:i/>
                      <w:color w:val="auto"/>
                      <w:kern w:val="2"/>
                      <w:sz w:val="21"/>
                      <w:szCs w:val="21"/>
                      <w:lang w:val="en-US" w:bidi="ar-SA"/>
                    </w:rPr>
                  </m:ctrlPr>
                </m:sSubPr>
                <m:e>
                  <m:r>
                    <m:rPr/>
                    <w:rPr>
                      <w:rFonts w:hint="default" w:ascii="Cambria Math" w:hAnsi="Cambria Math" w:cs="Times New Roman"/>
                      <w:color w:val="auto"/>
                      <w:kern w:val="2"/>
                      <w:sz w:val="21"/>
                      <w:szCs w:val="21"/>
                      <w:lang w:val="en-US" w:eastAsia="zh-CN" w:bidi="ar-SA"/>
                    </w:rPr>
                    <m:t>H</m:t>
                  </m:r>
                  <m:ctrlPr>
                    <w:rPr>
                      <w:rFonts w:ascii="Cambria Math" w:hAnsi="Cambria Math" w:cs="Times New Roman"/>
                      <w:i/>
                      <w:color w:val="auto"/>
                      <w:kern w:val="2"/>
                      <w:sz w:val="21"/>
                      <w:szCs w:val="21"/>
                      <w:lang w:val="en-US" w:bidi="ar-SA"/>
                    </w:rPr>
                  </m:ctrlPr>
                </m:e>
                <m:sub>
                  <m:r>
                    <m:rPr/>
                    <w:rPr>
                      <w:rFonts w:hint="default" w:ascii="Cambria Math" w:hAnsi="Cambria Math" w:cs="Times New Roman"/>
                      <w:color w:val="auto"/>
                      <w:kern w:val="2"/>
                      <w:sz w:val="21"/>
                      <w:szCs w:val="21"/>
                      <w:lang w:val="en-US" w:eastAsia="zh-CN" w:bidi="ar-SA"/>
                    </w:rPr>
                    <m:t>v</m:t>
                  </m:r>
                  <m:ctrlPr>
                    <w:rPr>
                      <w:rFonts w:ascii="Cambria Math" w:hAnsi="Cambria Math" w:cs="Times New Roman"/>
                      <w:i/>
                      <w:color w:val="auto"/>
                      <w:kern w:val="2"/>
                      <w:sz w:val="21"/>
                      <w:szCs w:val="21"/>
                      <w:lang w:val="en-US" w:bidi="ar-SA"/>
                    </w:rPr>
                  </m:ctrlPr>
                </m:sub>
              </m:sSub>
              <m:ctrlPr>
                <w:rPr>
                  <w:rFonts w:hint="default" w:ascii="Cambria Math" w:hAnsi="Cambria Math" w:cs="Times New Roman"/>
                  <w:i/>
                  <w:color w:val="auto"/>
                  <w:kern w:val="2"/>
                  <w:sz w:val="21"/>
                  <w:szCs w:val="21"/>
                  <w:lang w:val="en-US" w:eastAsia="zh-CN" w:bidi="ar-SA"/>
                </w:rPr>
              </m:ctrlPr>
            </m:sub>
            <m:sup>
              <m:ctrlPr>
                <w:rPr>
                  <w:rFonts w:hint="default" w:ascii="Cambria Math" w:hAnsi="Cambria Math" w:cs="Times New Roman"/>
                  <w:i/>
                  <w:color w:val="auto"/>
                  <w:kern w:val="2"/>
                  <w:sz w:val="21"/>
                  <w:szCs w:val="21"/>
                  <w:lang w:val="en-US" w:eastAsia="zh-CN" w:bidi="ar-SA"/>
                </w:rPr>
              </m:ctrlPr>
            </m:sup>
            <m:e>
              <m:f>
                <m:fPr>
                  <m:ctrlPr>
                    <w:rPr>
                      <w:rFonts w:hint="default" w:ascii="Cambria Math" w:hAnsi="Cambria Math" w:cs="Times New Roman"/>
                      <w:i/>
                      <w:color w:val="auto"/>
                      <w:kern w:val="2"/>
                      <w:sz w:val="21"/>
                      <w:szCs w:val="21"/>
                      <w:lang w:val="en-US" w:eastAsia="zh-CN" w:bidi="ar-SA"/>
                    </w:rPr>
                  </m:ctrlPr>
                </m:fPr>
                <m:num>
                  <m:sSup>
                    <m:sSupPr>
                      <m:ctrlPr>
                        <w:rPr>
                          <w:rFonts w:hint="default" w:ascii="Cambria Math" w:hAnsi="Cambria Math" w:cs="Times New Roman"/>
                          <w:i/>
                          <w:color w:val="auto"/>
                          <w:kern w:val="2"/>
                          <w:sz w:val="21"/>
                          <w:szCs w:val="21"/>
                          <w:lang w:val="en-US" w:eastAsia="zh-CN" w:bidi="ar-SA"/>
                        </w:rPr>
                      </m:ctrlPr>
                    </m:sSupPr>
                    <m:e>
                      <m:r>
                        <m:rPr/>
                        <w:rPr>
                          <w:rFonts w:hint="default" w:ascii="Cambria Math" w:hAnsi="Cambria Math" w:cs="Times New Roman"/>
                          <w:color w:val="auto"/>
                          <w:kern w:val="2"/>
                          <w:sz w:val="21"/>
                          <w:szCs w:val="21"/>
                          <w:lang w:val="en-US" w:eastAsia="zh-CN" w:bidi="ar-SA"/>
                        </w:rPr>
                        <m:t>(</m:t>
                      </m:r>
                      <m:sSubSup>
                        <m:sSubSupPr>
                          <m:ctrlPr>
                            <w:rPr>
                              <w:rFonts w:hint="default" w:ascii="Cambria Math" w:hAnsi="Cambria Math" w:cs="Times New Roman"/>
                              <w:i/>
                              <w:color w:val="auto"/>
                              <w:kern w:val="2"/>
                              <w:sz w:val="21"/>
                              <w:szCs w:val="21"/>
                              <w:lang w:val="en-US" w:eastAsia="zh-CN" w:bidi="ar-SA"/>
                            </w:rPr>
                          </m:ctrlPr>
                        </m:sSubSupPr>
                        <m:e>
                          <m:r>
                            <m:rPr/>
                            <w:rPr>
                              <w:rFonts w:hint="default" w:ascii="Cambria Math" w:hAnsi="Cambria Math" w:cs="Times New Roman"/>
                              <w:color w:val="auto"/>
                              <w:kern w:val="2"/>
                              <w:sz w:val="21"/>
                              <w:szCs w:val="21"/>
                              <w:lang w:val="en-US" w:eastAsia="zh-CN" w:bidi="ar-SA"/>
                            </w:rPr>
                            <m:t>d</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ij</m:t>
                          </m:r>
                          <m:ctrlPr>
                            <w:rPr>
                              <w:rFonts w:hint="default" w:ascii="Cambria Math" w:hAnsi="Cambria Math" w:cs="Times New Roman"/>
                              <w:i/>
                              <w:color w:val="auto"/>
                              <w:kern w:val="2"/>
                              <w:sz w:val="21"/>
                              <w:szCs w:val="21"/>
                              <w:lang w:val="en-US" w:eastAsia="zh-CN" w:bidi="ar-SA"/>
                            </w:rPr>
                          </m:ctrlPr>
                        </m:sub>
                        <m:sup>
                          <m:r>
                            <m:rPr/>
                            <w:rPr>
                              <w:rFonts w:hint="default" w:ascii="Cambria Math" w:hAnsi="Cambria Math" w:cs="Times New Roman"/>
                              <w:color w:val="auto"/>
                              <w:kern w:val="2"/>
                              <w:sz w:val="21"/>
                              <w:szCs w:val="21"/>
                              <w:lang w:val="en-US" w:eastAsia="zh-CN" w:bidi="ar-SA"/>
                            </w:rPr>
                            <m:t>v</m:t>
                          </m:r>
                          <m:ctrlPr>
                            <w:rPr>
                              <w:rFonts w:hint="default" w:ascii="Cambria Math" w:hAnsi="Cambria Math" w:cs="Times New Roman"/>
                              <w:i/>
                              <w:color w:val="auto"/>
                              <w:kern w:val="2"/>
                              <w:sz w:val="21"/>
                              <w:szCs w:val="21"/>
                              <w:lang w:val="en-US" w:eastAsia="zh-CN" w:bidi="ar-SA"/>
                            </w:rPr>
                          </m:ctrlPr>
                        </m:sup>
                      </m:sSubSup>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w:rPr>
                              <w:rFonts w:hint="default" w:ascii="Cambria Math" w:hAnsi="Cambria Math" w:cs="Times New Roman"/>
                              <w:i/>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w:rPr>
                              <w:rFonts w:hint="default" w:ascii="Cambria Math" w:hAnsi="Cambria Math" w:cs="Times New Roman"/>
                              <w:i/>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j</m:t>
                          </m:r>
                          <m:ctrlPr>
                            <w:rPr>
                              <w:rFonts w:hint="default" w:ascii="Cambria Math" w:hAnsi="Cambria Math" w:cs="Times New Roman"/>
                              <w:i/>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ctrlPr>
                        <w:rPr>
                          <w:rFonts w:hint="default" w:ascii="Cambria Math" w:hAnsi="Cambria Math" w:cs="Times New Roman"/>
                          <w:i/>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w:rPr>
                          <w:rFonts w:hint="default" w:ascii="Cambria Math" w:hAnsi="Cambria Math" w:cs="Times New Roman"/>
                          <w:i/>
                          <w:color w:val="auto"/>
                          <w:kern w:val="2"/>
                          <w:sz w:val="21"/>
                          <w:szCs w:val="21"/>
                          <w:lang w:val="en-US" w:eastAsia="zh-CN" w:bidi="ar-SA"/>
                        </w:rPr>
                      </m:ctrlPr>
                    </m:sup>
                  </m:sSup>
                  <m:ctrlPr>
                    <w:rPr>
                      <w:rFonts w:hint="default" w:ascii="Cambria Math" w:hAnsi="Cambria Math" w:cs="Times New Roman"/>
                      <w:i/>
                      <w:color w:val="auto"/>
                      <w:kern w:val="2"/>
                      <w:sz w:val="21"/>
                      <w:szCs w:val="21"/>
                      <w:lang w:val="en-US" w:eastAsia="zh-CN" w:bidi="ar-SA"/>
                    </w:rPr>
                  </m:ctrlPr>
                </m:num>
                <m:den>
                  <m:r>
                    <m:rPr/>
                    <w:rPr>
                      <w:rFonts w:hint="default" w:ascii="Cambria Math" w:hAnsi="Cambria Math" w:cs="Times New Roman"/>
                      <w:color w:val="auto"/>
                      <w:kern w:val="2"/>
                      <w:sz w:val="21"/>
                      <w:szCs w:val="21"/>
                      <w:lang w:val="en-US" w:eastAsia="zh-CN" w:bidi="ar-SA"/>
                    </w:rPr>
                    <m:t>2</m:t>
                  </m:r>
                  <m:r>
                    <m:rPr/>
                    <w:rPr>
                      <w:rFonts w:ascii="Cambria Math" w:hAnsi="Cambria Math" w:cs="Times New Roman"/>
                      <w:color w:val="auto"/>
                      <w:kern w:val="2"/>
                      <w:sz w:val="21"/>
                      <w:szCs w:val="21"/>
                      <w:lang w:val="en-US" w:bidi="ar-SA"/>
                    </w:rPr>
                    <m:t>β</m:t>
                  </m:r>
                  <m:ctrlPr>
                    <w:rPr>
                      <w:rFonts w:hint="default" w:ascii="Cambria Math" w:hAnsi="Cambria Math" w:cs="Times New Roman"/>
                      <w:i/>
                      <w:color w:val="auto"/>
                      <w:kern w:val="2"/>
                      <w:sz w:val="21"/>
                      <w:szCs w:val="21"/>
                      <w:lang w:val="en-US" w:eastAsia="zh-CN" w:bidi="ar-SA"/>
                    </w:rPr>
                  </m:ctrlPr>
                </m:den>
              </m:f>
              <m:ctrlPr>
                <w:rPr>
                  <w:rFonts w:hint="default" w:ascii="Cambria Math" w:hAnsi="Cambria Math" w:cs="Times New Roman"/>
                  <w:i/>
                  <w:color w:val="auto"/>
                  <w:kern w:val="2"/>
                  <w:sz w:val="21"/>
                  <w:szCs w:val="21"/>
                  <w:lang w:val="en-US" w:eastAsia="zh-CN" w:bidi="ar-SA"/>
                </w:rPr>
              </m:ctrlPr>
            </m:e>
          </m:nary>
          <m:r>
            <m:rPr/>
            <w:rPr>
              <w:rFonts w:hint="default" w:ascii="Cambria Math" w:hAnsi="Cambria Math" w:cs="Times New Roman"/>
              <w:color w:val="auto"/>
              <w:kern w:val="2"/>
              <w:sz w:val="21"/>
              <w:szCs w:val="21"/>
              <w:lang w:val="en-US" w:eastAsia="zh-CN" w:bidi="ar-SA"/>
            </w:rPr>
            <m:t>)))</m:t>
          </m:r>
        </m:oMath>
      </m:oMathPara>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对此，我们需要得到学生的真实分数。由于我们需要在互评结果出现之前得到学生的</w:t>
      </w:r>
    </w:p>
    <w:p>
      <w:pPr>
        <w:pStyle w:val="27"/>
        <w:keepNext w:val="0"/>
        <w:keepLines w:val="0"/>
        <w:pageBreakBefore w:val="0"/>
        <w:widowControl/>
        <w:kinsoku/>
        <w:wordWrap/>
        <w:overflowPunct/>
        <w:topLinePunct w:val="0"/>
        <w:autoSpaceDE/>
        <w:autoSpaceDN/>
        <w:bidi w:val="0"/>
        <w:adjustRightInd/>
        <w:snapToGrid/>
        <w:spacing w:before="0" w:beforeAutospacing="0" w:after="0" w:afterAutospacing="0"/>
        <w:ind w:firstLine="420" w:firstLineChars="200"/>
        <w:textAlignment w:val="auto"/>
        <w:rPr>
          <w:rFonts w:hint="default" w:cs="Times New Roman"/>
          <w:color w:val="auto"/>
          <w:kern w:val="2"/>
          <w:sz w:val="21"/>
          <w:szCs w:val="21"/>
          <w:lang w:val="en-US" w:eastAsia="zh-CN"/>
        </w:rPr>
      </w:pPr>
      <w:r>
        <w:rPr>
          <w:rFonts w:hint="eastAsia" w:cs="Times New Roman"/>
          <w:color w:val="auto"/>
          <w:kern w:val="2"/>
          <w:sz w:val="21"/>
          <w:szCs w:val="21"/>
          <w:lang w:val="en-US" w:eastAsia="zh-CN"/>
        </w:rPr>
        <w:t>我们采用了半监督的方式，让教师对部分学生的作业进行打分，得到了部分分数。如果教师抽查的数量不够，就无法拥有更多的真实分数。所以我们进行了一个实验，确定了学生的评价能力不会有太大的变化。于是我们可以通过上一次计算的真实分数和互评分数对学生的评价能力进行定义。由于上一次的结尾，我们可以通过汇总分数得到，我们主要通过两种方式，第一是一种教师的打分，第二是通过模型推导得到的真实分数。首先对于一个学生，打分。因此，我们采用了半监督的方式，</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2.1.1.1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b/>
          <w:color w:val="auto"/>
          <w:szCs w:val="21"/>
        </w:rPr>
      </w:pPr>
      <w:r>
        <w:rPr>
          <w:rFonts w:hint="eastAsia" w:ascii="Times New Roman" w:hAnsi="Times New Roman"/>
          <w:b/>
          <w:color w:val="auto"/>
          <w:szCs w:val="21"/>
        </w:rPr>
        <w:t>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w:t>
      </w:r>
    </w:p>
    <w:p>
      <w:pPr>
        <w:pStyle w:val="22"/>
        <w:ind w:firstLine="0" w:firstLineChars="0"/>
        <w:rPr>
          <w:rFonts w:hint="eastAsia" w:ascii="Times New Roman" w:hAnsi="Times New Roman"/>
          <w:color w:val="auto"/>
          <w:szCs w:val="21"/>
        </w:rPr>
      </w:pPr>
      <w:r>
        <w:rPr>
          <w:rFonts w:hint="eastAsia" w:ascii="Times New Roman" w:hAnsi="Times New Roman"/>
          <w:color w:val="auto"/>
          <w:szCs w:val="21"/>
        </w:rPr>
        <w:t>2.2.1.1</w:t>
      </w:r>
    </w:p>
    <w:p>
      <w:pPr>
        <w:pStyle w:val="22"/>
        <w:rPr>
          <w:rFonts w:hint="eastAsia" w:ascii="宋体" w:hAnsi="宋体"/>
          <w:color w:val="auto"/>
          <w:szCs w:val="21"/>
        </w:rPr>
      </w:pPr>
      <w:r>
        <w:rPr>
          <w:rFonts w:ascii="宋体" w:hAnsi="宋体"/>
          <w:color w:val="auto"/>
          <w:szCs w:val="21"/>
        </w:rPr>
        <w:t>……</w:t>
      </w:r>
    </w:p>
    <w:p>
      <w:pPr>
        <w:pStyle w:val="22"/>
        <w:ind w:firstLine="0" w:firstLineChars="0"/>
        <w:rPr>
          <w:rFonts w:hint="eastAsia" w:ascii="Times New Roman" w:hAnsi="Times New Roman" w:eastAsia="华文楷体"/>
          <w:color w:val="auto"/>
          <w:szCs w:val="21"/>
        </w:rPr>
      </w:pPr>
    </w:p>
    <w:p>
      <w:pPr>
        <w:pStyle w:val="27"/>
        <w:spacing w:before="0" w:beforeAutospacing="0" w:after="0" w:afterAutospacing="0"/>
        <w:rPr>
          <w:rFonts w:cs="Times New Roman"/>
          <w:color w:val="auto"/>
          <w:kern w:val="2"/>
          <w:sz w:val="21"/>
          <w:szCs w:val="21"/>
        </w:rPr>
      </w:pPr>
      <w:r>
        <w:rPr>
          <w:rFonts w:hint="eastAsia" w:cs="Times New Roman"/>
          <w:color w:val="auto"/>
          <w:kern w:val="2"/>
          <w:sz w:val="21"/>
          <w:szCs w:val="21"/>
        </w:rPr>
        <w:t>【图表】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1、只附最必要的，能用文字表述尽量不用图表，图表要求精心设计，力求美观，互不重复。给出图表，不能仅仅有图表而没有其他文字说明，且正文中必须遵循“先文后图表”的原则，即先有对图表的重要数据的描述文字，及由图表得出的结论，并在正文中明确出现“图1”或“表1”等文字，方可出现图表。</w:t>
      </w:r>
    </w:p>
    <w:p>
      <w:pPr>
        <w:pStyle w:val="27"/>
        <w:spacing w:before="0" w:beforeAutospacing="0" w:after="0" w:afterAutospacing="0"/>
        <w:rPr>
          <w:rFonts w:ascii="Times New Roman" w:hAnsi="Times New Roman" w:cs="Times New Roman"/>
          <w:color w:val="auto"/>
          <w:kern w:val="2"/>
          <w:sz w:val="21"/>
          <w:szCs w:val="21"/>
        </w:rPr>
      </w:pPr>
      <w:r>
        <w:rPr>
          <w:rFonts w:ascii="Times New Roman" w:hAnsi="Times New Roman" w:cs="Times New Roman"/>
          <w:color w:val="auto"/>
          <w:kern w:val="2"/>
          <w:sz w:val="21"/>
          <w:szCs w:val="21"/>
        </w:rPr>
        <w:t>2、</w:t>
      </w:r>
      <w:r>
        <w:rPr>
          <w:rFonts w:hint="eastAsia" w:ascii="Times New Roman" w:hAnsi="Times New Roman" w:cs="Times New Roman"/>
          <w:color w:val="auto"/>
          <w:kern w:val="2"/>
          <w:sz w:val="21"/>
          <w:szCs w:val="21"/>
        </w:rPr>
        <w:t>图题、标题、图注、标注，以及图表内所有的中文应补充对应的英文翻译。</w:t>
      </w:r>
    </w:p>
    <w:p>
      <w:pPr>
        <w:pStyle w:val="27"/>
        <w:spacing w:before="0" w:beforeAutospacing="0" w:after="0" w:afterAutospacing="0"/>
        <w:rPr>
          <w:rFonts w:ascii="Times New Roman" w:hAnsi="Times New Roman" w:cs="Times New Roman"/>
          <w:color w:val="auto"/>
          <w:kern w:val="2"/>
          <w:sz w:val="21"/>
          <w:szCs w:val="21"/>
        </w:rPr>
      </w:pPr>
      <w:r>
        <w:rPr>
          <w:rFonts w:hint="eastAsia" w:ascii="Times New Roman" w:hAnsi="Times New Roman" w:cs="Times New Roman"/>
          <w:color w:val="auto"/>
          <w:kern w:val="2"/>
          <w:sz w:val="21"/>
          <w:szCs w:val="21"/>
        </w:rPr>
        <w:t>3、图序、表序不分章节，完全按顺序统一编号，如图1、图2……图n，表1、表2……表n（不可用图1-1，表1-1等形式）</w:t>
      </w:r>
    </w:p>
    <w:p>
      <w:pPr>
        <w:pStyle w:val="27"/>
        <w:spacing w:before="0" w:beforeAutospacing="0" w:after="0" w:afterAutospacing="0"/>
        <w:rPr>
          <w:color w:val="auto"/>
          <w:sz w:val="22"/>
          <w:szCs w:val="22"/>
        </w:rPr>
      </w:pPr>
      <w:r>
        <w:rPr>
          <w:rFonts w:hint="eastAsia" w:ascii="Times New Roman" w:hAnsi="Times New Roman" w:cs="Times New Roman"/>
          <w:color w:val="auto"/>
          <w:kern w:val="2"/>
          <w:sz w:val="21"/>
          <w:szCs w:val="21"/>
        </w:rPr>
        <w:t>4、其中，图的编排顺序为图—图注—图题；表的编排顺序为标题—表—表注。图表中的单位用括号标注，如“（</w:t>
      </w:r>
      <w:r>
        <w:rPr>
          <w:rFonts w:ascii="Times New Roman" w:hAnsi="Times New Roman" w:cs="Times New Roman"/>
          <w:color w:val="auto"/>
          <w:kern w:val="2"/>
          <w:sz w:val="21"/>
          <w:szCs w:val="21"/>
        </w:rPr>
        <w:t>kg</w:t>
      </w:r>
      <w:r>
        <w:rPr>
          <w:rFonts w:hint="eastAsia" w:ascii="Times New Roman" w:hAnsi="Times New Roman" w:cs="Times New Roman"/>
          <w:color w:val="auto"/>
          <w:kern w:val="2"/>
          <w:sz w:val="21"/>
          <w:szCs w:val="21"/>
        </w:rPr>
        <w:t>）”</w:t>
      </w:r>
    </w:p>
    <w:p>
      <w:pPr>
        <w:pStyle w:val="27"/>
        <w:spacing w:before="0" w:beforeAutospacing="0" w:after="0" w:afterAutospacing="0"/>
        <w:rPr>
          <w:rFonts w:hint="eastAsia" w:ascii="Times New Roman" w:hAnsi="Times New Roman" w:eastAsia="华文楷体" w:cs="Times New Roman"/>
          <w:color w:val="auto"/>
          <w:szCs w:val="21"/>
        </w:rPr>
      </w:pPr>
    </w:p>
    <w:p>
      <w:pPr>
        <w:pStyle w:val="22"/>
        <w:ind w:firstLine="0" w:firstLineChars="0"/>
        <w:jc w:val="center"/>
        <w:rPr>
          <w:rFonts w:hint="eastAsia" w:ascii="宋体" w:hAnsi="宋体"/>
          <w:color w:val="auto"/>
          <w:szCs w:val="21"/>
        </w:rPr>
      </w:pPr>
      <w:r>
        <w:rPr>
          <w:rFonts w:ascii="Times New Roman" w:hAnsi="Times New Roman" w:eastAsia="华文楷体"/>
          <w:color w:val="auto"/>
          <w:szCs w:val="21"/>
        </w:rPr>
        <w:drawing>
          <wp:inline distT="0" distB="0" distL="114300" distR="114300">
            <wp:extent cx="3578225" cy="2021205"/>
            <wp:effectExtent l="0" t="0" r="3175" b="5715"/>
            <wp:docPr id="2" name="图片 1"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Fig"/>
                    <pic:cNvPicPr>
                      <a:picLocks noChangeAspect="1"/>
                    </pic:cNvPicPr>
                  </pic:nvPicPr>
                  <pic:blipFill>
                    <a:blip r:embed="rId6"/>
                    <a:stretch>
                      <a:fillRect/>
                    </a:stretch>
                  </pic:blipFill>
                  <pic:spPr>
                    <a:xfrm>
                      <a:off x="0" y="0"/>
                      <a:ext cx="3578225" cy="2021205"/>
                    </a:xfrm>
                    <a:prstGeom prst="rect">
                      <a:avLst/>
                    </a:prstGeom>
                    <a:noFill/>
                    <a:ln>
                      <a:noFill/>
                    </a:ln>
                  </pic:spPr>
                </pic:pic>
              </a:graphicData>
            </a:graphic>
          </wp:inline>
        </w:drawing>
      </w:r>
    </w:p>
    <w:p>
      <w:pPr>
        <w:pStyle w:val="22"/>
        <w:ind w:firstLine="0" w:firstLineChars="0"/>
        <w:jc w:val="center"/>
        <w:rPr>
          <w:rFonts w:ascii="Times New Roman" w:hAnsi="Times New Roman"/>
          <w:color w:val="auto"/>
          <w:szCs w:val="21"/>
        </w:rPr>
      </w:pPr>
      <w:r>
        <w:rPr>
          <w:rFonts w:ascii="Times New Roman" w:hAnsi="Times New Roman"/>
          <w:color w:val="auto"/>
          <w:szCs w:val="21"/>
        </w:rPr>
        <w:t>(图片大小在80 mm左右，像素300-600)</w:t>
      </w:r>
    </w:p>
    <w:p>
      <w:pPr>
        <w:pStyle w:val="22"/>
        <w:ind w:firstLine="0" w:firstLineChars="0"/>
        <w:jc w:val="center"/>
        <w:rPr>
          <w:rFonts w:hint="eastAsia" w:ascii="宋体" w:hAnsi="宋体"/>
          <w:color w:val="auto"/>
          <w:szCs w:val="21"/>
        </w:rPr>
      </w:pPr>
      <w:r>
        <w:rPr>
          <w:rFonts w:hint="eastAsia" w:ascii="宋体" w:hAnsi="宋体"/>
          <w:color w:val="auto"/>
          <w:szCs w:val="21"/>
        </w:rPr>
        <w:t xml:space="preserve">图1  </w:t>
      </w:r>
      <w:r>
        <w:rPr>
          <w:rFonts w:ascii="宋体" w:hAnsi="宋体"/>
          <w:color w:val="auto"/>
          <w:szCs w:val="21"/>
        </w:rPr>
        <w:t>青霉属纤维素酶合成调控网络</w:t>
      </w:r>
    </w:p>
    <w:p>
      <w:pPr>
        <w:pStyle w:val="22"/>
        <w:ind w:firstLine="0" w:firstLineChars="0"/>
        <w:jc w:val="center"/>
        <w:rPr>
          <w:rFonts w:ascii="Times New Roman" w:hAnsi="Times New Roman"/>
          <w:color w:val="auto"/>
          <w:szCs w:val="21"/>
        </w:rPr>
      </w:pPr>
      <w:r>
        <w:rPr>
          <w:rFonts w:ascii="Times New Roman" w:hAnsi="Times New Roman"/>
          <w:color w:val="auto"/>
          <w:szCs w:val="21"/>
        </w:rPr>
        <w:t xml:space="preserve">Fig.1  </w:t>
      </w:r>
      <w:r>
        <w:rPr>
          <w:rFonts w:hint="eastAsia" w:ascii="Times New Roman" w:hAnsi="Times New Roman"/>
          <w:color w:val="auto"/>
          <w:szCs w:val="21"/>
        </w:rPr>
        <w:t>R</w:t>
      </w:r>
      <w:r>
        <w:rPr>
          <w:rFonts w:ascii="Times New Roman" w:hAnsi="Times New Roman"/>
          <w:color w:val="auto"/>
          <w:szCs w:val="21"/>
        </w:rPr>
        <w:t xml:space="preserve">egulatory network of cellulase synthesis in </w:t>
      </w:r>
      <w:r>
        <w:rPr>
          <w:rFonts w:ascii="Times New Roman" w:hAnsi="Times New Roman"/>
          <w:i/>
          <w:color w:val="auto"/>
          <w:szCs w:val="21"/>
        </w:rPr>
        <w:t>Penicillium</w:t>
      </w:r>
    </w:p>
    <w:p>
      <w:pPr>
        <w:pStyle w:val="24"/>
        <w:jc w:val="left"/>
        <w:rPr>
          <w:rFonts w:hint="eastAsia" w:hAnsi="宋体" w:eastAsia="宋体"/>
          <w:color w:val="auto"/>
        </w:rPr>
      </w:pPr>
    </w:p>
    <w:p>
      <w:pPr>
        <w:pStyle w:val="24"/>
        <w:jc w:val="left"/>
        <w:rPr>
          <w:rFonts w:eastAsia="宋体"/>
          <w:color w:val="auto"/>
        </w:rPr>
      </w:pPr>
      <w:r>
        <w:rPr>
          <w:rFonts w:hAnsi="宋体" w:eastAsia="宋体"/>
          <w:color w:val="auto"/>
        </w:rPr>
        <w:t>表</w:t>
      </w:r>
      <w:r>
        <w:rPr>
          <w:rFonts w:hint="eastAsia" w:eastAsia="宋体"/>
          <w:color w:val="auto"/>
          <w:lang w:eastAsia="zh-CN"/>
        </w:rPr>
        <w:t>1</w:t>
      </w:r>
      <w:r>
        <w:rPr>
          <w:rFonts w:eastAsia="宋体"/>
          <w:color w:val="auto"/>
        </w:rPr>
        <w:t xml:space="preserve"> Ca-MMT</w:t>
      </w:r>
      <w:r>
        <w:rPr>
          <w:rFonts w:hAnsi="宋体" w:eastAsia="宋体"/>
          <w:color w:val="auto"/>
        </w:rPr>
        <w:t>含量对</w:t>
      </w:r>
      <w:r>
        <w:rPr>
          <w:rFonts w:eastAsia="宋体"/>
          <w:color w:val="auto"/>
        </w:rPr>
        <w:t>HDPE</w:t>
      </w:r>
      <w:r>
        <w:rPr>
          <w:rFonts w:hAnsi="宋体" w:eastAsia="宋体"/>
          <w:color w:val="auto"/>
        </w:rPr>
        <w:t>复合材料燃烧性能的影响</w:t>
      </w:r>
    </w:p>
    <w:p>
      <w:pPr>
        <w:pStyle w:val="24"/>
        <w:jc w:val="left"/>
        <w:rPr>
          <w:rFonts w:hint="eastAsia"/>
          <w:color w:val="auto"/>
        </w:rPr>
      </w:pPr>
      <w:r>
        <w:rPr>
          <w:color w:val="auto"/>
        </w:rPr>
        <w:t xml:space="preserve">Table </w:t>
      </w:r>
      <w:r>
        <w:rPr>
          <w:rFonts w:hint="eastAsia"/>
          <w:color w:val="auto"/>
          <w:lang w:eastAsia="zh-CN"/>
        </w:rPr>
        <w:t>1</w:t>
      </w:r>
      <w:r>
        <w:rPr>
          <w:color w:val="auto"/>
        </w:rPr>
        <w:t xml:space="preserve"> Influence of </w:t>
      </w:r>
      <w:r>
        <w:rPr>
          <w:rFonts w:hint="eastAsia"/>
          <w:color w:val="auto"/>
        </w:rPr>
        <w:t>Ca-MMT</w:t>
      </w:r>
      <w:r>
        <w:rPr>
          <w:color w:val="auto"/>
        </w:rPr>
        <w:t xml:space="preserve"> content on the combustion properties of composites HDPE</w:t>
      </w:r>
    </w:p>
    <w:tbl>
      <w:tblPr>
        <w:tblStyle w:val="9"/>
        <w:tblW w:w="5000" w:type="pct"/>
        <w:tblInd w:w="0" w:type="dxa"/>
        <w:tblLayout w:type="autofit"/>
        <w:tblCellMar>
          <w:top w:w="0" w:type="dxa"/>
          <w:left w:w="108" w:type="dxa"/>
          <w:bottom w:w="0" w:type="dxa"/>
          <w:right w:w="108" w:type="dxa"/>
        </w:tblCellMar>
      </w:tblPr>
      <w:tblGrid>
        <w:gridCol w:w="721"/>
        <w:gridCol w:w="721"/>
        <w:gridCol w:w="1002"/>
        <w:gridCol w:w="937"/>
        <w:gridCol w:w="1087"/>
      </w:tblGrid>
      <w:tr>
        <w:tblPrEx>
          <w:tblCellMar>
            <w:top w:w="0" w:type="dxa"/>
            <w:left w:w="108" w:type="dxa"/>
            <w:bottom w:w="0" w:type="dxa"/>
            <w:right w:w="108" w:type="dxa"/>
          </w:tblCellMar>
        </w:tblPrEx>
        <w:trPr>
          <w:trHeight w:val="285" w:hRule="atLeast"/>
        </w:trPr>
        <w:tc>
          <w:tcPr>
            <w:tcW w:w="496" w:type="pct"/>
            <w:tcBorders>
              <w:top w:val="single" w:color="auto" w:sz="4" w:space="0"/>
              <w:left w:val="nil"/>
              <w:bottom w:val="single" w:color="auto" w:sz="4" w:space="0"/>
              <w:right w:val="nil"/>
            </w:tcBorders>
            <w:noWrap w:val="0"/>
            <w:vAlign w:val="center"/>
          </w:tcPr>
          <w:p>
            <w:pPr>
              <w:pStyle w:val="26"/>
              <w:rPr>
                <w:color w:val="auto"/>
              </w:rPr>
            </w:pPr>
            <w:r>
              <w:rPr>
                <w:color w:val="auto"/>
              </w:rPr>
              <w:t>试样</w:t>
            </w:r>
          </w:p>
          <w:p>
            <w:pPr>
              <w:pStyle w:val="26"/>
              <w:rPr>
                <w:rFonts w:hint="eastAsia"/>
                <w:color w:val="auto"/>
              </w:rPr>
            </w:pPr>
            <w:r>
              <w:rPr>
                <w:color w:val="auto"/>
              </w:rPr>
              <w:t>Sample</w:t>
            </w:r>
          </w:p>
        </w:tc>
        <w:tc>
          <w:tcPr>
            <w:tcW w:w="938"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极限氧指数</w:t>
            </w:r>
            <w:r>
              <w:rPr>
                <w:color w:val="auto"/>
              </w:rPr>
              <w:t>LOI</w:t>
            </w:r>
            <w:r>
              <w:rPr>
                <w:rFonts w:hint="eastAsia"/>
                <w:color w:val="auto"/>
              </w:rPr>
              <w:t>（</w:t>
            </w:r>
            <w:r>
              <w:rPr>
                <w:color w:val="auto"/>
              </w:rPr>
              <w:t>％</w:t>
            </w:r>
            <w:r>
              <w:rPr>
                <w:rFonts w:hint="eastAsia"/>
                <w:color w:val="auto"/>
              </w:rPr>
              <w:t>）</w:t>
            </w:r>
          </w:p>
          <w:p>
            <w:pPr>
              <w:pStyle w:val="26"/>
              <w:rPr>
                <w:rFonts w:hint="eastAsia"/>
                <w:color w:val="auto"/>
              </w:rPr>
            </w:pPr>
            <w:r>
              <w:rPr>
                <w:color w:val="auto"/>
              </w:rPr>
              <w:t xml:space="preserve">Limit </w:t>
            </w:r>
            <w:r>
              <w:rPr>
                <w:rFonts w:hint="eastAsia"/>
                <w:color w:val="auto"/>
              </w:rPr>
              <w:t>o</w:t>
            </w:r>
            <w:r>
              <w:rPr>
                <w:color w:val="auto"/>
              </w:rPr>
              <w:t xml:space="preserve">xygen </w:t>
            </w:r>
            <w:r>
              <w:rPr>
                <w:rFonts w:hint="eastAsia"/>
                <w:color w:val="auto"/>
              </w:rPr>
              <w:t>i</w:t>
            </w:r>
            <w:r>
              <w:rPr>
                <w:color w:val="auto"/>
              </w:rPr>
              <w:t>ndex</w:t>
            </w:r>
          </w:p>
        </w:tc>
        <w:tc>
          <w:tcPr>
            <w:tcW w:w="975"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垂直燃烧等级</w:t>
            </w:r>
          </w:p>
          <w:p>
            <w:pPr>
              <w:pStyle w:val="26"/>
              <w:rPr>
                <w:rFonts w:hint="eastAsia"/>
                <w:color w:val="auto"/>
              </w:rPr>
            </w:pPr>
            <w:r>
              <w:rPr>
                <w:color w:val="auto"/>
              </w:rPr>
              <w:t xml:space="preserve">Vertical </w:t>
            </w:r>
            <w:r>
              <w:rPr>
                <w:rFonts w:hint="eastAsia"/>
                <w:color w:val="auto"/>
              </w:rPr>
              <w:t>f</w:t>
            </w:r>
            <w:r>
              <w:rPr>
                <w:color w:val="auto"/>
              </w:rPr>
              <w:t xml:space="preserve">lame </w:t>
            </w:r>
            <w:r>
              <w:rPr>
                <w:rFonts w:hint="eastAsia"/>
                <w:color w:val="auto"/>
              </w:rPr>
              <w:t>r</w:t>
            </w:r>
            <w:r>
              <w:rPr>
                <w:color w:val="auto"/>
              </w:rPr>
              <w:t>ating</w:t>
            </w:r>
          </w:p>
        </w:tc>
        <w:tc>
          <w:tcPr>
            <w:tcW w:w="980" w:type="pct"/>
            <w:tcBorders>
              <w:top w:val="single" w:color="auto" w:sz="4" w:space="0"/>
              <w:left w:val="nil"/>
              <w:bottom w:val="single" w:color="auto" w:sz="4" w:space="0"/>
              <w:right w:val="nil"/>
            </w:tcBorders>
            <w:noWrap w:val="0"/>
            <w:vAlign w:val="center"/>
          </w:tcPr>
          <w:p>
            <w:pPr>
              <w:pStyle w:val="26"/>
              <w:rPr>
                <w:color w:val="auto"/>
              </w:rPr>
            </w:pPr>
            <w:r>
              <w:rPr>
                <w:rFonts w:hint="eastAsia"/>
                <w:color w:val="auto"/>
              </w:rPr>
              <w:t>水平燃烧等级</w:t>
            </w:r>
          </w:p>
          <w:p>
            <w:pPr>
              <w:pStyle w:val="26"/>
              <w:rPr>
                <w:rFonts w:hint="eastAsia"/>
                <w:color w:val="auto"/>
              </w:rPr>
            </w:pPr>
            <w:r>
              <w:rPr>
                <w:color w:val="auto"/>
              </w:rPr>
              <w:t xml:space="preserve">Horizontal </w:t>
            </w:r>
            <w:r>
              <w:rPr>
                <w:rFonts w:hint="eastAsia"/>
                <w:color w:val="auto"/>
              </w:rPr>
              <w:t>f</w:t>
            </w:r>
            <w:r>
              <w:rPr>
                <w:color w:val="auto"/>
              </w:rPr>
              <w:t xml:space="preserve">lame </w:t>
            </w:r>
            <w:r>
              <w:rPr>
                <w:rFonts w:hint="eastAsia"/>
                <w:color w:val="auto"/>
              </w:rPr>
              <w:t>r</w:t>
            </w:r>
            <w:r>
              <w:rPr>
                <w:color w:val="auto"/>
              </w:rPr>
              <w:t>ating</w:t>
            </w:r>
          </w:p>
        </w:tc>
        <w:tc>
          <w:tcPr>
            <w:tcW w:w="1610" w:type="pct"/>
            <w:tcBorders>
              <w:top w:val="single" w:color="auto" w:sz="4" w:space="0"/>
              <w:left w:val="nil"/>
              <w:bottom w:val="single" w:color="auto" w:sz="4" w:space="0"/>
              <w:right w:val="nil"/>
            </w:tcBorders>
            <w:noWrap w:val="0"/>
            <w:vAlign w:val="center"/>
          </w:tcPr>
          <w:p>
            <w:pPr>
              <w:pStyle w:val="26"/>
              <w:rPr>
                <w:color w:val="auto"/>
              </w:rPr>
            </w:pPr>
            <w:r>
              <w:rPr>
                <w:color w:val="auto"/>
              </w:rPr>
              <w:t>燃烧现象</w:t>
            </w:r>
          </w:p>
          <w:p>
            <w:pPr>
              <w:pStyle w:val="26"/>
              <w:rPr>
                <w:rFonts w:hint="eastAsia"/>
                <w:color w:val="auto"/>
              </w:rPr>
            </w:pPr>
            <w:r>
              <w:rPr>
                <w:color w:val="auto"/>
              </w:rPr>
              <w:t xml:space="preserve">Combustion </w:t>
            </w:r>
            <w:r>
              <w:rPr>
                <w:rFonts w:hint="eastAsia"/>
                <w:color w:val="auto"/>
              </w:rPr>
              <w:t>p</w:t>
            </w:r>
            <w:r>
              <w:rPr>
                <w:color w:val="auto"/>
              </w:rPr>
              <w:t>henomenon</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A</w:t>
            </w:r>
          </w:p>
        </w:tc>
        <w:tc>
          <w:tcPr>
            <w:tcW w:w="938" w:type="pct"/>
            <w:tcBorders>
              <w:top w:val="nil"/>
              <w:left w:val="nil"/>
              <w:bottom w:val="nil"/>
              <w:right w:val="nil"/>
            </w:tcBorders>
            <w:noWrap w:val="0"/>
            <w:vAlign w:val="center"/>
          </w:tcPr>
          <w:p>
            <w:pPr>
              <w:pStyle w:val="26"/>
              <w:rPr>
                <w:color w:val="auto"/>
              </w:rPr>
            </w:pPr>
            <w:r>
              <w:rPr>
                <w:color w:val="auto"/>
              </w:rPr>
              <w:t>19.0</w:t>
            </w:r>
          </w:p>
        </w:tc>
        <w:tc>
          <w:tcPr>
            <w:tcW w:w="975" w:type="pct"/>
            <w:tcBorders>
              <w:top w:val="nil"/>
              <w:left w:val="nil"/>
              <w:bottom w:val="nil"/>
              <w:right w:val="nil"/>
            </w:tcBorders>
            <w:noWrap w:val="0"/>
            <w:vAlign w:val="center"/>
          </w:tcPr>
          <w:p>
            <w:pPr>
              <w:pStyle w:val="26"/>
              <w:rPr>
                <w:rFonts w:hint="eastAsia"/>
                <w:color w:val="auto"/>
              </w:rPr>
            </w:pPr>
            <w:r>
              <w:rPr>
                <w:color w:val="auto"/>
              </w:rPr>
              <w:t>完全燃烧殆尽</w:t>
            </w:r>
          </w:p>
          <w:p>
            <w:pPr>
              <w:pStyle w:val="26"/>
              <w:rPr>
                <w:color w:val="auto"/>
              </w:rPr>
            </w:pPr>
            <w:r>
              <w:rPr>
                <w:color w:val="auto"/>
              </w:rPr>
              <w:t>Completely burned up</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HB75</w:t>
            </w:r>
          </w:p>
        </w:tc>
        <w:tc>
          <w:tcPr>
            <w:tcW w:w="1610" w:type="pct"/>
            <w:tcBorders>
              <w:top w:val="nil"/>
              <w:left w:val="nil"/>
              <w:bottom w:val="nil"/>
              <w:right w:val="nil"/>
            </w:tcBorders>
            <w:noWrap w:val="0"/>
            <w:vAlign w:val="center"/>
          </w:tcPr>
          <w:p>
            <w:pPr>
              <w:pStyle w:val="26"/>
              <w:rPr>
                <w:rFonts w:hint="eastAsia"/>
                <w:color w:val="auto"/>
              </w:rPr>
            </w:pPr>
            <w:r>
              <w:rPr>
                <w:color w:val="auto"/>
              </w:rPr>
              <w:t>严重滴落</w:t>
            </w:r>
          </w:p>
          <w:p>
            <w:pPr>
              <w:pStyle w:val="26"/>
              <w:rPr>
                <w:color w:val="auto"/>
              </w:rPr>
            </w:pPr>
            <w:r>
              <w:rPr>
                <w:color w:val="auto"/>
              </w:rPr>
              <w:t>Severe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B</w:t>
            </w:r>
          </w:p>
        </w:tc>
        <w:tc>
          <w:tcPr>
            <w:tcW w:w="938" w:type="pct"/>
            <w:tcBorders>
              <w:top w:val="nil"/>
              <w:left w:val="nil"/>
              <w:bottom w:val="nil"/>
              <w:right w:val="nil"/>
            </w:tcBorders>
            <w:noWrap w:val="0"/>
            <w:vAlign w:val="center"/>
          </w:tcPr>
          <w:p>
            <w:pPr>
              <w:pStyle w:val="26"/>
              <w:rPr>
                <w:color w:val="auto"/>
              </w:rPr>
            </w:pPr>
            <w:r>
              <w:rPr>
                <w:color w:val="auto"/>
              </w:rPr>
              <w:t>28.1</w:t>
            </w:r>
          </w:p>
        </w:tc>
        <w:tc>
          <w:tcPr>
            <w:tcW w:w="975" w:type="pct"/>
            <w:tcBorders>
              <w:top w:val="nil"/>
              <w:left w:val="nil"/>
              <w:bottom w:val="nil"/>
              <w:right w:val="nil"/>
            </w:tcBorders>
            <w:noWrap w:val="0"/>
            <w:vAlign w:val="center"/>
          </w:tcPr>
          <w:p>
            <w:pPr>
              <w:pStyle w:val="26"/>
              <w:rPr>
                <w:color w:val="auto"/>
              </w:rPr>
            </w:pPr>
            <w:r>
              <w:rPr>
                <w:color w:val="auto"/>
              </w:rPr>
              <w:t>V-2</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发烟量多，严重</w:t>
            </w:r>
            <w:r>
              <w:rPr>
                <w:color w:val="auto"/>
              </w:rPr>
              <w:t>滴落</w:t>
            </w:r>
          </w:p>
          <w:p>
            <w:pPr>
              <w:pStyle w:val="26"/>
              <w:rPr>
                <w:color w:val="auto"/>
              </w:rPr>
            </w:pPr>
            <w:r>
              <w:rPr>
                <w:color w:val="auto"/>
              </w:rPr>
              <w:t>Large amount of smoke</w:t>
            </w:r>
            <w:r>
              <w:rPr>
                <w:rFonts w:hint="eastAsia"/>
                <w:color w:val="auto"/>
              </w:rPr>
              <w:t>，s</w:t>
            </w:r>
            <w:r>
              <w:rPr>
                <w:color w:val="auto"/>
              </w:rPr>
              <w:t>evere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C1</w:t>
            </w:r>
          </w:p>
        </w:tc>
        <w:tc>
          <w:tcPr>
            <w:tcW w:w="938" w:type="pct"/>
            <w:tcBorders>
              <w:top w:val="nil"/>
              <w:left w:val="nil"/>
              <w:bottom w:val="nil"/>
              <w:right w:val="nil"/>
            </w:tcBorders>
            <w:noWrap w:val="0"/>
            <w:vAlign w:val="center"/>
          </w:tcPr>
          <w:p>
            <w:pPr>
              <w:pStyle w:val="26"/>
              <w:rPr>
                <w:rFonts w:hint="eastAsia"/>
                <w:color w:val="auto"/>
              </w:rPr>
            </w:pPr>
            <w:r>
              <w:rPr>
                <w:color w:val="auto"/>
              </w:rPr>
              <w:t>30.9</w:t>
            </w:r>
            <w:r>
              <w:rPr>
                <w:rFonts w:hint="eastAsia"/>
                <w:color w:val="auto"/>
              </w:rPr>
              <w:t>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nil"/>
              <w:right w:val="nil"/>
            </w:tcBorders>
            <w:noWrap w:val="0"/>
            <w:vAlign w:val="center"/>
          </w:tcPr>
          <w:p>
            <w:pPr>
              <w:pStyle w:val="26"/>
              <w:rPr>
                <w:color w:val="auto"/>
              </w:rPr>
            </w:pPr>
            <w:r>
              <w:rPr>
                <w:color w:val="auto"/>
              </w:rPr>
              <w:t>C2</w:t>
            </w:r>
          </w:p>
        </w:tc>
        <w:tc>
          <w:tcPr>
            <w:tcW w:w="938" w:type="pct"/>
            <w:tcBorders>
              <w:top w:val="nil"/>
              <w:left w:val="nil"/>
              <w:bottom w:val="nil"/>
              <w:right w:val="nil"/>
            </w:tcBorders>
            <w:noWrap w:val="0"/>
            <w:vAlign w:val="center"/>
          </w:tcPr>
          <w:p>
            <w:pPr>
              <w:pStyle w:val="26"/>
              <w:rPr>
                <w:color w:val="auto"/>
              </w:rPr>
            </w:pPr>
            <w:r>
              <w:rPr>
                <w:color w:val="auto"/>
              </w:rPr>
              <w:t>32.</w:t>
            </w:r>
            <w:r>
              <w:rPr>
                <w:rFonts w:hint="eastAsia"/>
                <w:color w:val="auto"/>
              </w:rPr>
              <w:t>51</w:t>
            </w:r>
          </w:p>
        </w:tc>
        <w:tc>
          <w:tcPr>
            <w:tcW w:w="975" w:type="pct"/>
            <w:tcBorders>
              <w:top w:val="nil"/>
              <w:left w:val="nil"/>
              <w:bottom w:val="nil"/>
              <w:right w:val="nil"/>
            </w:tcBorders>
            <w:noWrap w:val="0"/>
            <w:vAlign w:val="center"/>
          </w:tcPr>
          <w:p>
            <w:pPr>
              <w:pStyle w:val="26"/>
              <w:rPr>
                <w:color w:val="auto"/>
              </w:rPr>
            </w:pPr>
            <w:r>
              <w:rPr>
                <w:color w:val="auto"/>
              </w:rPr>
              <w:t>V-0</w:t>
            </w:r>
          </w:p>
        </w:tc>
        <w:tc>
          <w:tcPr>
            <w:tcW w:w="980" w:type="pct"/>
            <w:tcBorders>
              <w:top w:val="nil"/>
              <w:left w:val="nil"/>
              <w:bottom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right w:val="nil"/>
            </w:tcBorders>
            <w:noWrap w:val="0"/>
            <w:vAlign w:val="center"/>
          </w:tcPr>
          <w:p>
            <w:pPr>
              <w:pStyle w:val="26"/>
              <w:rPr>
                <w:color w:val="auto"/>
              </w:rPr>
            </w:pPr>
            <w:r>
              <w:rPr>
                <w:color w:val="auto"/>
              </w:rPr>
              <w:t>C3</w:t>
            </w:r>
          </w:p>
        </w:tc>
        <w:tc>
          <w:tcPr>
            <w:tcW w:w="938" w:type="pct"/>
            <w:tcBorders>
              <w:top w:val="nil"/>
              <w:left w:val="nil"/>
              <w:right w:val="nil"/>
            </w:tcBorders>
            <w:noWrap w:val="0"/>
            <w:vAlign w:val="center"/>
          </w:tcPr>
          <w:p>
            <w:pPr>
              <w:pStyle w:val="26"/>
              <w:rPr>
                <w:color w:val="auto"/>
              </w:rPr>
            </w:pPr>
            <w:r>
              <w:rPr>
                <w:color w:val="auto"/>
              </w:rPr>
              <w:t>32.</w:t>
            </w:r>
            <w:r>
              <w:rPr>
                <w:rFonts w:hint="eastAsia"/>
                <w:color w:val="auto"/>
              </w:rPr>
              <w:t>77</w:t>
            </w:r>
          </w:p>
        </w:tc>
        <w:tc>
          <w:tcPr>
            <w:tcW w:w="975" w:type="pct"/>
            <w:tcBorders>
              <w:top w:val="nil"/>
              <w:left w:val="nil"/>
              <w:right w:val="nil"/>
            </w:tcBorders>
            <w:noWrap w:val="0"/>
            <w:vAlign w:val="center"/>
          </w:tcPr>
          <w:p>
            <w:pPr>
              <w:pStyle w:val="26"/>
              <w:rPr>
                <w:color w:val="auto"/>
              </w:rPr>
            </w:pPr>
            <w:r>
              <w:rPr>
                <w:color w:val="auto"/>
              </w:rPr>
              <w:t>V-0</w:t>
            </w:r>
          </w:p>
        </w:tc>
        <w:tc>
          <w:tcPr>
            <w:tcW w:w="980" w:type="pct"/>
            <w:tcBorders>
              <w:top w:val="nil"/>
              <w:left w:val="nil"/>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r>
        <w:tblPrEx>
          <w:tblCellMar>
            <w:top w:w="0" w:type="dxa"/>
            <w:left w:w="108" w:type="dxa"/>
            <w:bottom w:w="0" w:type="dxa"/>
            <w:right w:w="108" w:type="dxa"/>
          </w:tblCellMar>
        </w:tblPrEx>
        <w:trPr>
          <w:trHeight w:val="285" w:hRule="atLeast"/>
        </w:trPr>
        <w:tc>
          <w:tcPr>
            <w:tcW w:w="496" w:type="pct"/>
            <w:tcBorders>
              <w:top w:val="nil"/>
              <w:left w:val="nil"/>
              <w:bottom w:val="single" w:color="auto" w:sz="4" w:space="0"/>
              <w:right w:val="nil"/>
            </w:tcBorders>
            <w:noWrap w:val="0"/>
            <w:vAlign w:val="center"/>
          </w:tcPr>
          <w:p>
            <w:pPr>
              <w:pStyle w:val="26"/>
              <w:rPr>
                <w:color w:val="auto"/>
              </w:rPr>
            </w:pPr>
            <w:r>
              <w:rPr>
                <w:color w:val="auto"/>
              </w:rPr>
              <w:t>C4</w:t>
            </w:r>
          </w:p>
        </w:tc>
        <w:tc>
          <w:tcPr>
            <w:tcW w:w="938" w:type="pct"/>
            <w:tcBorders>
              <w:top w:val="nil"/>
              <w:left w:val="nil"/>
              <w:bottom w:val="single" w:color="auto" w:sz="4" w:space="0"/>
              <w:right w:val="nil"/>
            </w:tcBorders>
            <w:noWrap w:val="0"/>
            <w:vAlign w:val="center"/>
          </w:tcPr>
          <w:p>
            <w:pPr>
              <w:pStyle w:val="26"/>
              <w:rPr>
                <w:color w:val="auto"/>
              </w:rPr>
            </w:pPr>
            <w:r>
              <w:rPr>
                <w:color w:val="auto"/>
              </w:rPr>
              <w:t>32.</w:t>
            </w:r>
            <w:r>
              <w:rPr>
                <w:rFonts w:hint="eastAsia"/>
                <w:color w:val="auto"/>
              </w:rPr>
              <w:t>28</w:t>
            </w:r>
          </w:p>
        </w:tc>
        <w:tc>
          <w:tcPr>
            <w:tcW w:w="975" w:type="pct"/>
            <w:tcBorders>
              <w:top w:val="nil"/>
              <w:left w:val="nil"/>
              <w:bottom w:val="single" w:color="auto" w:sz="4" w:space="0"/>
              <w:right w:val="nil"/>
            </w:tcBorders>
            <w:noWrap w:val="0"/>
            <w:vAlign w:val="center"/>
          </w:tcPr>
          <w:p>
            <w:pPr>
              <w:pStyle w:val="26"/>
              <w:rPr>
                <w:color w:val="auto"/>
              </w:rPr>
            </w:pPr>
            <w:r>
              <w:rPr>
                <w:color w:val="auto"/>
              </w:rPr>
              <w:t>V-0</w:t>
            </w:r>
          </w:p>
        </w:tc>
        <w:tc>
          <w:tcPr>
            <w:tcW w:w="98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HB</w:t>
            </w:r>
          </w:p>
        </w:tc>
        <w:tc>
          <w:tcPr>
            <w:tcW w:w="1610" w:type="pct"/>
            <w:tcBorders>
              <w:top w:val="nil"/>
              <w:left w:val="nil"/>
              <w:bottom w:val="single" w:color="auto" w:sz="4" w:space="0"/>
              <w:right w:val="nil"/>
            </w:tcBorders>
            <w:noWrap w:val="0"/>
            <w:vAlign w:val="center"/>
          </w:tcPr>
          <w:p>
            <w:pPr>
              <w:pStyle w:val="26"/>
              <w:rPr>
                <w:rFonts w:hint="eastAsia"/>
                <w:color w:val="auto"/>
              </w:rPr>
            </w:pPr>
            <w:r>
              <w:rPr>
                <w:rFonts w:hint="eastAsia"/>
                <w:color w:val="auto"/>
              </w:rPr>
              <w:t>发烟量少，</w:t>
            </w:r>
            <w:r>
              <w:rPr>
                <w:color w:val="auto"/>
              </w:rPr>
              <w:t>不滴落</w:t>
            </w:r>
          </w:p>
          <w:p>
            <w:pPr>
              <w:pStyle w:val="26"/>
              <w:rPr>
                <w:color w:val="auto"/>
              </w:rPr>
            </w:pPr>
            <w:r>
              <w:rPr>
                <w:color w:val="auto"/>
              </w:rPr>
              <w:t>Smoke less</w:t>
            </w:r>
            <w:r>
              <w:rPr>
                <w:rFonts w:hint="eastAsia"/>
                <w:color w:val="auto"/>
              </w:rPr>
              <w:t>，no dripping</w:t>
            </w:r>
          </w:p>
        </w:tc>
      </w:tr>
    </w:tbl>
    <w:p>
      <w:pPr>
        <w:pStyle w:val="22"/>
        <w:spacing w:line="360" w:lineRule="auto"/>
        <w:ind w:firstLine="0" w:firstLineChars="0"/>
        <w:rPr>
          <w:rFonts w:hint="default" w:ascii="Times New Roman" w:hAnsi="Times New Roman" w:eastAsia="宋体"/>
          <w:b/>
          <w:color w:val="auto"/>
          <w:sz w:val="28"/>
          <w:szCs w:val="28"/>
          <w:lang w:val="en-US" w:eastAsia="zh-CN"/>
        </w:rPr>
      </w:pPr>
      <w:r>
        <w:rPr>
          <w:rFonts w:hint="eastAsia" w:ascii="Times New Roman" w:hAnsi="Times New Roman"/>
          <w:b/>
          <w:color w:val="auto"/>
          <w:sz w:val="28"/>
          <w:szCs w:val="28"/>
        </w:rPr>
        <w:t>3</w:t>
      </w:r>
      <w:r>
        <w:rPr>
          <w:rFonts w:hint="eastAsia" w:ascii="Times New Roman" w:hAnsi="Times New Roman"/>
          <w:b/>
          <w:color w:val="auto"/>
          <w:sz w:val="28"/>
          <w:szCs w:val="28"/>
          <w:lang w:val="en-US" w:eastAsia="zh-CN"/>
        </w:rPr>
        <w:t>实验结果</w:t>
      </w:r>
    </w:p>
    <w:p>
      <w:pPr>
        <w:keepNext w:val="0"/>
        <w:keepLines w:val="0"/>
        <w:pageBreakBefore w:val="0"/>
        <w:widowControl/>
        <w:suppressLineNumbers w:val="0"/>
        <w:kinsoku/>
        <w:wordWrap/>
        <w:overflowPunct/>
        <w:topLinePunct w:val="0"/>
        <w:autoSpaceDE/>
        <w:autoSpaceDN/>
        <w:bidi w:val="0"/>
        <w:adjustRightInd/>
        <w:snapToGrid/>
        <w:ind w:firstLine="420" w:firstLineChars="200"/>
        <w:jc w:val="left"/>
        <w:textAlignment w:val="auto"/>
        <w:rPr>
          <w:rFonts w:hint="default" w:eastAsia="宋体"/>
          <w:color w:val="auto"/>
          <w:szCs w:val="21"/>
          <w:lang w:val="en-US" w:eastAsia="zh-CN"/>
        </w:rPr>
      </w:pPr>
      <w:r>
        <w:rPr>
          <w:rFonts w:hint="eastAsia"/>
          <w:color w:val="auto"/>
          <w:szCs w:val="21"/>
          <w:lang w:val="en-US" w:eastAsia="zh-CN"/>
        </w:rPr>
        <w:t>通过收集的真实同行互评数据集，本节对本文中提出的基于评价能力的同行互评模型RPG6、RPG7和相关的同行互评技术进行了实验比较。</w:t>
      </w:r>
      <w:r>
        <w:rPr>
          <w:rFonts w:hint="eastAsia" w:ascii="黑体" w:hAnsi="宋体" w:eastAsia="黑体" w:cs="黑体"/>
          <w:color w:val="000000"/>
          <w:kern w:val="0"/>
          <w:sz w:val="16"/>
          <w:szCs w:val="16"/>
          <w:lang w:val="en-US" w:eastAsia="zh-CN" w:bidi="ar"/>
        </w:rPr>
        <w:t xml:space="preserve"> </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3.1</w:t>
      </w:r>
      <w:r>
        <w:rPr>
          <w:rFonts w:hint="eastAsia" w:ascii="Times New Roman" w:hAnsi="Times New Roman"/>
          <w:b/>
          <w:color w:val="auto"/>
          <w:szCs w:val="21"/>
          <w:lang w:val="en-US" w:eastAsia="zh-CN"/>
        </w:rPr>
        <w:t xml:space="preserve"> 数据集</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s="Times New Roman"/>
          <w:color w:val="auto"/>
          <w:kern w:val="2"/>
          <w:sz w:val="21"/>
          <w:szCs w:val="21"/>
          <w:lang w:val="en-US" w:eastAsia="zh-CN" w:bidi="ar-SA"/>
        </w:rPr>
      </w:pPr>
      <w:r>
        <w:rPr>
          <w:rFonts w:hint="default" w:ascii="Times New Roman" w:hAnsi="Times New Roman" w:eastAsia="宋体" w:cs="Times New Roman"/>
          <w:color w:val="auto"/>
          <w:kern w:val="2"/>
          <w:sz w:val="21"/>
          <w:szCs w:val="21"/>
          <w:lang w:val="en-US" w:eastAsia="zh-CN" w:bidi="ar-SA"/>
        </w:rPr>
        <w:t>实验中使用的</w:t>
      </w:r>
      <w:r>
        <w:rPr>
          <w:rFonts w:hint="eastAsia"/>
          <w:color w:val="auto"/>
          <w:szCs w:val="21"/>
          <w:lang w:val="en-US" w:eastAsia="zh-CN"/>
        </w:rPr>
        <w:t>同行互评</w:t>
      </w:r>
      <w:r>
        <w:rPr>
          <w:rFonts w:hint="default" w:ascii="Times New Roman" w:hAnsi="Times New Roman" w:eastAsia="宋体" w:cs="Times New Roman"/>
          <w:color w:val="auto"/>
          <w:kern w:val="2"/>
          <w:sz w:val="21"/>
          <w:szCs w:val="21"/>
          <w:lang w:val="en-US" w:eastAsia="zh-CN" w:bidi="ar-SA"/>
        </w:rPr>
        <w:t>数据集收集</w:t>
      </w:r>
      <w:r>
        <w:rPr>
          <w:rFonts w:hint="eastAsia" w:ascii="Times New Roman" w:hAnsi="Times New Roman" w:cs="Times New Roman"/>
          <w:color w:val="auto"/>
          <w:kern w:val="2"/>
          <w:sz w:val="21"/>
          <w:szCs w:val="21"/>
          <w:lang w:val="en-US" w:eastAsia="zh-CN" w:bidi="ar-SA"/>
        </w:rPr>
        <w:t>于自主研发的“会了吗”</w:t>
      </w:r>
      <w:r>
        <w:rPr>
          <w:rFonts w:hint="default" w:ascii="Times New Roman" w:hAnsi="Times New Roman" w:eastAsia="宋体" w:cs="Times New Roman"/>
          <w:color w:val="auto"/>
          <w:kern w:val="2"/>
          <w:sz w:val="21"/>
          <w:szCs w:val="21"/>
          <w:lang w:val="en-US" w:eastAsia="zh-CN" w:bidi="ar-SA"/>
        </w:rPr>
        <w:t>MOOC</w:t>
      </w:r>
      <w:r>
        <w:rPr>
          <w:rFonts w:hint="eastAsia" w:ascii="Times New Roman" w:hAnsi="Times New Roman" w:cs="Times New Roman"/>
          <w:color w:val="auto"/>
          <w:kern w:val="2"/>
          <w:sz w:val="21"/>
          <w:szCs w:val="21"/>
          <w:lang w:val="en-US" w:eastAsia="zh-CN" w:bidi="ar-SA"/>
        </w:rPr>
        <w:t>系统。这些数据来自三门课程上举行的同行互评任务，这些课程分别是</w:t>
      </w:r>
      <w:r>
        <w:rPr>
          <w:rFonts w:hint="default" w:ascii="Times New Roman" w:hAnsi="Times New Roman" w:eastAsia="宋体" w:cs="Times New Roman"/>
          <w:color w:val="auto"/>
          <w:kern w:val="2"/>
          <w:sz w:val="21"/>
          <w:szCs w:val="21"/>
          <w:lang w:val="en-US" w:eastAsia="zh-CN" w:bidi="ar-SA"/>
        </w:rPr>
        <w:t>“数据库原理”、“</w:t>
      </w:r>
      <w:r>
        <w:rPr>
          <w:rFonts w:hint="eastAsia" w:ascii="Times New Roman" w:hAnsi="Times New Roman" w:cs="Times New Roman"/>
          <w:color w:val="auto"/>
          <w:kern w:val="2"/>
          <w:sz w:val="21"/>
          <w:szCs w:val="21"/>
          <w:lang w:val="en-US" w:eastAsia="zh-CN" w:bidi="ar-SA"/>
        </w:rPr>
        <w:t>数据结构</w:t>
      </w:r>
      <w:r>
        <w:rPr>
          <w:rFonts w:hint="default" w:ascii="Times New Roman" w:hAnsi="Times New Roman" w:eastAsia="宋体" w:cs="Times New Roman"/>
          <w:color w:val="auto"/>
          <w:kern w:val="2"/>
          <w:sz w:val="21"/>
          <w:szCs w:val="21"/>
          <w:lang w:val="en-US" w:eastAsia="zh-CN" w:bidi="ar-SA"/>
        </w:rPr>
        <w:t>”和“</w:t>
      </w:r>
      <w:r>
        <w:rPr>
          <w:rFonts w:hint="eastAsia" w:ascii="Times New Roman" w:hAnsi="Times New Roman" w:cs="Times New Roman"/>
          <w:color w:val="auto"/>
          <w:kern w:val="2"/>
          <w:sz w:val="21"/>
          <w:szCs w:val="21"/>
          <w:lang w:val="en-US" w:eastAsia="zh-CN" w:bidi="ar-SA"/>
        </w:rPr>
        <w:t>计算机网络</w:t>
      </w:r>
      <w:r>
        <w:rPr>
          <w:rFonts w:hint="default" w:ascii="Times New Roman" w:hAnsi="Times New Roman" w:eastAsia="宋体" w:cs="Times New Roman"/>
          <w:color w:val="auto"/>
          <w:kern w:val="2"/>
          <w:sz w:val="21"/>
          <w:szCs w:val="21"/>
          <w:lang w:val="en-US" w:eastAsia="zh-CN" w:bidi="ar-SA"/>
        </w:rPr>
        <w:t>”。</w:t>
      </w:r>
      <w:r>
        <w:rPr>
          <w:rFonts w:hint="eastAsia" w:ascii="Times New Roman" w:hAnsi="Times New Roman" w:cs="Times New Roman"/>
          <w:color w:val="auto"/>
          <w:kern w:val="2"/>
          <w:sz w:val="21"/>
          <w:szCs w:val="21"/>
          <w:lang w:val="en-US" w:eastAsia="zh-CN" w:bidi="ar-SA"/>
        </w:rPr>
        <w:t>表中给出了课程中的同行互评数据集的统计信息。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表2 同行互评数据集的统计信息</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2 Statistical information on the peer review dataset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互评次数</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4</w:t>
            </w:r>
          </w:p>
        </w:tc>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互评记录</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711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771</w:t>
            </w:r>
          </w:p>
        </w:tc>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作业总分</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vertAlign w:val="baseline"/>
                <w:lang w:val="en-US" w:eastAsia="zh-CN" w:bidi="ar-SA"/>
              </w:rPr>
            </w:pPr>
            <w:r>
              <w:rPr>
                <w:rFonts w:hint="eastAsia" w:ascii="Times New Roman" w:hAnsi="Times New Roman" w:cs="Times New Roman"/>
                <w:color w:val="auto"/>
                <w:kern w:val="2"/>
                <w:sz w:val="21"/>
                <w:szCs w:val="21"/>
                <w:vertAlign w:val="baseline"/>
                <w:lang w:val="en-US" w:eastAsia="zh-CN" w:bidi="ar-SA"/>
              </w:rPr>
              <w:t>10</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s="Times New Roman"/>
          <w:color w:val="auto"/>
          <w:kern w:val="2"/>
          <w:sz w:val="21"/>
          <w:szCs w:val="21"/>
          <w:lang w:val="en-US" w:eastAsia="zh-CN" w:bidi="ar-SA"/>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3.2</w:t>
      </w:r>
      <w:r>
        <w:rPr>
          <w:rFonts w:hint="eastAsia" w:ascii="Times New Roman" w:hAnsi="Times New Roman"/>
          <w:b/>
          <w:color w:val="auto"/>
          <w:szCs w:val="21"/>
          <w:lang w:val="en-US" w:eastAsia="zh-CN"/>
        </w:rPr>
        <w:t xml:space="preserve"> 对比方法</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为了评估RPG6和RPG7的效果，我们将它与以下4种方法进行了比较。</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均值：将互评分数的平均值作为最终分数。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中位数：将互评分数的中位数作为最终分数。</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：目前准确性最好的概率模型之一，引入了相对同伴的分数，假设同行评价者可靠性满足伽马分布，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模型扩展于该模型。</w:t>
      </w:r>
    </w:p>
    <w:p>
      <w:pPr>
        <w:pStyle w:val="22"/>
        <w:keepNext w:val="0"/>
        <w:keepLines w:val="0"/>
        <w:pageBreakBefore w:val="0"/>
        <w:widowControl w:val="0"/>
        <w:numPr>
          <w:ilvl w:val="0"/>
          <w:numId w:val="1"/>
        </w:numPr>
        <w:kinsoku/>
        <w:wordWrap/>
        <w:overflowPunct/>
        <w:topLinePunct w:val="0"/>
        <w:autoSpaceDE/>
        <w:autoSpaceDN/>
        <w:bidi w:val="0"/>
        <w:adjustRightInd/>
        <w:snapToGrid/>
        <w:ind w:left="420" w:leftChars="0" w:hanging="420" w:firstLineChars="0"/>
        <w:textAlignment w:val="auto"/>
        <w:rPr>
          <w:rFonts w:hint="default" w:ascii="Times New Roman" w:hAnsi="Times New Roman"/>
          <w:b w:val="0"/>
          <w:bCs/>
          <w:color w:val="auto"/>
          <w:szCs w:val="21"/>
          <w:lang w:val="en-US" w:eastAsia="zh-CN"/>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：与</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类似，但假设同</w:t>
      </w:r>
      <w:r>
        <w:rPr>
          <w:rFonts w:hint="eastAsia" w:ascii="Times New Roman" w:hAnsi="Times New Roman"/>
          <w:b w:val="0"/>
          <w:bCs/>
          <w:color w:val="auto"/>
          <w:szCs w:val="21"/>
          <w:lang w:val="en-US" w:eastAsia="zh-CN"/>
        </w:rPr>
        <w:t>行评价者可靠性满足高斯分布，引入了相对同伴的分数，假设同行评价者可靠性满足伽马分布，</w:t>
      </w:r>
      <w:r>
        <w:rPr>
          <w:rFonts w:hint="eastAsia" w:ascii="Times New Roman" w:hAnsi="Times New Roman"/>
          <w:b w:val="0"/>
          <w:bCs/>
          <w:i/>
          <w:iCs/>
          <w:color w:val="auto"/>
          <w:szCs w:val="21"/>
          <w:lang w:val="en-US" w:eastAsia="zh-CN"/>
        </w:rPr>
        <w:t>RPG</w:t>
      </w:r>
      <w:r>
        <w:rPr>
          <w:rFonts w:hint="eastAsia" w:ascii="Times New Roman" w:hAnsi="Times New Roman"/>
          <w:b w:val="0"/>
          <w:bCs/>
          <w:i w:val="0"/>
          <w:iCs w:val="0"/>
          <w:color w:val="auto"/>
          <w:szCs w:val="21"/>
          <w:vertAlign w:val="subscript"/>
          <w:lang w:val="en-US" w:eastAsia="zh-CN"/>
        </w:rPr>
        <w:t>7</w:t>
      </w:r>
      <w:r>
        <w:rPr>
          <w:rFonts w:hint="eastAsia" w:ascii="Times New Roman" w:hAnsi="Times New Roman"/>
          <w:b w:val="0"/>
          <w:bCs/>
          <w:i w:val="0"/>
          <w:iCs w:val="0"/>
          <w:color w:val="auto"/>
          <w:szCs w:val="21"/>
          <w:vertAlign w:val="baseline"/>
          <w:lang w:val="en-US" w:eastAsia="zh-CN"/>
        </w:rPr>
        <w:t>模型</w:t>
      </w:r>
      <w:r>
        <w:rPr>
          <w:rFonts w:hint="eastAsia" w:ascii="Times New Roman" w:hAnsi="Times New Roman"/>
          <w:b w:val="0"/>
          <w:bCs/>
          <w:color w:val="auto"/>
          <w:szCs w:val="21"/>
          <w:lang w:val="en-US" w:eastAsia="zh-CN"/>
        </w:rPr>
        <w:t>扩展于该模型。</w:t>
      </w:r>
    </w:p>
    <w:p>
      <w:pPr>
        <w:pStyle w:val="22"/>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Times New Roman" w:hAnsi="Times New Roman"/>
          <w:b w:val="0"/>
          <w:bCs/>
          <w:color w:val="auto"/>
          <w:szCs w:val="21"/>
          <w:lang w:val="en-US" w:eastAsia="zh-CN"/>
        </w:rPr>
      </w:pP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rPr>
        <w:t>3.3</w:t>
      </w:r>
      <w:r>
        <w:rPr>
          <w:rFonts w:hint="eastAsia" w:ascii="Times New Roman" w:hAnsi="Times New Roman"/>
          <w:b/>
          <w:color w:val="auto"/>
          <w:szCs w:val="21"/>
          <w:lang w:val="en-US" w:eastAsia="zh-CN"/>
        </w:rPr>
        <w:t xml:space="preserve"> 实验设置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数据集中同行互评任务的载体是教学平台上布置的作业，所有的作业内容只包含一道开放式的主观题。每位参与作业的学生都将作为同行评价者，根据教师提供的互评准则来评估其他三份提交的作业，以确保每份提交的作业都有三个互评分数。所有的同行互评活动都是双盲的，同行评价者和被评价者都不知道彼此的身份。</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本文提出的概率模型</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lang w:val="en-US" w:eastAsia="zh-CN"/>
        </w:rPr>
        <w:t>和</w:t>
      </w: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在建模时用到了一些超参数，为这些超参数设置合理的值对概率模型的准确性来说非常重要。由于所提出的模型是【】中</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模型的扩展，为了更好的验证在离散变量中的取值，我们对和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模型中共享的超参数设置了相同的值。</w:t>
      </w:r>
      <w:r>
        <w:rPr>
          <w:rFonts w:hint="eastAsia" w:ascii="Times New Roman" w:hAnsi="Times New Roman"/>
          <w:b w:val="0"/>
          <w:bCs/>
          <w:color w:val="auto"/>
          <w:szCs w:val="21"/>
          <w:lang w:val="en-US" w:eastAsia="zh-CN"/>
        </w:rPr>
        <w:t>对于概率模型中的真实分数</w:t>
      </w:r>
      <w:r>
        <w:rPr>
          <w:rFonts w:hint="eastAsia" w:ascii="Times New Roman" w:hAnsi="Times New Roman"/>
          <w:b w:val="0"/>
          <w:bCs/>
          <w:i/>
          <w:iCs/>
          <w:color w:val="auto"/>
          <w:szCs w:val="21"/>
          <w:lang w:val="en-US" w:eastAsia="zh-CN"/>
        </w:rPr>
        <w:t>s</w:t>
      </w:r>
      <w:r>
        <w:rPr>
          <w:rFonts w:hint="eastAsia" w:ascii="Times New Roman" w:hAnsi="Times New Roman"/>
          <w:b w:val="0"/>
          <w:bCs/>
          <w:color w:val="auto"/>
          <w:szCs w:val="21"/>
          <w:lang w:val="en-US" w:eastAsia="zh-CN"/>
        </w:rPr>
        <w:t>的超参数，即均值</w:t>
      </w:r>
      <m:oMath>
        <m:r>
          <m:rPr/>
          <w:rPr>
            <w:rFonts w:hint="default" w:ascii="Cambria Math" w:hAnsi="Cambria Math"/>
            <w:color w:val="auto"/>
            <w:szCs w:val="21"/>
            <w:lang w:val="en-US"/>
          </w:rPr>
          <m:t>α</m:t>
        </m:r>
      </m:oMath>
      <w:r>
        <w:rPr>
          <w:rFonts w:hint="eastAsia" w:ascii="Times New Roman" w:hAnsi="Times New Roman"/>
          <w:b w:val="0"/>
          <w:bCs/>
          <w:color w:val="auto"/>
          <w:szCs w:val="21"/>
          <w:lang w:val="en-US" w:eastAsia="zh-CN"/>
        </w:rPr>
        <w:t>和方差</w:t>
      </w:r>
      <m:oMath>
        <m:r>
          <m:rPr/>
          <w:rPr>
            <w:rFonts w:hint="default" w:ascii="Cambria Math" w:hAnsi="Cambria Math"/>
            <w:color w:val="auto"/>
            <w:szCs w:val="21"/>
            <w:lang w:val="en-US"/>
          </w:rPr>
          <m:t>γ</m:t>
        </m:r>
      </m:oMath>
      <w:r>
        <w:rPr>
          <w:rFonts w:hint="eastAsia" w:ascii="Times New Roman" w:hAnsi="Times New Roman"/>
          <w:b w:val="0"/>
          <w:bCs/>
          <w:color w:val="auto"/>
          <w:szCs w:val="21"/>
          <w:lang w:val="en-US" w:eastAsia="zh-CN"/>
        </w:rPr>
        <w:t>, 分别设置为当前作业互评分数的均值和方差。对于偏见</w:t>
      </w:r>
      <w:r>
        <w:rPr>
          <w:rFonts w:hint="eastAsia" w:ascii="Times New Roman" w:hAnsi="Times New Roman"/>
          <w:b w:val="0"/>
          <w:bCs/>
          <w:i/>
          <w:iCs/>
          <w:color w:val="auto"/>
          <w:szCs w:val="21"/>
          <w:lang w:val="en-US" w:eastAsia="zh-CN"/>
        </w:rPr>
        <w:t>b</w:t>
      </w:r>
      <w:r>
        <w:rPr>
          <w:rFonts w:hint="eastAsia" w:ascii="Times New Roman" w:hAnsi="Times New Roman"/>
          <w:b w:val="0"/>
          <w:bCs/>
          <w:i w:val="0"/>
          <w:iCs w:val="0"/>
          <w:color w:val="auto"/>
          <w:szCs w:val="21"/>
          <w:lang w:val="en-US" w:eastAsia="zh-CN"/>
        </w:rPr>
        <w:t>的超参数</w:t>
      </w:r>
      <m:oMath>
        <m:r>
          <m:rPr/>
          <w:rPr>
            <w:rFonts w:ascii="Cambria Math" w:hAnsi="Cambria Math"/>
            <w:color w:val="auto"/>
            <w:szCs w:val="21"/>
            <w:lang w:val="en-US"/>
          </w:rPr>
          <m:t>η</m:t>
        </m:r>
      </m:oMath>
      <w:r>
        <w:rPr>
          <w:rFonts w:hint="eastAsia" w:hAnsi="Cambria Math"/>
          <w:bCs/>
          <w:i w:val="0"/>
          <w:iCs w:val="0"/>
          <w:color w:val="auto"/>
          <w:szCs w:val="21"/>
          <w:lang w:val="en-US" w:eastAsia="zh-CN"/>
        </w:rPr>
        <w:t>，我们设置为1。对于可靠性</w:t>
      </w:r>
      <m:oMath>
        <m:r>
          <m:rPr/>
          <w:rPr>
            <w:rFonts w:hint="default" w:ascii="Cambria Math" w:hAnsi="Cambria Math"/>
            <w:color w:val="auto"/>
            <w:szCs w:val="21"/>
            <w:lang w:val="en-US"/>
          </w:rPr>
          <m:t>τ</m:t>
        </m:r>
      </m:oMath>
      <w:r>
        <w:rPr>
          <w:rFonts w:hint="eastAsia" w:hAnsi="Cambria Math"/>
          <w:bCs/>
          <w:i w:val="0"/>
          <w:iCs w:val="0"/>
          <w:color w:val="auto"/>
          <w:szCs w:val="21"/>
          <w:lang w:val="en-US" w:eastAsia="zh-CN"/>
        </w:rPr>
        <w:t>的超参数</w:t>
      </w:r>
      <m:oMath>
        <m:r>
          <m:rPr/>
          <w:rPr>
            <w:rFonts w:hint="default" w:ascii="Cambria Math" w:hAnsi="Cambria Math"/>
            <w:color w:val="auto"/>
            <w:szCs w:val="21"/>
            <w:lang w:val="en-US"/>
          </w:rPr>
          <m:t>β</m:t>
        </m:r>
      </m:oMath>
      <w:r>
        <w:rPr>
          <w:rFonts w:hint="eastAsia" w:hAnsi="Cambria Math"/>
          <w:bCs/>
          <w:i w:val="0"/>
          <w:iCs/>
          <w:color w:val="auto"/>
          <w:szCs w:val="21"/>
          <w:lang w:val="en-US" w:eastAsia="zh-CN"/>
        </w:rPr>
        <w:t>，</w:t>
      </w:r>
      <w:r>
        <w:rPr>
          <w:rFonts w:hint="eastAsia" w:ascii="Times New Roman" w:hAnsi="Times New Roman"/>
          <w:b w:val="0"/>
          <w:bCs/>
          <w:color w:val="auto"/>
          <w:szCs w:val="21"/>
          <w:lang w:val="en-US" w:eastAsia="zh-CN"/>
        </w:rPr>
        <w:t>在其它参数取值固定的前提下，以100为步长尝试在［100,700］范围中的不同取值，然后以其中所得到的对真实分数最准确的估计值为该模型的最终估计值。由于概率模型的估计具有一定的随机性，对于所有概率模型，超参数</w:t>
      </w:r>
      <m:oMath>
        <m:r>
          <m:rPr/>
          <w:rPr>
            <w:rFonts w:hint="default" w:ascii="Cambria Math" w:hAnsi="Cambria Math"/>
            <w:color w:val="auto"/>
            <w:szCs w:val="21"/>
            <w:lang w:val="en-US"/>
          </w:rPr>
          <m:t>β</m:t>
        </m:r>
      </m:oMath>
      <w:r>
        <w:rPr>
          <w:rFonts w:hint="eastAsia" w:ascii="Times New Roman" w:hAnsi="Times New Roman"/>
          <w:b w:val="0"/>
          <w:bCs/>
          <w:color w:val="auto"/>
          <w:szCs w:val="21"/>
          <w:lang w:val="en-US" w:eastAsia="zh-CN"/>
        </w:rPr>
        <w:t>的每种取值都执行10次真实分数的估计。</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对于基于概率模型的同行互评技术中每个需要估计的隐含变量,推断算法均迭代运行600次Gibbs采样获取隐含变量的样本值，并设定前60次采样得到的样本为老化阶段的样本，这些老化阶段的样郴不参与对真实分数的估计运算.</w:t>
      </w:r>
    </w:p>
    <w:p>
      <w:pPr>
        <w:pStyle w:val="22"/>
        <w:ind w:firstLine="0" w:firstLineChars="0"/>
        <w:rPr>
          <w:rFonts w:hint="eastAsia" w:ascii="Times New Roman" w:hAnsi="Times New Roman"/>
          <w:b/>
          <w:color w:val="auto"/>
          <w:szCs w:val="21"/>
          <w:lang w:val="en-US" w:eastAsia="zh-CN"/>
        </w:rPr>
      </w:pPr>
      <w:r>
        <w:rPr>
          <w:rFonts w:hint="eastAsia" w:ascii="Times New Roman" w:hAnsi="Times New Roman"/>
          <w:b/>
          <w:color w:val="auto"/>
          <w:szCs w:val="21"/>
          <w:lang w:val="en-US" w:eastAsia="zh-CN"/>
        </w:rPr>
        <w:t>3.4 实验结果</w:t>
      </w:r>
    </w:p>
    <w:p>
      <w:pPr>
        <w:pStyle w:val="22"/>
        <w:ind w:firstLine="0" w:firstLineChars="0"/>
        <w:rPr>
          <w:rFonts w:hint="eastAsia"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.1</w:t>
      </w:r>
      <w:r>
        <w:rPr>
          <w:rFonts w:hint="eastAsia" w:ascii="Times New Roman" w:hAnsi="Times New Roman"/>
          <w:color w:val="auto"/>
          <w:szCs w:val="21"/>
          <w:lang w:val="en-US" w:eastAsia="zh-CN"/>
        </w:rPr>
        <w:t xml:space="preserve"> 同行互评汇总技术的评估准确性</w:t>
      </w:r>
    </w:p>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和【】一样，我们采用RMSE来评估</w:t>
      </w:r>
      <w:r>
        <w:rPr>
          <w:rFonts w:hint="default" w:ascii="Times New Roman" w:hAnsi="Times New Roman"/>
          <w:b w:val="0"/>
          <w:bCs/>
          <w:color w:val="auto"/>
          <w:szCs w:val="21"/>
          <w:lang w:val="en-US" w:eastAsia="zh-CN"/>
        </w:rPr>
        <w:t>不同</w:t>
      </w:r>
      <w:r>
        <w:rPr>
          <w:rFonts w:hint="eastAsia" w:ascii="Times New Roman" w:hAnsi="Times New Roman"/>
          <w:color w:val="auto"/>
          <w:szCs w:val="21"/>
          <w:lang w:val="en-US" w:eastAsia="zh-CN"/>
        </w:rPr>
        <w:t>互评汇总</w:t>
      </w:r>
      <w:r>
        <w:rPr>
          <w:rFonts w:hint="default" w:ascii="Times New Roman" w:hAnsi="Times New Roman"/>
          <w:b w:val="0"/>
          <w:bCs/>
          <w:color w:val="auto"/>
          <w:szCs w:val="21"/>
          <w:lang w:val="en-US" w:eastAsia="zh-CN"/>
        </w:rPr>
        <w:t>技术</w:t>
      </w:r>
      <w:r>
        <w:rPr>
          <w:rFonts w:hint="eastAsia" w:ascii="Times New Roman" w:hAnsi="Times New Roman"/>
          <w:b w:val="0"/>
          <w:bCs/>
          <w:color w:val="auto"/>
          <w:szCs w:val="21"/>
          <w:lang w:val="en-US" w:eastAsia="zh-CN"/>
        </w:rPr>
        <w:t>的准确性差异。RMSE的计算公式如下：</w:t>
      </w:r>
    </w:p>
    <w:p>
      <w:pPr>
        <w:pStyle w:val="22"/>
        <w:keepNext w:val="0"/>
        <w:keepLines w:val="0"/>
        <w:pageBreakBefore w:val="0"/>
        <w:widowControl w:val="0"/>
        <w:kinsoku/>
        <w:wordWrap/>
        <w:overflowPunct/>
        <w:topLinePunct w:val="0"/>
        <w:autoSpaceDE/>
        <w:autoSpaceDN/>
        <w:bidi w:val="0"/>
        <w:adjustRightInd/>
        <w:snapToGrid/>
        <w:textAlignment w:val="auto"/>
        <m:rPr/>
        <w:rPr>
          <w:rFonts w:hint="default" w:hAnsi="Cambria Math" w:cs="Times New Roman"/>
          <w:b w:val="0"/>
          <w:bCs/>
          <w:i w:val="0"/>
          <w:iCs/>
          <w:color w:val="auto"/>
          <w:kern w:val="2"/>
          <w:sz w:val="21"/>
          <w:szCs w:val="21"/>
          <w:lang w:val="en-US" w:eastAsia="zh-CN" w:bidi="ar-SA"/>
        </w:rPr>
      </w:pPr>
      <m:oMathPara>
        <m:oMath>
          <m:r>
            <m:rPr/>
            <w:rPr>
              <w:rFonts w:hint="default" w:ascii="Cambria Math" w:hAnsi="Cambria Math" w:cs="Times New Roman"/>
              <w:color w:val="auto"/>
              <w:kern w:val="2"/>
              <w:sz w:val="21"/>
              <w:szCs w:val="21"/>
              <w:lang w:val="en-US" w:eastAsia="zh-CN" w:bidi="ar-SA"/>
            </w:rPr>
            <m:t>RMSE=</m:t>
          </m:r>
          <m:rad>
            <m:radPr>
              <m:degHide m:val="1"/>
              <m:ctrlPr>
                <m:rPr/>
                <w:rPr>
                  <w:rFonts w:hint="default" w:ascii="Cambria Math" w:hAnsi="Cambria Math" w:cs="Times New Roman"/>
                  <w:b w:val="0"/>
                  <w:bCs/>
                  <w:i/>
                  <w:iCs/>
                  <w:color w:val="auto"/>
                  <w:kern w:val="2"/>
                  <w:sz w:val="21"/>
                  <w:szCs w:val="21"/>
                  <w:lang w:val="en-US" w:eastAsia="zh-CN" w:bidi="ar-SA"/>
                </w:rPr>
              </m:ctrlPr>
            </m:radPr>
            <m:deg>
              <m:ctrlPr>
                <m:rPr/>
                <w:rPr>
                  <w:rFonts w:hint="default" w:ascii="Cambria Math" w:hAnsi="Cambria Math" w:cs="Times New Roman"/>
                  <w:b w:val="0"/>
                  <w:bCs/>
                  <w:i/>
                  <w:iCs/>
                  <w:color w:val="auto"/>
                  <w:kern w:val="2"/>
                  <w:sz w:val="21"/>
                  <w:szCs w:val="21"/>
                  <w:lang w:val="en-US" w:eastAsia="zh-CN" w:bidi="ar-SA"/>
                </w:rPr>
              </m:ctrlPr>
            </m:deg>
            <m:e>
              <m:f>
                <m:fPr>
                  <m:ctrlPr>
                    <m:rPr/>
                    <w:rPr>
                      <w:rFonts w:hint="default" w:ascii="Cambria Math" w:hAnsi="Cambria Math" w:cs="Times New Roman"/>
                      <w:b w:val="0"/>
                      <w:bCs/>
                      <w:i/>
                      <w:iCs/>
                      <w:color w:val="auto"/>
                      <w:kern w:val="2"/>
                      <w:sz w:val="21"/>
                      <w:szCs w:val="21"/>
                      <w:lang w:val="en-US" w:eastAsia="zh-CN" w:bidi="ar-SA"/>
                    </w:rPr>
                  </m:ctrlPr>
                </m:fPr>
                <m:num>
                  <m:r>
                    <m:rPr/>
                    <w:rPr>
                      <w:rFonts w:hint="default" w:ascii="Cambria Math" w:hAnsi="Cambria Math" w:cs="Times New Roman"/>
                      <w:color w:val="auto"/>
                      <w:kern w:val="2"/>
                      <w:sz w:val="21"/>
                      <w:szCs w:val="21"/>
                      <w:lang w:val="en-US" w:eastAsia="zh-CN" w:bidi="ar-SA"/>
                    </w:rPr>
                    <m:t>1</m:t>
                  </m:r>
                  <m:ctrlPr>
                    <m:rPr/>
                    <w:rPr>
                      <w:rFonts w:hint="default" w:ascii="Cambria Math" w:hAnsi="Cambria Math" w:cs="Times New Roman"/>
                      <w:b w:val="0"/>
                      <w:bCs/>
                      <w:i/>
                      <w:iCs/>
                      <w:color w:val="auto"/>
                      <w:kern w:val="2"/>
                      <w:sz w:val="21"/>
                      <w:szCs w:val="21"/>
                      <w:lang w:val="en-US" w:eastAsia="zh-CN" w:bidi="ar-SA"/>
                    </w:rPr>
                  </m:ctrlPr>
                </m:num>
                <m:den>
                  <m:d>
                    <m:dPr>
                      <m:begChr m:val="|"/>
                      <m:endChr m:val="|"/>
                      <m:ctrlPr>
                        <m:rPr/>
                        <w:rPr>
                          <w:rFonts w:hint="default" w:ascii="Cambria Math" w:hAnsi="Cambria Math" w:cs="Times New Roman"/>
                          <w:b w:val="0"/>
                          <w:bCs/>
                          <w:i/>
                          <w:iCs/>
                          <w:color w:val="auto"/>
                          <w:kern w:val="2"/>
                          <w:sz w:val="21"/>
                          <w:szCs w:val="21"/>
                          <w:lang w:val="en-US" w:eastAsia="zh-CN" w:bidi="ar-SA"/>
                        </w:rPr>
                      </m:ctrlPr>
                    </m:dPr>
                    <m:e>
                      <m:r>
                        <m:rPr/>
                        <w:rPr>
                          <w:rFonts w:hint="default" w:ascii="Cambria Math" w:hAnsi="Cambria Math" w:cs="Times New Roman"/>
                          <w:color w:val="auto"/>
                          <w:kern w:val="2"/>
                          <w:sz w:val="21"/>
                          <w:szCs w:val="21"/>
                          <w:lang w:val="en-US" w:eastAsia="zh-CN" w:bidi="ar-SA"/>
                        </w:rPr>
                        <m:t>U</m:t>
                      </m:r>
                      <m:ctrlPr>
                        <m:rPr/>
                        <w:rPr>
                          <w:rFonts w:hint="default" w:ascii="Cambria Math" w:hAnsi="Cambria Math" w:cs="Times New Roman"/>
                          <w:b w:val="0"/>
                          <w:bCs/>
                          <w:i/>
                          <w:iCs/>
                          <w:color w:val="auto"/>
                          <w:kern w:val="2"/>
                          <w:sz w:val="21"/>
                          <w:szCs w:val="21"/>
                          <w:lang w:val="en-US" w:eastAsia="zh-CN" w:bidi="ar-SA"/>
                        </w:rPr>
                      </m:ctrlPr>
                    </m:e>
                  </m:d>
                  <m:ctrlPr>
                    <m:rPr/>
                    <w:rPr>
                      <w:rFonts w:hint="default" w:ascii="Cambria Math" w:hAnsi="Cambria Math" w:cs="Times New Roman"/>
                      <w:b w:val="0"/>
                      <w:bCs/>
                      <w:i/>
                      <w:iCs/>
                      <w:color w:val="auto"/>
                      <w:kern w:val="2"/>
                      <w:sz w:val="21"/>
                      <w:szCs w:val="21"/>
                      <w:lang w:val="en-US" w:eastAsia="zh-CN" w:bidi="ar-SA"/>
                    </w:rPr>
                  </m:ctrlPr>
                </m:den>
              </m:f>
              <m:nary>
                <m:naryPr>
                  <m:chr m:val="∑"/>
                  <m:limLoc m:val="subSup"/>
                  <m:supHide m:val="1"/>
                  <m:ctrlPr>
                    <m:rPr/>
                    <w:rPr>
                      <w:rFonts w:hint="default" w:ascii="Cambria Math" w:hAnsi="Cambria Math" w:cs="Times New Roman"/>
                      <w:b w:val="0"/>
                      <w:bCs/>
                      <w:i/>
                      <w:iCs/>
                      <w:color w:val="auto"/>
                      <w:kern w:val="2"/>
                      <w:sz w:val="21"/>
                      <w:szCs w:val="21"/>
                      <w:lang w:val="en-US" w:eastAsia="zh-CN" w:bidi="ar-SA"/>
                    </w:rPr>
                  </m:ctrlPr>
                </m:naryPr>
                <m:sub>
                  <m:r>
                    <m:rPr/>
                    <w:rPr>
                      <w:rFonts w:hint="default" w:ascii="Cambria Math" w:hAnsi="Cambria Math" w:cs="Times New Roman"/>
                      <w:color w:val="auto"/>
                      <w:kern w:val="2"/>
                      <w:sz w:val="21"/>
                      <w:szCs w:val="21"/>
                      <w:lang w:val="en-US" w:eastAsia="zh-CN" w:bidi="ar-SA"/>
                    </w:rPr>
                    <m:t>i</m:t>
                  </m:r>
                  <m:r>
                    <m:rPr/>
                    <w:rPr>
                      <w:rFonts w:ascii="Cambria Math" w:hAnsi="Cambria Math" w:cs="Times New Roman"/>
                      <w:color w:val="auto"/>
                      <w:kern w:val="2"/>
                      <w:sz w:val="21"/>
                      <w:szCs w:val="21"/>
                      <w:lang w:val="en-US" w:bidi="ar-SA"/>
                    </w:rPr>
                    <m:t>∈</m:t>
                  </m:r>
                  <m:r>
                    <m:rPr/>
                    <w:rPr>
                      <w:rFonts w:hint="default" w:ascii="Cambria Math" w:hAnsi="Cambria Math" w:cs="Times New Roman"/>
                      <w:color w:val="auto"/>
                      <w:kern w:val="2"/>
                      <w:sz w:val="21"/>
                      <w:szCs w:val="21"/>
                      <w:lang w:val="en-US" w:eastAsia="zh-CN" w:bidi="ar-SA"/>
                    </w:rPr>
                    <m:t>U</m:t>
                  </m:r>
                  <m:ctrlPr>
                    <m:rPr/>
                    <w:rPr>
                      <w:rFonts w:hint="default" w:ascii="Cambria Math" w:hAnsi="Cambria Math" w:cs="Times New Roman"/>
                      <w:b w:val="0"/>
                      <w:bCs/>
                      <w:i/>
                      <w:iCs/>
                      <w:color w:val="auto"/>
                      <w:kern w:val="2"/>
                      <w:sz w:val="21"/>
                      <w:szCs w:val="21"/>
                      <w:lang w:val="en-US" w:eastAsia="zh-CN" w:bidi="ar-SA"/>
                    </w:rPr>
                  </m:ctrlPr>
                </m:sub>
                <m:sup>
                  <m:ctrlPr>
                    <m:rPr/>
                    <w:rPr>
                      <w:rFonts w:hint="default" w:ascii="Cambria Math" w:hAnsi="Cambria Math" w:cs="Times New Roman"/>
                      <w:b w:val="0"/>
                      <w:bCs/>
                      <w:i/>
                      <w:iCs/>
                      <w:color w:val="auto"/>
                      <w:kern w:val="2"/>
                      <w:sz w:val="21"/>
                      <w:szCs w:val="21"/>
                      <w:lang w:val="en-US" w:eastAsia="zh-CN" w:bidi="ar-SA"/>
                    </w:rPr>
                  </m:ctrlPr>
                </m:sup>
                <m:e>
                  <m:sSup>
                    <m:sSupPr>
                      <m:ctrlPr>
                        <m:rPr/>
                        <w:rPr>
                          <w:rFonts w:hint="default" w:ascii="Cambria Math" w:hAnsi="Cambria Math" w:cs="Times New Roman"/>
                          <w:b w:val="0"/>
                          <w:bCs/>
                          <w:i/>
                          <w:iCs/>
                          <w:color w:val="auto"/>
                          <w:kern w:val="2"/>
                          <w:sz w:val="21"/>
                          <w:szCs w:val="21"/>
                          <w:lang w:val="en-US" w:eastAsia="zh-CN" w:bidi="ar-SA"/>
                        </w:rPr>
                      </m:ctrlPr>
                    </m:sSupPr>
                    <m:e>
                      <m:d>
                        <m:dPr>
                          <m:ctrlPr>
                            <m:rPr/>
                            <w:rPr>
                              <w:rFonts w:hint="default" w:ascii="Cambria Math" w:hAnsi="Cambria Math" w:cs="Times New Roman"/>
                              <w:b w:val="0"/>
                              <w:bCs/>
                              <w:i/>
                              <w:iCs/>
                              <w:color w:val="auto"/>
                              <w:kern w:val="2"/>
                              <w:sz w:val="21"/>
                              <w:szCs w:val="21"/>
                              <w:lang w:val="en-US" w:eastAsia="zh-CN" w:bidi="ar-SA"/>
                            </w:rPr>
                          </m:ctrlPr>
                        </m:dPr>
                        <m:e>
                          <m:sSub>
                            <m:sSubPr>
                              <m:ctrlPr>
                                <m:rPr/>
                                <w:rPr>
                                  <w:rFonts w:hint="default" w:ascii="Cambria Math" w:hAnsi="Cambria Math" w:cs="Times New Roman"/>
                                  <w:b w:val="0"/>
                                  <w:bCs/>
                                  <w:i/>
                                  <w:iCs/>
                                  <w:color w:val="auto"/>
                                  <w:kern w:val="2"/>
                                  <w:sz w:val="21"/>
                                  <w:szCs w:val="21"/>
                                  <w:lang w:val="en-US" w:eastAsia="zh-CN" w:bidi="ar-SA"/>
                                </w:rPr>
                              </m:ctrlPr>
                            </m:sSub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b w:val="0"/>
                                  <w:bCs/>
                                  <w:i/>
                                  <w:iCs/>
                                  <w:color w:val="auto"/>
                                  <w:kern w:val="2"/>
                                  <w:sz w:val="21"/>
                                  <w:szCs w:val="21"/>
                                  <w:lang w:val="en-US" w:eastAsia="zh-CN" w:bidi="ar-SA"/>
                                </w:rPr>
                              </m:ctrlPr>
                            </m:sub>
                          </m:sSub>
                          <m:r>
                            <m:rPr/>
                            <w:rPr>
                              <w:rFonts w:hint="default" w:ascii="Cambria Math" w:hAnsi="Cambria Math" w:cs="Times New Roman"/>
                              <w:color w:val="auto"/>
                              <w:kern w:val="2"/>
                              <w:sz w:val="21"/>
                              <w:szCs w:val="21"/>
                              <w:lang w:val="en-US" w:eastAsia="zh-CN" w:bidi="ar-SA"/>
                            </w:rPr>
                            <m:t>−</m:t>
                          </m:r>
                          <m:sSub>
                            <m:sSubPr>
                              <m:ctrlPr>
                                <m:rPr/>
                                <w:rPr>
                                  <w:rFonts w:hint="default" w:ascii="Cambria Math" w:hAnsi="Cambria Math" w:cs="Times New Roman"/>
                                  <w:b w:val="0"/>
                                  <w:bCs/>
                                  <w:i/>
                                  <w:iCs/>
                                  <w:color w:val="auto"/>
                                  <w:kern w:val="2"/>
                                  <w:sz w:val="21"/>
                                  <w:szCs w:val="21"/>
                                  <w:lang w:val="en-US" w:eastAsia="zh-CN" w:bidi="ar-SA"/>
                                </w:rPr>
                              </m:ctrlPr>
                            </m:sSubPr>
                            <m:e>
                              <m:acc>
                                <m:accPr>
                                  <m:ctrlPr>
                                    <m:rPr/>
                                    <w:rPr>
                                      <w:rFonts w:hint="default" w:ascii="Cambria Math" w:hAnsi="Cambria Math" w:cs="Times New Roman"/>
                                      <w:b w:val="0"/>
                                      <w:bCs/>
                                      <w:i/>
                                      <w:iCs/>
                                      <w:color w:val="auto"/>
                                      <w:kern w:val="2"/>
                                      <w:sz w:val="21"/>
                                      <w:szCs w:val="21"/>
                                      <w:lang w:val="en-US" w:eastAsia="zh-CN" w:bidi="ar-SA"/>
                                    </w:rPr>
                                  </m:ctrlPr>
                                </m:accPr>
                                <m:e>
                                  <m:r>
                                    <m:rPr/>
                                    <w:rPr>
                                      <w:rFonts w:hint="default" w:ascii="Cambria Math" w:hAnsi="Cambria Math" w:cs="Times New Roman"/>
                                      <w:color w:val="auto"/>
                                      <w:kern w:val="2"/>
                                      <w:sz w:val="21"/>
                                      <w:szCs w:val="21"/>
                                      <w:lang w:val="en-US" w:eastAsia="zh-CN" w:bidi="ar-SA"/>
                                    </w:rPr>
                                    <m:t>s</m:t>
                                  </m:r>
                                  <m:ctrlPr>
                                    <m:rPr/>
                                    <w:rPr>
                                      <w:rFonts w:hint="default" w:ascii="Cambria Math" w:hAnsi="Cambria Math" w:cs="Times New Roman"/>
                                      <w:b w:val="0"/>
                                      <w:bCs/>
                                      <w:i/>
                                      <w:iCs/>
                                      <w:color w:val="auto"/>
                                      <w:kern w:val="2"/>
                                      <w:sz w:val="21"/>
                                      <w:szCs w:val="21"/>
                                      <w:lang w:val="en-US" w:eastAsia="zh-CN" w:bidi="ar-SA"/>
                                    </w:rPr>
                                  </m:ctrlPr>
                                </m:e>
                              </m:acc>
                              <m:ctrlPr>
                                <m:rPr/>
                                <w:rPr>
                                  <w:rFonts w:hint="default" w:ascii="Cambria Math" w:hAnsi="Cambria Math" w:cs="Times New Roman"/>
                                  <w:b w:val="0"/>
                                  <w:bCs/>
                                  <w:i/>
                                  <w:iCs/>
                                  <w:color w:val="auto"/>
                                  <w:kern w:val="2"/>
                                  <w:sz w:val="21"/>
                                  <w:szCs w:val="21"/>
                                  <w:lang w:val="en-US" w:eastAsia="zh-CN" w:bidi="ar-SA"/>
                                </w:rPr>
                              </m:ctrlPr>
                            </m:e>
                            <m:sub>
                              <m:r>
                                <m:rPr/>
                                <w:rPr>
                                  <w:rFonts w:hint="default" w:ascii="Cambria Math" w:hAnsi="Cambria Math" w:cs="Times New Roman"/>
                                  <w:color w:val="auto"/>
                                  <w:kern w:val="2"/>
                                  <w:sz w:val="21"/>
                                  <w:szCs w:val="21"/>
                                  <w:lang w:val="en-US" w:eastAsia="zh-CN" w:bidi="ar-SA"/>
                                </w:rPr>
                                <m:t>i</m:t>
                              </m:r>
                              <m:ctrlPr>
                                <m:rPr/>
                                <w:rPr>
                                  <w:rFonts w:hint="default" w:ascii="Cambria Math" w:hAnsi="Cambria Math" w:cs="Times New Roman"/>
                                  <w:b w:val="0"/>
                                  <w:bCs/>
                                  <w:i/>
                                  <w:iCs/>
                                  <w:color w:val="auto"/>
                                  <w:kern w:val="2"/>
                                  <w:sz w:val="21"/>
                                  <w:szCs w:val="21"/>
                                  <w:lang w:val="en-US" w:eastAsia="zh-CN" w:bidi="ar-SA"/>
                                </w:rPr>
                              </m:ctrlPr>
                            </m:sub>
                          </m:sSub>
                          <m:ctrlPr>
                            <m:rPr/>
                            <w:rPr>
                              <w:rFonts w:hint="default" w:ascii="Cambria Math" w:hAnsi="Cambria Math" w:cs="Times New Roman"/>
                              <w:b w:val="0"/>
                              <w:bCs/>
                              <w:i/>
                              <w:iCs/>
                              <w:color w:val="auto"/>
                              <w:kern w:val="2"/>
                              <w:sz w:val="21"/>
                              <w:szCs w:val="21"/>
                              <w:lang w:val="en-US" w:eastAsia="zh-CN" w:bidi="ar-SA"/>
                            </w:rPr>
                          </m:ctrlPr>
                        </m:e>
                      </m:d>
                      <m:ctrlPr>
                        <m:rPr/>
                        <w:rPr>
                          <w:rFonts w:hint="default" w:ascii="Cambria Math" w:hAnsi="Cambria Math" w:cs="Times New Roman"/>
                          <w:b w:val="0"/>
                          <w:bCs/>
                          <w:i/>
                          <w:iCs/>
                          <w:color w:val="auto"/>
                          <w:kern w:val="2"/>
                          <w:sz w:val="21"/>
                          <w:szCs w:val="21"/>
                          <w:lang w:val="en-US" w:eastAsia="zh-CN" w:bidi="ar-SA"/>
                        </w:rPr>
                      </m:ctrlPr>
                    </m:e>
                    <m:sup>
                      <m:r>
                        <m:rPr/>
                        <w:rPr>
                          <w:rFonts w:hint="default" w:ascii="Cambria Math" w:hAnsi="Cambria Math" w:cs="Times New Roman"/>
                          <w:color w:val="auto"/>
                          <w:kern w:val="2"/>
                          <w:sz w:val="21"/>
                          <w:szCs w:val="21"/>
                          <w:lang w:val="en-US" w:eastAsia="zh-CN" w:bidi="ar-SA"/>
                        </w:rPr>
                        <m:t>2</m:t>
                      </m:r>
                      <m:ctrlPr>
                        <m:rPr/>
                        <w:rPr>
                          <w:rFonts w:hint="default" w:ascii="Cambria Math" w:hAnsi="Cambria Math" w:cs="Times New Roman"/>
                          <w:b w:val="0"/>
                          <w:bCs/>
                          <w:i/>
                          <w:iCs/>
                          <w:color w:val="auto"/>
                          <w:kern w:val="2"/>
                          <w:sz w:val="21"/>
                          <w:szCs w:val="21"/>
                          <w:lang w:val="en-US" w:eastAsia="zh-CN" w:bidi="ar-SA"/>
                        </w:rPr>
                      </m:ctrlPr>
                    </m:sup>
                  </m:sSup>
                  <m:ctrlPr>
                    <m:rPr/>
                    <w:rPr>
                      <w:rFonts w:hint="default" w:ascii="Cambria Math" w:hAnsi="Cambria Math" w:cs="Times New Roman"/>
                      <w:b w:val="0"/>
                      <w:bCs/>
                      <w:i/>
                      <w:iCs/>
                      <w:color w:val="auto"/>
                      <w:kern w:val="2"/>
                      <w:sz w:val="21"/>
                      <w:szCs w:val="21"/>
                      <w:lang w:val="en-US" w:eastAsia="zh-CN" w:bidi="ar-SA"/>
                    </w:rPr>
                  </m:ctrlPr>
                </m:e>
              </m:nary>
              <m:ctrlPr>
                <m:rPr/>
                <w:rPr>
                  <w:rFonts w:hint="default" w:ascii="Cambria Math" w:hAnsi="Cambria Math" w:cs="Times New Roman"/>
                  <w:b w:val="0"/>
                  <w:bCs/>
                  <w:i/>
                  <w:iCs/>
                  <w:color w:val="auto"/>
                  <w:kern w:val="2"/>
                  <w:sz w:val="21"/>
                  <w:szCs w:val="21"/>
                  <w:lang w:val="en-US" w:eastAsia="zh-CN" w:bidi="ar-SA"/>
                </w:rPr>
              </m:ctrlPr>
            </m:e>
          </m:rad>
        </m:oMath>
      </m:oMathPara>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表3 </w:t>
      </w:r>
      <w:r>
        <w:rPr>
          <w:rFonts w:hint="eastAsia" w:ascii="Times New Roman" w:hAnsi="Times New Roman"/>
          <w:color w:val="auto"/>
          <w:szCs w:val="21"/>
          <w:lang w:val="en-US" w:eastAsia="zh-CN"/>
        </w:rPr>
        <w:t>同行互评汇总技术的RMSE（粗体表示最优结果）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Table 3 RMSE for peer assessment 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RMSE</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3.746</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4.168</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m:rP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3.744</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4.213</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5.785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3.637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3.832</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3.587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3.771</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3.151</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3.357</w:t>
            </w:r>
          </w:p>
        </w:tc>
        <w:tc>
          <w:tcPr>
            <w:tcW w:w="1117" w:type="dxa"/>
            <w:tcBorders>
              <w:top w:val="nil"/>
              <w:left w:val="nil"/>
              <w:bottom w:val="nil"/>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m:rPr/>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3.146</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3.284</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m:rP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4.951</w:t>
            </w:r>
          </w:p>
        </w:tc>
      </w:tr>
    </w:tbl>
    <w:p>
      <w:pPr>
        <w:pStyle w:val="22"/>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b w:val="0"/>
          <w:bCs/>
          <w:color w:val="auto"/>
          <w:szCs w:val="21"/>
          <w:lang w:val="en-US" w:eastAsia="zh-CN"/>
        </w:rPr>
      </w:pPr>
      <w:r>
        <w:rPr>
          <w:rFonts w:hint="eastAsia" w:ascii="Times New Roman" w:hAnsi="Times New Roman"/>
          <w:b w:val="0"/>
          <w:bCs/>
          <w:color w:val="auto"/>
          <w:szCs w:val="21"/>
          <w:lang w:val="en-US" w:eastAsia="zh-CN"/>
        </w:rPr>
        <w:t>表3展示了不同</w:t>
      </w:r>
      <w:r>
        <w:rPr>
          <w:rFonts w:hint="eastAsia" w:ascii="Times New Roman" w:hAnsi="Times New Roman"/>
          <w:color w:val="auto"/>
          <w:szCs w:val="21"/>
          <w:lang w:val="en-US" w:eastAsia="zh-CN"/>
        </w:rPr>
        <w:t>同行互评汇总技术</w:t>
      </w:r>
      <w:r>
        <w:rPr>
          <w:rFonts w:hint="eastAsia" w:ascii="Times New Roman" w:hAnsi="Times New Roman"/>
          <w:b w:val="0"/>
          <w:bCs/>
          <w:color w:val="auto"/>
          <w:szCs w:val="21"/>
          <w:lang w:val="en-US" w:eastAsia="zh-CN"/>
        </w:rPr>
        <w:t>的在数据集中的表现。由表3可知，本文提出的基于评价能力的同行互评技术</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在3门课程中RMSE均小于其他技术。由于使用了比真实分数更好的概括学生可靠性的评价能力为可靠性建模，</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vertAlign w:val="baseline"/>
          <w:lang w:val="en-US" w:eastAsia="zh-CN"/>
        </w:rPr>
        <w:t>R</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lang w:val="en-US" w:eastAsia="zh-CN"/>
        </w:rPr>
        <w:t>模型在3门课程的RMSE比</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r>
        <w:rPr>
          <w:rFonts w:hint="eastAsia" w:ascii="Times New Roman" w:hAnsi="Times New Roman"/>
          <w:b w:val="0"/>
          <w:bCs/>
          <w:color w:val="auto"/>
          <w:szCs w:val="21"/>
          <w:vertAlign w:val="baseline"/>
          <w:lang w:val="en-US" w:eastAsia="zh-CN"/>
        </w:rPr>
        <w:t>和</w:t>
      </w: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7</w:t>
      </w:r>
      <w:r>
        <w:rPr>
          <w:rFonts w:hint="eastAsia" w:ascii="Times New Roman" w:hAnsi="Times New Roman"/>
          <w:b w:val="0"/>
          <w:bCs/>
          <w:color w:val="auto"/>
          <w:szCs w:val="21"/>
          <w:vertAlign w:val="baseline"/>
          <w:lang w:val="en-US" w:eastAsia="zh-CN"/>
        </w:rPr>
        <w:t>平均降低了XX</w:t>
      </w:r>
      <w:r>
        <w:rPr>
          <w:rFonts w:hint="eastAsia" w:ascii="Times New Roman" w:hAnsi="Times New Roman"/>
          <w:b w:val="0"/>
          <w:bCs/>
          <w:color w:val="auto"/>
          <w:szCs w:val="21"/>
          <w:lang w:val="en-US" w:eastAsia="zh-CN"/>
        </w:rPr>
        <w:t>。实验结果证实了结合学生的评价能力建模可靠性比学生的真实分数的建模要更加准确。</w:t>
      </w:r>
    </w:p>
    <w:p>
      <w:pPr>
        <w:pStyle w:val="22"/>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2 同行互评汇总技术的最大偏差</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eastAsia" w:ascii="Times New Roman" w:hAnsi="Times New Roman"/>
          <w:color w:val="auto"/>
          <w:szCs w:val="21"/>
          <w:lang w:val="en-US" w:eastAsia="zh-CN"/>
        </w:rPr>
        <w:t>除了RMSE，我们还</w:t>
      </w:r>
      <w:r>
        <w:rPr>
          <w:rFonts w:hint="default" w:ascii="Times New Roman" w:hAnsi="Times New Roman"/>
          <w:color w:val="auto"/>
          <w:szCs w:val="21"/>
          <w:lang w:val="en-US" w:eastAsia="zh-CN"/>
        </w:rPr>
        <w:t>通过真实分数</w:t>
      </w:r>
      <w:r>
        <w:rPr>
          <w:rFonts w:hint="eastAsia" w:ascii="Times New Roman" w:hAnsi="Times New Roman"/>
          <w:color w:val="auto"/>
          <w:szCs w:val="21"/>
          <w:lang w:val="en-US" w:eastAsia="zh-CN"/>
        </w:rPr>
        <w:t>与汇总分数</w:t>
      </w:r>
      <w:r>
        <w:rPr>
          <w:rFonts w:hint="default" w:ascii="Times New Roman" w:hAnsi="Times New Roman"/>
          <w:color w:val="auto"/>
          <w:szCs w:val="21"/>
          <w:lang w:val="en-US" w:eastAsia="zh-CN"/>
        </w:rPr>
        <w:t>之间的最大偏差来分析同行互评</w:t>
      </w:r>
      <w:r>
        <w:rPr>
          <w:rFonts w:hint="eastAsia" w:ascii="Times New Roman" w:hAnsi="Times New Roman"/>
          <w:color w:val="auto"/>
          <w:szCs w:val="21"/>
          <w:lang w:val="en-US" w:eastAsia="zh-CN"/>
        </w:rPr>
        <w:t>汇总</w:t>
      </w:r>
      <w:r>
        <w:rPr>
          <w:rFonts w:hint="default" w:ascii="Times New Roman" w:hAnsi="Times New Roman"/>
          <w:color w:val="auto"/>
          <w:szCs w:val="21"/>
          <w:lang w:val="en-US" w:eastAsia="zh-CN"/>
        </w:rPr>
        <w:t>技术的</w:t>
      </w:r>
      <w:r>
        <w:rPr>
          <w:rFonts w:hint="eastAsia" w:ascii="Times New Roman" w:hAnsi="Times New Roman"/>
          <w:color w:val="auto"/>
          <w:szCs w:val="21"/>
          <w:lang w:val="en-US" w:eastAsia="zh-CN"/>
        </w:rPr>
        <w:t>准确性。</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表4 </w:t>
      </w:r>
      <w:r>
        <w:rPr>
          <w:rFonts w:hint="eastAsia" w:ascii="Times New Roman" w:hAnsi="Times New Roman"/>
          <w:color w:val="auto"/>
          <w:szCs w:val="21"/>
          <w:lang w:val="en-US" w:eastAsia="zh-CN"/>
        </w:rPr>
        <w:t>同行互评汇总技术的</w:t>
      </w:r>
      <w:r>
        <w:rPr>
          <w:rFonts w:hint="default" w:ascii="Times New Roman" w:hAnsi="Times New Roman"/>
          <w:color w:val="auto"/>
          <w:szCs w:val="21"/>
          <w:lang w:val="en-US" w:eastAsia="zh-CN"/>
        </w:rPr>
        <w:t>最大偏差</w:t>
      </w:r>
      <w:r>
        <w:rPr>
          <w:rFonts w:hint="eastAsia" w:ascii="Times New Roman" w:hAnsi="Times New Roman"/>
          <w:color w:val="auto"/>
          <w:szCs w:val="21"/>
          <w:lang w:val="en-US" w:eastAsia="zh-CN"/>
        </w:rPr>
        <w:t>（粗体表示最优结果）</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eastAsia"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 xml:space="preserve">Table 3 Maximum bias in peer assessment </w:t>
      </w:r>
    </w:p>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ascii="Times New Roman" w:hAnsi="Times New Roman" w:cs="Times New Roman"/>
          <w:color w:val="auto"/>
          <w:kern w:val="2"/>
          <w:sz w:val="21"/>
          <w:szCs w:val="21"/>
          <w:lang w:val="en-US" w:eastAsia="zh-CN" w:bidi="ar-SA"/>
        </w:rPr>
      </w:pPr>
      <w:r>
        <w:rPr>
          <w:rFonts w:hint="eastAsia" w:ascii="Times New Roman" w:hAnsi="Times New Roman" w:cs="Times New Roman"/>
          <w:color w:val="auto"/>
          <w:kern w:val="2"/>
          <w:sz w:val="21"/>
          <w:szCs w:val="21"/>
          <w:lang w:val="en-US" w:eastAsia="zh-CN" w:bidi="ar-SA"/>
        </w:rPr>
        <w:t>aggregation techniques (best results in bold)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7"/>
        <w:gridCol w:w="1117"/>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最大偏差</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数据库原理</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default" w:hAnsi="Cambria Math" w:cs="Times New Roman"/>
                <w:b w:val="0"/>
                <w:bCs/>
                <w:i w:val="0"/>
                <w:iCs/>
                <w:color w:val="auto"/>
                <w:kern w:val="2"/>
                <w:sz w:val="21"/>
                <w:szCs w:val="21"/>
                <w:vertAlign w:val="baseline"/>
                <w:lang w:val="en-US" w:eastAsia="zh-CN" w:bidi="ar-SA"/>
              </w:rPr>
              <w:t>数据结构</w:t>
            </w:r>
          </w:p>
        </w:tc>
        <w:tc>
          <w:tcPr>
            <w:tcW w:w="1117" w:type="dxa"/>
            <w:tcBorders>
              <w:top w:val="single" w:color="auto" w:sz="4" w:space="0"/>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计算机网络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single" w:color="auto" w:sz="4" w:space="0"/>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均值</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single" w:color="auto" w:sz="4" w:space="0"/>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hAnsi="Cambria Math" w:cs="Times New Roman"/>
                <w:b w:val="0"/>
                <w:bCs/>
                <w:i w:val="0"/>
                <w:iCs/>
                <w:color w:val="auto"/>
                <w:kern w:val="2"/>
                <w:sz w:val="21"/>
                <w:szCs w:val="21"/>
                <w:vertAlign w:val="baseline"/>
                <w:lang w:val="en-US" w:eastAsia="zh-CN" w:bidi="ar-SA"/>
              </w:rPr>
              <w:t>中位数</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9</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5.171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5.518</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8.047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PG</w:t>
            </w:r>
            <w:r>
              <w:rPr>
                <w:rFonts w:hint="eastAsia" w:ascii="Times New Roman" w:hAnsi="Times New Roman"/>
                <w:b w:val="0"/>
                <w:bCs/>
                <w:i w:val="0"/>
                <w:iCs w:val="0"/>
                <w:color w:val="auto"/>
                <w:szCs w:val="21"/>
                <w:vertAlign w:val="subscript"/>
                <w:lang w:val="en-US" w:eastAsia="zh-CN"/>
              </w:rPr>
              <w:t>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6.766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8.447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7.841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nil"/>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6</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4.331</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5.07</w:t>
            </w:r>
          </w:p>
        </w:tc>
        <w:tc>
          <w:tcPr>
            <w:tcW w:w="1117" w:type="dxa"/>
            <w:tcBorders>
              <w:top w:val="nil"/>
              <w:left w:val="nil"/>
              <w:bottom w:val="nil"/>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b/>
                <w:bCs/>
                <w:i w:val="0"/>
                <w:iCs w:val="0"/>
                <w:color w:val="000000"/>
                <w:kern w:val="0"/>
                <w:sz w:val="22"/>
                <w:szCs w:val="22"/>
                <w:u w:val="none"/>
                <w:lang w:val="en-US" w:eastAsia="zh-CN" w:bidi="ar"/>
              </w:rPr>
              <w:t>7.366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7" w:type="dxa"/>
            <w:tcBorders>
              <w:top w:val="nil"/>
              <w:left w:val="nil"/>
              <w:bottom w:val="single" w:color="auto" w:sz="4" w:space="0"/>
              <w:right w:val="nil"/>
            </w:tcBorders>
          </w:tcPr>
          <w:p>
            <w:pPr>
              <w:pStyle w:val="22"/>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hAnsi="Cambria Math" w:cs="Times New Roman"/>
                <w:b w:val="0"/>
                <w:bCs/>
                <w:i w:val="0"/>
                <w:iCs/>
                <w:color w:val="auto"/>
                <w:kern w:val="2"/>
                <w:sz w:val="21"/>
                <w:szCs w:val="21"/>
                <w:vertAlign w:val="baseline"/>
                <w:lang w:val="en-US" w:eastAsia="zh-CN" w:bidi="ar-SA"/>
              </w:rPr>
            </w:pPr>
            <w:r>
              <w:rPr>
                <w:rFonts w:hint="eastAsia" w:ascii="Times New Roman" w:hAnsi="Times New Roman"/>
                <w:b w:val="0"/>
                <w:bCs/>
                <w:i/>
                <w:iCs/>
                <w:color w:val="auto"/>
                <w:szCs w:val="21"/>
                <w:lang w:val="en-US" w:eastAsia="zh-CN"/>
              </w:rPr>
              <w:t>RPG</w:t>
            </w:r>
            <w:r>
              <w:rPr>
                <w:rFonts w:hint="eastAsia" w:ascii="Times New Roman" w:hAnsi="Times New Roman"/>
                <w:b w:val="0"/>
                <w:bCs/>
                <w:color w:val="auto"/>
                <w:szCs w:val="21"/>
                <w:vertAlign w:val="subscript"/>
                <w:lang w:val="en-US" w:eastAsia="zh-CN"/>
              </w:rPr>
              <w:t>7</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4.349</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5.423</w:t>
            </w:r>
          </w:p>
        </w:tc>
        <w:tc>
          <w:tcPr>
            <w:tcW w:w="1117" w:type="dxa"/>
            <w:tcBorders>
              <w:top w:val="nil"/>
              <w:left w:val="nil"/>
              <w:bottom w:val="single" w:color="auto" w:sz="4" w:space="0"/>
              <w:right w:val="nil"/>
            </w:tcBorders>
            <w:vAlign w:val="center"/>
          </w:tcPr>
          <w:p>
            <w:pPr>
              <w:keepNext w:val="0"/>
              <w:keepLines w:val="0"/>
              <w:widowControl/>
              <w:suppressLineNumbers w:val="0"/>
              <w:jc w:val="center"/>
              <w:textAlignment w:val="center"/>
              <w:rPr>
                <w:rFonts w:hint="default" w:hAnsi="Cambria Math" w:cs="Times New Roman"/>
                <w:b w:val="0"/>
                <w:bCs/>
                <w:i w:val="0"/>
                <w:iCs/>
                <w:color w:val="auto"/>
                <w:kern w:val="2"/>
                <w:sz w:val="21"/>
                <w:szCs w:val="21"/>
                <w:vertAlign w:val="baseline"/>
                <w:lang w:val="en-US" w:eastAsia="zh-CN" w:bidi="ar-SA"/>
              </w:rPr>
            </w:pPr>
            <w:r>
              <w:rPr>
                <w:rFonts w:hint="eastAsia" w:ascii="宋体" w:hAnsi="宋体" w:eastAsia="宋体" w:cs="宋体"/>
                <w:i w:val="0"/>
                <w:iCs w:val="0"/>
                <w:color w:val="000000"/>
                <w:kern w:val="0"/>
                <w:sz w:val="22"/>
                <w:szCs w:val="22"/>
                <w:u w:val="none"/>
                <w:lang w:val="en-US" w:eastAsia="zh-CN" w:bidi="ar"/>
              </w:rPr>
              <w:t>7.589</w:t>
            </w:r>
          </w:p>
        </w:tc>
      </w:tr>
    </w:tbl>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imes New Roman" w:hAnsi="Times New Roman"/>
          <w:color w:val="auto"/>
          <w:szCs w:val="21"/>
          <w:lang w:val="en-US" w:eastAsia="zh-CN"/>
        </w:rPr>
      </w:pPr>
      <w:r>
        <w:rPr>
          <w:rFonts w:hint="default" w:ascii="Times New Roman" w:hAnsi="Times New Roman"/>
          <w:color w:val="auto"/>
          <w:szCs w:val="21"/>
          <w:lang w:val="en-US" w:eastAsia="zh-CN"/>
        </w:rPr>
        <w:t>如表4 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从表中可看出，基于</w:t>
      </w:r>
      <w:r>
        <w:rPr>
          <w:rFonts w:hint="eastAsia" w:ascii="Times New Roman" w:hAnsi="Times New Roman"/>
          <w:color w:val="auto"/>
          <w:szCs w:val="21"/>
          <w:lang w:val="en-US" w:eastAsia="zh-CN"/>
        </w:rPr>
        <w:t>评价能力</w:t>
      </w:r>
      <w:r>
        <w:rPr>
          <w:rFonts w:hint="default" w:ascii="Times New Roman" w:hAnsi="Times New Roman"/>
          <w:color w:val="auto"/>
          <w:szCs w:val="21"/>
          <w:lang w:val="en-US" w:eastAsia="zh-CN"/>
        </w:rPr>
        <w:t>的</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w:t>
      </w:r>
      <w:r>
        <w:rPr>
          <w:rFonts w:hint="default" w:ascii="Times New Roman" w:hAnsi="Times New Roman"/>
          <w:color w:val="auto"/>
          <w:szCs w:val="21"/>
          <w:lang w:val="en-US" w:eastAsia="zh-CN"/>
        </w:rPr>
        <w:t>在3</w:t>
      </w:r>
      <w:r>
        <w:rPr>
          <w:rFonts w:hint="eastAsia" w:ascii="Times New Roman" w:hAnsi="Times New Roman"/>
          <w:color w:val="auto"/>
          <w:szCs w:val="21"/>
          <w:lang w:val="en-US" w:eastAsia="zh-CN"/>
        </w:rPr>
        <w:t>门课程</w:t>
      </w:r>
      <w:r>
        <w:rPr>
          <w:rFonts w:hint="default" w:ascii="Times New Roman" w:hAnsi="Times New Roman"/>
          <w:color w:val="auto"/>
          <w:szCs w:val="21"/>
          <w:lang w:val="en-US" w:eastAsia="zh-CN"/>
        </w:rPr>
        <w:t>中的最大评分偏差是最小的，说明</w:t>
      </w:r>
      <w:r>
        <w:rPr>
          <w:rFonts w:hint="eastAsia" w:ascii="Times New Roman" w:hAnsi="Times New Roman"/>
          <w:color w:val="auto"/>
          <w:szCs w:val="21"/>
          <w:lang w:val="en-US" w:eastAsia="zh-CN"/>
        </w:rPr>
        <w:t>在学生的可靠性建模中，评价能力确实比真实分数具有更好的效果。</w:t>
      </w:r>
    </w:p>
    <w:p>
      <w:pPr>
        <w:pStyle w:val="22"/>
        <w:ind w:firstLine="0" w:firstLineChars="0"/>
        <w:rPr>
          <w:rFonts w:hint="default" w:ascii="Times New Roman" w:hAnsi="Times New Roman" w:eastAsia="宋体"/>
          <w:color w:val="auto"/>
          <w:szCs w:val="21"/>
          <w:lang w:val="en-US" w:eastAsia="zh-CN"/>
        </w:rPr>
      </w:pPr>
      <w:r>
        <w:rPr>
          <w:rFonts w:hint="eastAsia" w:ascii="Times New Roman" w:hAnsi="Times New Roman"/>
          <w:color w:val="auto"/>
          <w:szCs w:val="21"/>
          <w:lang w:val="en-US" w:eastAsia="zh-CN"/>
        </w:rPr>
        <w:t>3</w:t>
      </w:r>
      <w:r>
        <w:rPr>
          <w:rFonts w:hint="eastAsia" w:ascii="Times New Roman" w:hAnsi="Times New Roman"/>
          <w:color w:val="auto"/>
          <w:szCs w:val="21"/>
        </w:rPr>
        <w:t>.</w:t>
      </w:r>
      <w:r>
        <w:rPr>
          <w:rFonts w:hint="eastAsia" w:ascii="Times New Roman" w:hAnsi="Times New Roman"/>
          <w:color w:val="auto"/>
          <w:szCs w:val="21"/>
          <w:lang w:val="en-US" w:eastAsia="zh-CN"/>
        </w:rPr>
        <w:t>4</w:t>
      </w:r>
      <w:r>
        <w:rPr>
          <w:rFonts w:hint="eastAsia" w:ascii="Times New Roman" w:hAnsi="Times New Roman"/>
          <w:color w:val="auto"/>
          <w:szCs w:val="21"/>
        </w:rPr>
        <w:t>.</w:t>
      </w:r>
      <w:r>
        <w:rPr>
          <w:rFonts w:hint="eastAsia" w:ascii="Times New Roman" w:hAnsi="Times New Roman"/>
          <w:color w:val="auto"/>
          <w:szCs w:val="21"/>
          <w:lang w:val="en-US" w:eastAsia="zh-CN"/>
        </w:rPr>
        <w:t>3 同行互评汇总技术的超参数敏感性</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imes New Roman" w:hAnsi="Times New Roman"/>
          <w:color w:val="auto"/>
          <w:szCs w:val="21"/>
          <w:lang w:val="en-US" w:eastAsia="zh-CN"/>
        </w:rPr>
      </w:pPr>
      <w:r>
        <w:rPr>
          <w:rFonts w:hint="default" w:ascii="Times New Roman" w:hAnsi="Times New Roman"/>
          <w:color w:val="auto"/>
          <w:szCs w:val="21"/>
          <w:lang w:val="en-US" w:eastAsia="zh-CN"/>
        </w:rPr>
        <w:t xml:space="preserve"> 为了</w:t>
      </w:r>
      <w:r>
        <w:rPr>
          <w:rFonts w:hint="eastAsia" w:ascii="Times New Roman" w:hAnsi="Times New Roman"/>
          <w:color w:val="auto"/>
          <w:szCs w:val="21"/>
          <w:lang w:val="en-US" w:eastAsia="zh-CN"/>
        </w:rPr>
        <w:t>展示</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6</w:t>
      </w:r>
      <w:r>
        <w:rPr>
          <w:rFonts w:hint="default" w:ascii="Times New Roman" w:hAnsi="Times New Roman"/>
          <w:color w:val="auto"/>
          <w:szCs w:val="21"/>
          <w:lang w:val="en-US" w:eastAsia="zh-CN"/>
        </w:rPr>
        <w:t>和</w:t>
      </w:r>
      <w:r>
        <w:rPr>
          <w:rFonts w:hint="eastAsia" w:ascii="Times New Roman" w:hAnsi="Times New Roman"/>
          <w:i/>
          <w:iCs/>
          <w:color w:val="auto"/>
          <w:szCs w:val="21"/>
          <w:lang w:val="en-US" w:eastAsia="zh-CN"/>
        </w:rPr>
        <w:t>RPG</w:t>
      </w:r>
      <w:r>
        <w:rPr>
          <w:rFonts w:hint="eastAsia" w:ascii="Times New Roman" w:hAnsi="Times New Roman"/>
          <w:color w:val="auto"/>
          <w:szCs w:val="21"/>
          <w:vertAlign w:val="subscript"/>
          <w:lang w:val="en-US" w:eastAsia="zh-CN"/>
        </w:rPr>
        <w:t>7</w:t>
      </w:r>
      <w:r>
        <w:rPr>
          <w:rFonts w:hint="eastAsia" w:ascii="Times New Roman" w:hAnsi="Times New Roman"/>
          <w:color w:val="auto"/>
          <w:szCs w:val="21"/>
          <w:vertAlign w:val="baseline"/>
          <w:lang w:val="en-US" w:eastAsia="zh-CN"/>
        </w:rPr>
        <w:t>模型中</w:t>
      </w:r>
      <w:r>
        <w:rPr>
          <w:rFonts w:hint="default" w:ascii="Times New Roman" w:hAnsi="Times New Roman"/>
          <w:color w:val="auto"/>
          <w:szCs w:val="21"/>
          <w:lang w:val="en-US" w:eastAsia="zh-CN"/>
        </w:rPr>
        <w:t>的超参数超参数</w:t>
      </w:r>
      <w:r>
        <w:rPr>
          <w:rFonts w:hint="eastAsia" w:ascii="Times New Roman" w:hAnsi="Times New Roman"/>
          <w:color w:val="auto"/>
          <w:szCs w:val="21"/>
          <w:lang w:val="en-US" w:eastAsia="zh-CN"/>
        </w:rPr>
        <w:t>对估计结果</w:t>
      </w:r>
      <w:r>
        <w:rPr>
          <w:rFonts w:hint="default" w:ascii="Times New Roman" w:hAnsi="Times New Roman"/>
          <w:color w:val="auto"/>
          <w:szCs w:val="21"/>
          <w:lang w:val="en-US" w:eastAsia="zh-CN"/>
        </w:rPr>
        <w:t>的影响</w:t>
      </w:r>
      <w:r>
        <w:rPr>
          <w:rFonts w:hint="eastAsia" w:ascii="Times New Roman" w:hAnsi="Times New Roman"/>
          <w:color w:val="auto"/>
          <w:szCs w:val="21"/>
          <w:lang w:val="en-US" w:eastAsia="zh-CN"/>
        </w:rPr>
        <w:t>，实验</w:t>
      </w:r>
      <w:r>
        <w:rPr>
          <w:rFonts w:hint="default" w:ascii="Times New Roman" w:hAnsi="Times New Roman"/>
          <w:color w:val="auto"/>
          <w:szCs w:val="21"/>
          <w:lang w:val="en-US" w:eastAsia="zh-CN"/>
        </w:rPr>
        <w:t>采取</w:t>
      </w:r>
      <w:r>
        <w:rPr>
          <w:rFonts w:hint="eastAsia" w:ascii="Times New Roman" w:hAnsi="Times New Roman"/>
          <w:color w:val="auto"/>
          <w:szCs w:val="21"/>
          <w:lang w:val="en-US" w:eastAsia="zh-CN"/>
        </w:rPr>
        <w:t>了</w:t>
      </w:r>
      <w:r>
        <w:rPr>
          <w:rFonts w:hint="default" w:ascii="Times New Roman" w:hAnsi="Times New Roman"/>
          <w:color w:val="auto"/>
          <w:szCs w:val="21"/>
          <w:lang w:val="en-US" w:eastAsia="zh-CN"/>
        </w:rPr>
        <w:t>固定其他超参数值的策略并对</w:t>
      </w:r>
      <w:r>
        <w:rPr>
          <w:rFonts w:hint="eastAsia" w:ascii="Times New Roman" w:hAnsi="Times New Roman"/>
          <w:color w:val="auto"/>
          <w:szCs w:val="21"/>
          <w:lang w:val="en-US" w:eastAsia="zh-CN"/>
        </w:rPr>
        <w:t>可靠性建模的</w:t>
      </w:r>
      <m:oMath>
        <m:r>
          <m:rPr/>
          <w:rPr>
            <w:rFonts w:hint="default" w:ascii="Cambria Math" w:hAnsi="Cambria Math"/>
            <w:color w:val="auto"/>
            <w:szCs w:val="21"/>
            <w:lang w:val="en-US"/>
          </w:rPr>
          <m:t>β</m:t>
        </m:r>
      </m:oMath>
      <w:r>
        <w:rPr>
          <w:rFonts w:hint="default" w:ascii="Times New Roman" w:hAnsi="Times New Roman"/>
          <w:color w:val="auto"/>
          <w:szCs w:val="21"/>
          <w:lang w:val="en-US" w:eastAsia="zh-CN"/>
        </w:rPr>
        <w:t>超参数进行了实验分析</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在实验中为了测试模型的敏感性，将</w:t>
      </w:r>
      <w:r>
        <w:rPr>
          <w:rFonts w:hint="eastAsia" w:ascii="Times New Roman" w:hAnsi="Times New Roman"/>
          <w:color w:val="auto"/>
          <w:szCs w:val="21"/>
          <w:lang w:val="en-US" w:eastAsia="zh-CN"/>
        </w:rPr>
        <w:t>两个模型</w:t>
      </w:r>
      <w:r>
        <w:rPr>
          <w:rFonts w:hint="default" w:ascii="Times New Roman" w:hAnsi="Times New Roman"/>
          <w:color w:val="auto"/>
          <w:szCs w:val="21"/>
          <w:lang w:val="en-US" w:eastAsia="zh-CN"/>
        </w:rPr>
        <w:t>中的超参数设置在 ［1</w:t>
      </w:r>
      <w:r>
        <w:rPr>
          <w:rFonts w:hint="eastAsia" w:ascii="Times New Roman" w:hAnsi="Times New Roman"/>
          <w:color w:val="auto"/>
          <w:szCs w:val="21"/>
          <w:lang w:val="en-US" w:eastAsia="zh-CN"/>
        </w:rPr>
        <w:t>00，7</w:t>
      </w:r>
      <w:r>
        <w:rPr>
          <w:rFonts w:hint="default" w:ascii="Times New Roman" w:hAnsi="Times New Roman"/>
          <w:color w:val="auto"/>
          <w:szCs w:val="21"/>
          <w:lang w:val="en-US" w:eastAsia="zh-CN"/>
        </w:rPr>
        <w:t>00］范围内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以</w:t>
      </w:r>
      <w:r>
        <w:rPr>
          <w:rFonts w:hint="eastAsia" w:ascii="Times New Roman" w:hAnsi="Times New Roman"/>
          <w:color w:val="auto"/>
          <w:szCs w:val="21"/>
          <w:lang w:val="en-US" w:eastAsia="zh-CN"/>
        </w:rPr>
        <w:t>100</w:t>
      </w:r>
      <w:r>
        <w:rPr>
          <w:rFonts w:hint="default" w:ascii="Times New Roman" w:hAnsi="Times New Roman"/>
          <w:color w:val="auto"/>
          <w:szCs w:val="21"/>
          <w:lang w:val="en-US" w:eastAsia="zh-CN"/>
        </w:rPr>
        <w:t>为步长变化</w:t>
      </w:r>
      <w:r>
        <w:rPr>
          <w:rFonts w:hint="eastAsia" w:ascii="Times New Roman" w:hAnsi="Times New Roman"/>
          <w:color w:val="auto"/>
          <w:szCs w:val="21"/>
          <w:lang w:val="en-US" w:eastAsia="zh-CN"/>
        </w:rPr>
        <w:t>，得到</w:t>
      </w:r>
      <w:r>
        <w:rPr>
          <w:rFonts w:hint="default" w:ascii="Times New Roman" w:hAnsi="Times New Roman"/>
          <w:color w:val="auto"/>
          <w:szCs w:val="21"/>
          <w:lang w:val="en-US" w:eastAsia="zh-CN"/>
        </w:rPr>
        <w:t>实验结果如图4</w:t>
      </w:r>
      <w:r>
        <w:rPr>
          <w:rFonts w:hint="eastAsia" w:ascii="Times New Roman" w:hAnsi="Times New Roman"/>
          <w:color w:val="auto"/>
          <w:szCs w:val="21"/>
          <w:lang w:val="en-US" w:eastAsia="zh-CN"/>
        </w:rPr>
        <w:t>和图5</w:t>
      </w:r>
      <w:r>
        <w:rPr>
          <w:rFonts w:hint="default" w:ascii="Times New Roman" w:hAnsi="Times New Roman"/>
          <w:color w:val="auto"/>
          <w:szCs w:val="21"/>
          <w:lang w:val="en-US" w:eastAsia="zh-CN"/>
        </w:rPr>
        <w:t>所示</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图4和图5的结果表明</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在合理的取值范围内</w:t>
      </w:r>
      <w:r>
        <w:rPr>
          <w:rFonts w:hint="eastAsia" w:ascii="Times New Roman" w:hAnsi="Times New Roman"/>
          <w:color w:val="auto"/>
          <w:szCs w:val="21"/>
          <w:lang w:val="en-US" w:eastAsia="zh-CN"/>
        </w:rPr>
        <w:t>，</w:t>
      </w:r>
      <w:r>
        <w:rPr>
          <w:rFonts w:hint="default" w:ascii="Times New Roman" w:hAnsi="Times New Roman"/>
          <w:color w:val="auto"/>
          <w:szCs w:val="21"/>
          <w:lang w:val="en-US" w:eastAsia="zh-CN"/>
        </w:rPr>
        <w:t>这两种技术对超参数值具有鲁棒性，它们对作业真实分数的估计误差都控制在可接受的范围</w:t>
      </w:r>
      <w:r>
        <w:rPr>
          <w:rFonts w:hint="eastAsia" w:ascii="Times New Roman" w:hAnsi="Times New Roman"/>
          <w:color w:val="auto"/>
          <w:szCs w:val="21"/>
          <w:lang w:val="en-US" w:eastAsia="zh-CN"/>
        </w:rPr>
        <w:t>。</w:t>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pPr>
      <w:r>
        <w:drawing>
          <wp:inline distT="0" distB="0" distL="114300" distR="114300">
            <wp:extent cx="2694305" cy="1757045"/>
            <wp:effectExtent l="0" t="0" r="31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2694305" cy="1757045"/>
                    </a:xfrm>
                    <a:prstGeom prst="rect">
                      <a:avLst/>
                    </a:prstGeom>
                    <a:noFill/>
                    <a:ln>
                      <a:noFill/>
                    </a:ln>
                  </pic:spPr>
                </pic:pic>
              </a:graphicData>
            </a:graphic>
          </wp:inline>
        </w:drawing>
      </w:r>
    </w:p>
    <w:p>
      <w:pPr>
        <w:pStyle w:val="22"/>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drawing>
          <wp:inline distT="0" distB="0" distL="114300" distR="114300">
            <wp:extent cx="2696210" cy="1758950"/>
            <wp:effectExtent l="0" t="0" r="127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2696210" cy="1758950"/>
                    </a:xfrm>
                    <a:prstGeom prst="rect">
                      <a:avLst/>
                    </a:prstGeom>
                    <a:noFill/>
                    <a:ln>
                      <a:noFill/>
                    </a:ln>
                  </pic:spPr>
                </pic:pic>
              </a:graphicData>
            </a:graphic>
          </wp:inline>
        </w:drawing>
      </w:r>
    </w:p>
    <w:p>
      <w:pPr>
        <w:pStyle w:val="22"/>
        <w:rPr>
          <w:rFonts w:hint="eastAsia" w:ascii="Times New Roman" w:hAnsi="Times New Roman"/>
          <w:color w:val="auto"/>
          <w:szCs w:val="21"/>
        </w:rPr>
      </w:pPr>
      <w:r>
        <w:rPr>
          <w:rFonts w:ascii="宋体" w:hAnsi="宋体"/>
          <w:color w:val="auto"/>
          <w:szCs w:val="21"/>
        </w:rPr>
        <w:t>……</w:t>
      </w:r>
    </w:p>
    <w:p>
      <w:pPr>
        <w:pStyle w:val="22"/>
        <w:spacing w:line="360" w:lineRule="auto"/>
        <w:ind w:firstLine="0" w:firstLineChars="0"/>
        <w:rPr>
          <w:rFonts w:ascii="Times New Roman" w:hAnsi="Times New Roman"/>
          <w:b/>
          <w:color w:val="auto"/>
          <w:sz w:val="28"/>
          <w:szCs w:val="28"/>
        </w:rPr>
      </w:pPr>
      <w:r>
        <w:rPr>
          <w:rFonts w:hint="eastAsia" w:ascii="Times New Roman" w:hAnsi="Times New Roman"/>
          <w:b/>
          <w:color w:val="auto"/>
          <w:sz w:val="28"/>
          <w:szCs w:val="28"/>
        </w:rPr>
        <w:t>4结论</w:t>
      </w:r>
    </w:p>
    <w:p>
      <w:pPr>
        <w:rPr>
          <w:rFonts w:hint="eastAsia"/>
          <w:b/>
          <w:color w:val="auto"/>
          <w:sz w:val="28"/>
          <w:szCs w:val="28"/>
        </w:rPr>
      </w:pPr>
      <w:r>
        <w:rPr>
          <w:rFonts w:hint="eastAsia"/>
          <w:color w:val="auto"/>
          <w:szCs w:val="21"/>
        </w:rPr>
        <w:t>（应该是最终的、总体的结论，而不应是正文中各段小结的简单重复。应准确、完整、明确、精炼。如果不可能导出应有的结论，也可以没有结论而进行必要的讨论。可以在结论或讨论中提出建议、研究设想、仪器设备改进意见、尚待解决的问题等。）</w:t>
      </w:r>
    </w:p>
    <w:p>
      <w:pPr>
        <w:pStyle w:val="22"/>
        <w:rPr>
          <w:rFonts w:ascii="宋体" w:hAnsi="宋体"/>
          <w:color w:val="auto"/>
          <w:szCs w:val="21"/>
        </w:rPr>
        <w:sectPr>
          <w:type w:val="continuous"/>
          <w:pgSz w:w="11906" w:h="16838"/>
          <w:pgMar w:top="1440" w:right="1416" w:bottom="1440" w:left="1560" w:header="851" w:footer="992" w:gutter="0"/>
          <w:cols w:equalWidth="0" w:num="2">
            <w:col w:w="4252" w:space="425"/>
            <w:col w:w="4252"/>
          </w:cols>
          <w:docGrid w:type="lines" w:linePitch="312" w:charSpace="0"/>
        </w:sectPr>
      </w:pPr>
    </w:p>
    <w:p>
      <w:pPr>
        <w:pStyle w:val="22"/>
        <w:rPr>
          <w:rFonts w:hint="eastAsia" w:ascii="Times New Roman" w:hAnsi="Times New Roman"/>
          <w:color w:val="auto"/>
          <w:szCs w:val="21"/>
        </w:rPr>
      </w:pPr>
      <w:r>
        <w:rPr>
          <w:rFonts w:ascii="宋体" w:hAnsi="宋体"/>
          <w:color w:val="auto"/>
          <w:szCs w:val="21"/>
        </w:rPr>
        <w:t>……</w:t>
      </w:r>
    </w:p>
    <w:p>
      <w:pPr>
        <w:adjustRightInd w:val="0"/>
        <w:snapToGrid w:val="0"/>
        <w:rPr>
          <w:rFonts w:hint="eastAsia"/>
          <w:color w:val="auto"/>
          <w:szCs w:val="21"/>
        </w:rPr>
      </w:pPr>
    </w:p>
    <w:p>
      <w:pPr>
        <w:adjustRightInd w:val="0"/>
        <w:snapToGrid w:val="0"/>
        <w:rPr>
          <w:b/>
          <w:color w:val="auto"/>
          <w:szCs w:val="21"/>
        </w:rPr>
      </w:pPr>
      <w:r>
        <w:rPr>
          <w:rFonts w:hint="eastAsia"/>
          <w:b/>
          <w:color w:val="auto"/>
          <w:szCs w:val="21"/>
        </w:rPr>
        <w:t>参考文献：</w:t>
      </w:r>
    </w:p>
    <w:p>
      <w:pPr>
        <w:rPr>
          <w:rFonts w:hint="eastAsia"/>
          <w:color w:val="auto"/>
          <w:szCs w:val="21"/>
        </w:rPr>
      </w:pPr>
      <w:r>
        <w:rPr>
          <w:rFonts w:hint="eastAsia"/>
          <w:color w:val="auto"/>
          <w:szCs w:val="21"/>
        </w:rPr>
        <w:t>英文作者姓名，姓在前（全大写），名在后（只写第一个字母，且大写），例如</w:t>
      </w:r>
      <w:r>
        <w:rPr>
          <w:color w:val="auto"/>
          <w:szCs w:val="21"/>
        </w:rPr>
        <w:t>“ZHANG Xiaohua”</w:t>
      </w:r>
      <w:r>
        <w:rPr>
          <w:rFonts w:hint="eastAsia"/>
          <w:color w:val="auto"/>
          <w:szCs w:val="21"/>
        </w:rPr>
        <w:t>应写成</w:t>
      </w:r>
      <w:r>
        <w:rPr>
          <w:color w:val="auto"/>
          <w:szCs w:val="21"/>
        </w:rPr>
        <w:t>“ZHANG X H”</w:t>
      </w:r>
      <w:r>
        <w:rPr>
          <w:rFonts w:hint="eastAsia"/>
          <w:color w:val="auto"/>
          <w:szCs w:val="21"/>
        </w:rPr>
        <w:t>，</w:t>
      </w:r>
      <w:r>
        <w:rPr>
          <w:color w:val="auto"/>
          <w:szCs w:val="21"/>
        </w:rPr>
        <w:t xml:space="preserve">“David William Russell” </w:t>
      </w:r>
      <w:r>
        <w:rPr>
          <w:rFonts w:hint="eastAsia"/>
          <w:color w:val="auto"/>
          <w:szCs w:val="21"/>
        </w:rPr>
        <w:t>应写成</w:t>
      </w:r>
      <w:r>
        <w:rPr>
          <w:color w:val="auto"/>
          <w:szCs w:val="21"/>
        </w:rPr>
        <w:t>“RUSSELL D W”</w:t>
      </w:r>
      <w:r>
        <w:rPr>
          <w:rFonts w:hint="eastAsia"/>
          <w:color w:val="auto"/>
          <w:szCs w:val="21"/>
        </w:rPr>
        <w:t>；英文题目只有第一个字母用大写，其余都用小写，专有名词除外，如</w:t>
      </w:r>
      <w:r>
        <w:rPr>
          <w:color w:val="auto"/>
          <w:szCs w:val="21"/>
        </w:rPr>
        <w:t>China</w:t>
      </w:r>
      <w:r>
        <w:rPr>
          <w:rFonts w:hint="eastAsia"/>
          <w:color w:val="auto"/>
          <w:szCs w:val="21"/>
        </w:rPr>
        <w:t>；英文出版社，出版地，期刊名，实词的第一个字母大写，虚词全部小写。</w:t>
      </w:r>
    </w:p>
    <w:p>
      <w:pPr>
        <w:rPr>
          <w:rFonts w:hint="eastAsia"/>
          <w:color w:val="auto"/>
          <w:szCs w:val="21"/>
        </w:rPr>
      </w:pPr>
    </w:p>
    <w:p>
      <w:pPr>
        <w:adjustRightInd w:val="0"/>
        <w:snapToGrid w:val="0"/>
        <w:rPr>
          <w:rFonts w:hint="eastAsia"/>
          <w:b/>
          <w:color w:val="auto"/>
          <w:szCs w:val="21"/>
        </w:rPr>
      </w:pPr>
    </w:p>
    <w:p>
      <w:pPr>
        <w:autoSpaceDE w:val="0"/>
        <w:autoSpaceDN w:val="0"/>
        <w:adjustRightInd w:val="0"/>
        <w:snapToGrid w:val="0"/>
        <w:jc w:val="left"/>
        <w:rPr>
          <w:rFonts w:hint="eastAsia"/>
          <w:color w:val="auto"/>
          <w:kern w:val="0"/>
          <w:sz w:val="18"/>
          <w:szCs w:val="18"/>
        </w:rPr>
      </w:pPr>
      <w:r>
        <w:rPr>
          <w:rFonts w:hint="eastAsia"/>
          <w:color w:val="auto"/>
          <w:kern w:val="0"/>
          <w:sz w:val="18"/>
          <w:szCs w:val="18"/>
        </w:rPr>
        <w:t xml:space="preserve">[1] </w:t>
      </w:r>
      <w:r>
        <w:rPr>
          <w:color w:val="auto"/>
          <w:kern w:val="0"/>
          <w:sz w:val="18"/>
          <w:szCs w:val="18"/>
        </w:rPr>
        <w:t>温远光. 桉树生态、社会问题与科学发展[M]. 北京:中国林业出版社</w:t>
      </w:r>
      <w:r>
        <w:rPr>
          <w:rFonts w:hint="eastAsia"/>
          <w:color w:val="auto"/>
          <w:kern w:val="0"/>
          <w:sz w:val="18"/>
          <w:szCs w:val="18"/>
        </w:rPr>
        <w:t>，</w:t>
      </w:r>
      <w:r>
        <w:rPr>
          <w:color w:val="auto"/>
          <w:kern w:val="0"/>
          <w:sz w:val="18"/>
          <w:szCs w:val="18"/>
        </w:rPr>
        <w:t>2008</w:t>
      </w:r>
      <w:r>
        <w:rPr>
          <w:rFonts w:hint="eastAsia"/>
          <w:color w:val="auto"/>
          <w:kern w:val="0"/>
          <w:sz w:val="18"/>
          <w:szCs w:val="18"/>
        </w:rPr>
        <w:t>.</w:t>
      </w:r>
    </w:p>
    <w:p>
      <w:pPr>
        <w:adjustRightInd w:val="0"/>
        <w:snapToGrid w:val="0"/>
        <w:rPr>
          <w:rFonts w:hint="eastAsia"/>
          <w:color w:val="auto"/>
          <w:sz w:val="18"/>
          <w:szCs w:val="18"/>
        </w:rPr>
      </w:pPr>
      <w:r>
        <w:rPr>
          <w:rFonts w:hint="eastAsia"/>
          <w:color w:val="auto"/>
          <w:sz w:val="18"/>
          <w:szCs w:val="18"/>
        </w:rPr>
        <w:t>[2] 李国雷，刘勇，于海群，等. 油松人工林下植被发育对油松生长节律的响应</w:t>
      </w:r>
      <w:r>
        <w:rPr>
          <w:color w:val="auto"/>
          <w:kern w:val="0"/>
          <w:sz w:val="18"/>
          <w:szCs w:val="18"/>
        </w:rPr>
        <w:t>[J]</w:t>
      </w:r>
      <w:r>
        <w:rPr>
          <w:rFonts w:hint="eastAsia"/>
          <w:color w:val="auto"/>
          <w:sz w:val="18"/>
          <w:szCs w:val="18"/>
        </w:rPr>
        <w:t>.生态学报，2009，29(3)：1264-1275.</w:t>
      </w:r>
    </w:p>
    <w:p>
      <w:pPr>
        <w:autoSpaceDE w:val="0"/>
        <w:autoSpaceDN w:val="0"/>
        <w:adjustRightInd w:val="0"/>
        <w:ind w:left="270" w:hanging="270" w:hangingChars="150"/>
        <w:jc w:val="left"/>
        <w:rPr>
          <w:rFonts w:hint="eastAsia"/>
          <w:color w:val="auto"/>
          <w:sz w:val="18"/>
          <w:szCs w:val="18"/>
        </w:rPr>
      </w:pPr>
      <w:r>
        <w:rPr>
          <w:rFonts w:eastAsia="B4+CAJ FNT00"/>
          <w:color w:val="auto"/>
          <w:kern w:val="0"/>
          <w:sz w:val="18"/>
          <w:szCs w:val="18"/>
        </w:rPr>
        <w:t xml:space="preserve">[3] WEN </w:t>
      </w:r>
      <w:r>
        <w:rPr>
          <w:color w:val="auto"/>
          <w:sz w:val="18"/>
          <w:szCs w:val="18"/>
        </w:rPr>
        <w:t>Y G，YE D，CHEN F，et al. The changes of understory plant diversity in continuous cropping system of Eucalyptus plantations, South China[J]. Journal of Forest Research, 2010,15(4):252-258.</w:t>
      </w:r>
    </w:p>
    <w:p>
      <w:pPr>
        <w:ind w:left="420" w:hanging="420"/>
        <w:rPr>
          <w:color w:val="auto"/>
          <w:sz w:val="18"/>
          <w:szCs w:val="18"/>
          <w:lang w:val="pt-BR"/>
        </w:rPr>
      </w:pPr>
      <w:r>
        <w:rPr>
          <w:rFonts w:hint="eastAsia"/>
          <w:color w:val="auto"/>
          <w:sz w:val="18"/>
          <w:szCs w:val="18"/>
          <w:lang w:val="pt-BR"/>
        </w:rPr>
        <w:t>[4]</w:t>
      </w:r>
      <w:r>
        <w:rPr>
          <w:color w:val="auto"/>
          <w:sz w:val="18"/>
          <w:szCs w:val="18"/>
          <w:lang w:val="pt-BR"/>
        </w:rPr>
        <w:t xml:space="preserve"> </w:t>
      </w:r>
      <w:bookmarkStart w:id="0" w:name="OLE_LINK7"/>
      <w:bookmarkStart w:id="1" w:name="OLE_LINK8"/>
      <w:r>
        <w:rPr>
          <w:rFonts w:hint="eastAsia"/>
          <w:color w:val="auto"/>
          <w:sz w:val="18"/>
          <w:szCs w:val="18"/>
          <w:lang w:val="pt-BR"/>
        </w:rPr>
        <w:t>上海材料研究所.</w:t>
      </w:r>
      <w:r>
        <w:rPr>
          <w:color w:val="auto"/>
          <w:sz w:val="18"/>
          <w:szCs w:val="18"/>
          <w:lang w:val="pt-BR"/>
        </w:rPr>
        <w:t xml:space="preserve">GB/T 16421—1996  </w:t>
      </w:r>
      <w:r>
        <w:rPr>
          <w:rFonts w:hint="eastAsia"/>
          <w:color w:val="auto"/>
          <w:sz w:val="18"/>
          <w:szCs w:val="18"/>
          <w:lang w:val="pt-BR"/>
        </w:rPr>
        <w:t>塑料 拉伸性能小试样试验方法</w:t>
      </w:r>
      <w:bookmarkEnd w:id="0"/>
      <w:bookmarkEnd w:id="1"/>
      <w:r>
        <w:rPr>
          <w:rFonts w:hint="eastAsia"/>
          <w:color w:val="auto"/>
          <w:sz w:val="18"/>
          <w:szCs w:val="18"/>
          <w:lang w:val="pt-BR"/>
        </w:rPr>
        <w:t>[</w:t>
      </w:r>
      <w:r>
        <w:rPr>
          <w:color w:val="auto"/>
          <w:sz w:val="18"/>
          <w:szCs w:val="18"/>
          <w:lang w:val="pt-BR"/>
        </w:rPr>
        <w:t>S].</w:t>
      </w:r>
      <w:r>
        <w:rPr>
          <w:rFonts w:hint="eastAsia"/>
          <w:color w:val="auto"/>
          <w:sz w:val="18"/>
          <w:szCs w:val="18"/>
          <w:lang w:val="pt-BR"/>
        </w:rPr>
        <w:t xml:space="preserve"> 北京：中国标准出版社，1997.</w:t>
      </w:r>
    </w:p>
    <w:p>
      <w:pPr>
        <w:widowControl/>
        <w:contextualSpacing/>
        <w:rPr>
          <w:color w:val="auto"/>
          <w:sz w:val="18"/>
          <w:szCs w:val="18"/>
        </w:rPr>
      </w:pPr>
      <w:r>
        <w:rPr>
          <w:rFonts w:hint="eastAsia"/>
          <w:color w:val="auto"/>
          <w:sz w:val="18"/>
          <w:szCs w:val="18"/>
          <w:lang w:val="pt-BR"/>
        </w:rPr>
        <w:t xml:space="preserve">[5] </w:t>
      </w:r>
      <w:r>
        <w:rPr>
          <w:color w:val="auto"/>
          <w:sz w:val="18"/>
          <w:szCs w:val="18"/>
        </w:rPr>
        <w:t>曹青. 草酸青霉胞外β-葡萄糖苷酶多样性的研究[</w:t>
      </w:r>
      <w:r>
        <w:rPr>
          <w:rFonts w:hint="eastAsia"/>
          <w:color w:val="auto"/>
          <w:sz w:val="18"/>
          <w:szCs w:val="18"/>
        </w:rPr>
        <w:t>D</w:t>
      </w:r>
      <w:r>
        <w:rPr>
          <w:color w:val="auto"/>
          <w:sz w:val="18"/>
          <w:szCs w:val="18"/>
        </w:rPr>
        <w:t>].</w:t>
      </w:r>
      <w:r>
        <w:rPr>
          <w:rFonts w:hint="eastAsia"/>
          <w:color w:val="auto"/>
        </w:rPr>
        <w:t xml:space="preserve"> </w:t>
      </w:r>
      <w:r>
        <w:rPr>
          <w:rFonts w:hint="eastAsia"/>
          <w:color w:val="auto"/>
          <w:sz w:val="18"/>
          <w:szCs w:val="18"/>
        </w:rPr>
        <w:t>济南：</w:t>
      </w:r>
      <w:r>
        <w:rPr>
          <w:color w:val="auto"/>
          <w:sz w:val="18"/>
          <w:szCs w:val="18"/>
        </w:rPr>
        <w:t>山东大学</w:t>
      </w:r>
      <w:r>
        <w:rPr>
          <w:rFonts w:hint="eastAsia"/>
          <w:color w:val="auto"/>
          <w:sz w:val="18"/>
          <w:szCs w:val="18"/>
        </w:rPr>
        <w:t>，</w:t>
      </w:r>
      <w:r>
        <w:rPr>
          <w:color w:val="auto"/>
          <w:sz w:val="18"/>
          <w:szCs w:val="18"/>
        </w:rPr>
        <w:t>2014.</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Caragiannis I, Krimpas G A, Voudouris A A. Aggregating partial rankings with applications to peer grading in massive online open courses[J]. arXiv preprint arXiv:1411.4619, 2014.</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Paré D E, Joordens S. Peering into large lectures: examining peer and expert mark agreement using peerScholar, an online peer assessment tool[J]. Journal of Computer Assisted Learning, 2008, 24(6): 526-540.</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Chang S C, Hsu T C, Jong M S Y. Integration of the peer assessment approach with a virtual reality design system for learning earth science[J]. Computers &amp; Education, 2020, 146: 103758.</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Hovardas T, Tsivitanidou O E, Zacharia Z C. Peer versus expert feedback: An investigation of the quality of peer feedback among secondary school students[J]. Computers &amp; Education, 2014, 71: 133-152.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Li L, Liu X, Steckelberg A L. Assessor or assessee: How student learning improves by giving and receiving peer feedback[J]. British journal of educational technology, 2010, 41(3): 525-536.</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de Alfaro L, Shavlovsky M. Dynamics of peer grading: An empirical study[J]. 2021.</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Capuano N, Caballé S. Towards adaptive peer assessment for MOOCs[C]//2015 10th International Conference on P2P, Parallel, Grid, Cloud and Internet Computing (3PGCIC). IEEE, 2015: 64-69.</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Bradley R A, Terry M E. Rank analysis of incomplete block designs: I. The method of paired comparisons[J]. Biometrika, 1952, 39(3/4): 324-345.</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Shah N B, Bradley J K, Parekh A, et al. A case for ordinal peer-evaluation in MOOCs[C]//NIPS workshop on data driven education. 2013, 15: 67.</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Plackett R L. The analysis of permutations[J]. Journal of the Royal Statistical Society: Series C (Applied Statistics), 1975, 24(2): 193-202.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Bradley R A, Terry M E. Rank analysis of incomplete block designs: I. The method of paired comparisons[J]. Biometrika, 1952, 39(3/4): 324-345.</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Thurstone L L. The method of paired comparisons for social values[J]. The Journal of Abnormal and Social Psychology, 1927, 21(4): 384.</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Plackett R L. The analysis of permutations[J]. Journal of the Royal Statistical Society: Series C (Applied Statistics), 1975, 24(2): 193-202.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Capuano N, Loia V, Orciuoli F. A fuzzy group decision making model for ordinal peer assessment[J]. IEEE Transactions on Learning Technologies, 2016, 10(2): 247-259.</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Fang H, Wang Y, Jin Q, et al. RankwithTA: A robust and accurate peer grading mechanism for MOOCs[C]//2017 IEEE 6th International Conference on Teaching, Assessment, and Learning for Engineering (TALE). IEEE, 2017: 497-502.</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Wang Y, Fang H, Jin Q, et al. SSPA: An effective semi-supervised peer assessment method for large scale MOOCs[J]. Interactive Learning Environments, 2022, 30(1): 158-176.</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Piech C, Huang J, Chen Z, et al. Tuned models of peer assessment in MOOCs[J]. arXiv preprint arXiv:1307.2579, 2013.</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Mi F, Yeung D Y. Probabilistic graphical models for boosting cardinal and ordinal peer grading in MOOCs[C]//Twenty-Ninth AAAI Conference on Artificial Intelligence. 2015.</w:t>
      </w:r>
    </w:p>
    <w:p>
      <w:pPr>
        <w:numPr>
          <w:ilvl w:val="0"/>
          <w:numId w:val="2"/>
        </w:numPr>
        <w:autoSpaceDE w:val="0"/>
        <w:autoSpaceDN w:val="0"/>
        <w:adjustRightInd w:val="0"/>
        <w:ind w:left="454" w:leftChars="0" w:hanging="454" w:firstLineChars="0"/>
        <w:jc w:val="left"/>
        <w:rPr>
          <w:color w:val="auto"/>
          <w:sz w:val="18"/>
          <w:szCs w:val="18"/>
        </w:rPr>
      </w:pPr>
      <w:r>
        <w:rPr>
          <w:color w:val="auto"/>
          <w:sz w:val="18"/>
          <w:szCs w:val="18"/>
        </w:rPr>
        <w:t>Wang T, Jing X, Li Q, et al. Improving Peer Assessment Accuracy by Incorporating Relative Peer Grades[J]. International Educational Data Mining Society, 2019.</w:t>
      </w:r>
    </w:p>
    <w:p>
      <w:pPr>
        <w:widowControl/>
        <w:contextualSpacing/>
        <w:rPr>
          <w:rFonts w:ascii="Arial" w:hAnsi="Arial" w:eastAsia="宋体" w:cs="Arial"/>
          <w:i w:val="0"/>
          <w:iCs w:val="0"/>
          <w:caps w:val="0"/>
          <w:color w:val="222222"/>
          <w:spacing w:val="0"/>
          <w:sz w:val="15"/>
          <w:szCs w:val="15"/>
          <w:shd w:val="clear" w:fill="FFFFFF"/>
        </w:rPr>
      </w:pPr>
    </w:p>
    <w:p>
      <w:pPr>
        <w:widowControl/>
        <w:contextualSpacing/>
        <w:rPr>
          <w:rFonts w:hint="default" w:ascii="Arial" w:hAnsi="Arial" w:eastAsia="宋体" w:cs="Arial"/>
          <w:i w:val="0"/>
          <w:iCs w:val="0"/>
          <w:caps w:val="0"/>
          <w:color w:val="222222"/>
          <w:spacing w:val="0"/>
          <w:sz w:val="15"/>
          <w:szCs w:val="15"/>
          <w:shd w:val="clear" w:fill="FFFFFF"/>
          <w:lang w:val="en-US"/>
        </w:rPr>
      </w:pPr>
    </w:p>
    <w:p>
      <w:pPr>
        <w:rPr>
          <w:color w:val="auto"/>
          <w:sz w:val="18"/>
          <w:szCs w:val="18"/>
        </w:rPr>
      </w:pPr>
    </w:p>
    <w:p>
      <w:pPr>
        <w:rPr>
          <w:color w:val="auto"/>
          <w:sz w:val="18"/>
          <w:szCs w:val="18"/>
        </w:rPr>
      </w:pPr>
    </w:p>
    <w:p>
      <w:pPr>
        <w:rPr>
          <w:color w:val="auto"/>
          <w:sz w:val="18"/>
          <w:szCs w:val="18"/>
        </w:rPr>
      </w:pPr>
    </w:p>
    <w:p>
      <w:pPr>
        <w:rPr>
          <w:b/>
          <w:color w:val="auto"/>
          <w:sz w:val="30"/>
          <w:szCs w:val="30"/>
        </w:rPr>
      </w:pPr>
      <w:r>
        <w:rPr>
          <w:rFonts w:hint="eastAsia"/>
          <w:b/>
          <w:color w:val="auto"/>
          <w:sz w:val="30"/>
          <w:szCs w:val="30"/>
        </w:rPr>
        <w:t>Title</w:t>
      </w:r>
    </w:p>
    <w:p>
      <w:pPr>
        <w:rPr>
          <w:color w:val="auto"/>
          <w:szCs w:val="21"/>
        </w:rPr>
      </w:pPr>
      <w:r>
        <w:rPr>
          <w:color w:val="auto"/>
          <w:szCs w:val="21"/>
        </w:rPr>
        <w:t>（与中文一致，英文题目所有的实词第一个字母用大写，例如，“Study”；所有虚词用小写，例如“from”。）</w:t>
      </w:r>
    </w:p>
    <w:p>
      <w:pPr>
        <w:rPr>
          <w:color w:val="auto"/>
          <w:szCs w:val="21"/>
        </w:rPr>
      </w:pPr>
    </w:p>
    <w:p>
      <w:pPr>
        <w:rPr>
          <w:color w:val="auto"/>
          <w:szCs w:val="21"/>
        </w:rPr>
      </w:pPr>
      <w:r>
        <w:rPr>
          <w:color w:val="auto"/>
          <w:szCs w:val="21"/>
        </w:rPr>
        <w:t>Author</w:t>
      </w:r>
    </w:p>
    <w:p>
      <w:pPr>
        <w:rPr>
          <w:color w:val="auto"/>
          <w:szCs w:val="21"/>
        </w:rPr>
      </w:pPr>
      <w:r>
        <w:rPr>
          <w:color w:val="auto"/>
          <w:szCs w:val="21"/>
        </w:rPr>
        <w:t>（姓名之间用逗号隔开，拼音格式</w:t>
      </w:r>
      <w:r>
        <w:rPr>
          <w:rFonts w:hint="eastAsia"/>
          <w:color w:val="auto"/>
          <w:szCs w:val="21"/>
        </w:rPr>
        <w:t>姓</w:t>
      </w:r>
      <w:r>
        <w:rPr>
          <w:color w:val="auto"/>
          <w:szCs w:val="21"/>
        </w:rPr>
        <w:t>全大写，名首字母大写，如“ZHANG Xiaohua</w:t>
      </w:r>
      <w:r>
        <w:rPr>
          <w:rFonts w:hint="eastAsia"/>
          <w:color w:val="auto"/>
          <w:szCs w:val="21"/>
        </w:rPr>
        <w:t>，</w:t>
      </w:r>
      <w:r>
        <w:rPr>
          <w:color w:val="auto"/>
          <w:szCs w:val="21"/>
        </w:rPr>
        <w:t>OUYANG Xiaohua”。）</w:t>
      </w:r>
    </w:p>
    <w:p>
      <w:pPr>
        <w:rPr>
          <w:rFonts w:hint="eastAsia"/>
          <w:color w:val="auto"/>
          <w:szCs w:val="21"/>
        </w:rPr>
      </w:pPr>
    </w:p>
    <w:p>
      <w:pPr>
        <w:rPr>
          <w:color w:val="auto"/>
          <w:szCs w:val="21"/>
        </w:rPr>
      </w:pPr>
      <w:r>
        <w:rPr>
          <w:rFonts w:hint="eastAsia"/>
          <w:color w:val="auto"/>
          <w:szCs w:val="21"/>
        </w:rPr>
        <w:t>Organization</w:t>
      </w:r>
    </w:p>
    <w:p>
      <w:pPr>
        <w:rPr>
          <w:rFonts w:hint="eastAsia"/>
          <w:color w:val="auto"/>
          <w:szCs w:val="21"/>
        </w:rPr>
      </w:pPr>
      <w:r>
        <w:rPr>
          <w:color w:val="auto"/>
          <w:szCs w:val="21"/>
        </w:rPr>
        <w:t>（</w:t>
      </w:r>
      <w:r>
        <w:rPr>
          <w:rFonts w:hint="eastAsia"/>
          <w:color w:val="auto"/>
          <w:szCs w:val="21"/>
        </w:rPr>
        <w:t>1、单位从小到大，市，省，邮编，国籍。</w:t>
      </w:r>
      <w:r>
        <w:rPr>
          <w:rFonts w:hint="eastAsia"/>
          <w:color w:val="auto"/>
          <w:szCs w:val="21"/>
        </w:rPr>
        <w:tab/>
      </w:r>
      <w:r>
        <w:rPr>
          <w:color w:val="auto"/>
          <w:szCs w:val="21"/>
        </w:rPr>
        <w:t>2</w:t>
      </w:r>
      <w:r>
        <w:rPr>
          <w:rFonts w:hint="eastAsia"/>
          <w:color w:val="auto"/>
          <w:szCs w:val="21"/>
        </w:rPr>
        <w:t>、跟英文题目一样，英文格式所有的实词第一个字母用大写，所有虚词用小写。</w:t>
      </w:r>
    </w:p>
    <w:p>
      <w:pPr>
        <w:rPr>
          <w:rFonts w:hint="eastAsia"/>
          <w:color w:val="auto"/>
          <w:szCs w:val="21"/>
        </w:rPr>
      </w:pPr>
      <w:r>
        <w:rPr>
          <w:rFonts w:hint="eastAsia"/>
          <w:color w:val="auto"/>
          <w:szCs w:val="21"/>
        </w:rPr>
        <w:t>例如：</w:t>
      </w:r>
      <w:r>
        <w:rPr>
          <w:color w:val="auto"/>
          <w:szCs w:val="21"/>
        </w:rPr>
        <w:t>State Key Laboratory of Non-food Biomass and Enzyme Technology, National Engineering Research Center for Non-food Biorefinery, Guangxi Key Laboratory of Biorefinery, Guangxi Academy of Sciences, Nanning, Guangxi, 530007, China）</w:t>
      </w:r>
    </w:p>
    <w:p>
      <w:pPr>
        <w:ind w:right="565" w:rightChars="269"/>
        <w:rPr>
          <w:rFonts w:hint="eastAsia"/>
          <w:b/>
          <w:color w:val="auto"/>
          <w:szCs w:val="21"/>
        </w:rPr>
      </w:pPr>
    </w:p>
    <w:p>
      <w:pPr>
        <w:ind w:right="565" w:rightChars="269"/>
        <w:rPr>
          <w:rFonts w:hint="eastAsia"/>
          <w:color w:val="auto"/>
          <w:szCs w:val="21"/>
        </w:rPr>
      </w:pPr>
      <w:r>
        <w:rPr>
          <w:b/>
          <w:color w:val="auto"/>
          <w:szCs w:val="21"/>
        </w:rPr>
        <w:t>Abstract:</w:t>
      </w:r>
    </w:p>
    <w:p>
      <w:pPr>
        <w:ind w:right="565" w:rightChars="269"/>
        <w:rPr>
          <w:rFonts w:hint="eastAsia"/>
          <w:color w:val="auto"/>
          <w:szCs w:val="21"/>
        </w:rPr>
      </w:pPr>
      <w:r>
        <w:rPr>
          <w:b/>
          <w:color w:val="auto"/>
          <w:szCs w:val="21"/>
        </w:rPr>
        <w:t xml:space="preserve">Key </w:t>
      </w:r>
      <w:r>
        <w:rPr>
          <w:rFonts w:hint="eastAsia"/>
          <w:b/>
          <w:color w:val="auto"/>
          <w:szCs w:val="21"/>
        </w:rPr>
        <w:t>w</w:t>
      </w:r>
      <w:r>
        <w:rPr>
          <w:b/>
          <w:color w:val="auto"/>
          <w:szCs w:val="21"/>
        </w:rPr>
        <w:t>ords</w:t>
      </w:r>
      <w:r>
        <w:rPr>
          <w:color w:val="auto"/>
          <w:szCs w:val="21"/>
        </w:rPr>
        <w:t>：</w:t>
      </w:r>
    </w:p>
    <w:p>
      <w:pPr>
        <w:rPr>
          <w:rFonts w:hint="eastAsia"/>
          <w:color w:val="auto"/>
          <w:sz w:val="18"/>
          <w:szCs w:val="18"/>
        </w:rPr>
      </w:pPr>
    </w:p>
    <w:sectPr>
      <w:type w:val="continuous"/>
      <w:pgSz w:w="11906" w:h="16838"/>
      <w:pgMar w:top="1440" w:right="1416" w:bottom="1440" w:left="156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Cambria Math">
    <w:panose1 w:val="02040503050406030204"/>
    <w:charset w:val="00"/>
    <w:family w:val="auto"/>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 w:name="B4+CAJ FNT00">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rPr>
        <w:rStyle w:val="12"/>
      </w:rPr>
      <w:t>2</w:t>
    </w:r>
    <w: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fldChar w:fldCharType="begin"/>
    </w:r>
    <w:r>
      <w:rPr>
        <w:rStyle w:val="12"/>
      </w:rPr>
      <w:instrText xml:space="preserve">PAGE  </w:instrText>
    </w:r>
    <w:r>
      <w:fldChar w:fldCharType="separate"/>
    </w:r>
    <w: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F0751F"/>
    <w:multiLevelType w:val="singleLevel"/>
    <w:tmpl w:val="ACF0751F"/>
    <w:lvl w:ilvl="0" w:tentative="0">
      <w:start w:val="1"/>
      <w:numFmt w:val="decimal"/>
      <w:lvlText w:val="[%1]"/>
      <w:lvlJc w:val="left"/>
      <w:pPr>
        <w:tabs>
          <w:tab w:val="left" w:pos="397"/>
        </w:tabs>
        <w:ind w:left="454" w:leftChars="0" w:hanging="454" w:firstLineChars="0"/>
      </w:pPr>
      <w:rPr>
        <w:rFonts w:hint="default"/>
      </w:rPr>
    </w:lvl>
  </w:abstractNum>
  <w:abstractNum w:abstractNumId="1">
    <w:nsid w:val="F1B49A3B"/>
    <w:multiLevelType w:val="singleLevel"/>
    <w:tmpl w:val="F1B49A3B"/>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Q5NWQ2ZDVhYWVkYjcwYzkxMTljZTQzY2Y1NWQ2OTgifQ=="/>
  </w:docVars>
  <w:rsids>
    <w:rsidRoot w:val="00172A27"/>
    <w:rsid w:val="00001C9A"/>
    <w:rsid w:val="000279CE"/>
    <w:rsid w:val="00040876"/>
    <w:rsid w:val="00045D7A"/>
    <w:rsid w:val="00082294"/>
    <w:rsid w:val="000C5F3A"/>
    <w:rsid w:val="000E25F3"/>
    <w:rsid w:val="00127805"/>
    <w:rsid w:val="00135DD7"/>
    <w:rsid w:val="00157E7F"/>
    <w:rsid w:val="0017272A"/>
    <w:rsid w:val="00176B81"/>
    <w:rsid w:val="00185775"/>
    <w:rsid w:val="0018618A"/>
    <w:rsid w:val="001D2576"/>
    <w:rsid w:val="001F7221"/>
    <w:rsid w:val="00237D4F"/>
    <w:rsid w:val="0027052A"/>
    <w:rsid w:val="0028179E"/>
    <w:rsid w:val="002F27F6"/>
    <w:rsid w:val="00307215"/>
    <w:rsid w:val="00323BC2"/>
    <w:rsid w:val="00347187"/>
    <w:rsid w:val="003516D0"/>
    <w:rsid w:val="00371FF6"/>
    <w:rsid w:val="003A62A9"/>
    <w:rsid w:val="003C7348"/>
    <w:rsid w:val="003D3568"/>
    <w:rsid w:val="00431F14"/>
    <w:rsid w:val="004504A2"/>
    <w:rsid w:val="004B31AF"/>
    <w:rsid w:val="004D5E49"/>
    <w:rsid w:val="00501D5A"/>
    <w:rsid w:val="0051529D"/>
    <w:rsid w:val="005224E5"/>
    <w:rsid w:val="00531BDC"/>
    <w:rsid w:val="0058610B"/>
    <w:rsid w:val="005A1E37"/>
    <w:rsid w:val="005B6A51"/>
    <w:rsid w:val="005E7F4A"/>
    <w:rsid w:val="00675749"/>
    <w:rsid w:val="006D4BC1"/>
    <w:rsid w:val="006F2019"/>
    <w:rsid w:val="006F6320"/>
    <w:rsid w:val="00701E9A"/>
    <w:rsid w:val="00710118"/>
    <w:rsid w:val="007E3C90"/>
    <w:rsid w:val="007E4AD6"/>
    <w:rsid w:val="007F6AE9"/>
    <w:rsid w:val="0089422C"/>
    <w:rsid w:val="008A754C"/>
    <w:rsid w:val="008B3752"/>
    <w:rsid w:val="008D016D"/>
    <w:rsid w:val="008E0C9D"/>
    <w:rsid w:val="008E192F"/>
    <w:rsid w:val="008E4EC9"/>
    <w:rsid w:val="008F0008"/>
    <w:rsid w:val="008F3814"/>
    <w:rsid w:val="00912259"/>
    <w:rsid w:val="0096323E"/>
    <w:rsid w:val="009B0652"/>
    <w:rsid w:val="009D2BC1"/>
    <w:rsid w:val="009E0212"/>
    <w:rsid w:val="009F3DFB"/>
    <w:rsid w:val="00A83D4E"/>
    <w:rsid w:val="00AA3DDF"/>
    <w:rsid w:val="00AB61DD"/>
    <w:rsid w:val="00AC60DC"/>
    <w:rsid w:val="00AE0977"/>
    <w:rsid w:val="00AE50E3"/>
    <w:rsid w:val="00B7747F"/>
    <w:rsid w:val="00B9612E"/>
    <w:rsid w:val="00BF2BE4"/>
    <w:rsid w:val="00C27157"/>
    <w:rsid w:val="00CA0BB5"/>
    <w:rsid w:val="00CA3A38"/>
    <w:rsid w:val="00CC675D"/>
    <w:rsid w:val="00CF09B7"/>
    <w:rsid w:val="00D00085"/>
    <w:rsid w:val="00D35401"/>
    <w:rsid w:val="00D52390"/>
    <w:rsid w:val="00D5628F"/>
    <w:rsid w:val="00D64AE1"/>
    <w:rsid w:val="00D70F73"/>
    <w:rsid w:val="00DA4310"/>
    <w:rsid w:val="00DC1ED9"/>
    <w:rsid w:val="00E73E99"/>
    <w:rsid w:val="00E86464"/>
    <w:rsid w:val="00EE0D72"/>
    <w:rsid w:val="00EE5101"/>
    <w:rsid w:val="00FB2A76"/>
    <w:rsid w:val="00FE4C2D"/>
    <w:rsid w:val="00FE5DE6"/>
    <w:rsid w:val="01A90CEE"/>
    <w:rsid w:val="02685C0C"/>
    <w:rsid w:val="03185F09"/>
    <w:rsid w:val="03991DF6"/>
    <w:rsid w:val="052D65D2"/>
    <w:rsid w:val="05387762"/>
    <w:rsid w:val="061E4834"/>
    <w:rsid w:val="062F6C1F"/>
    <w:rsid w:val="068F11DA"/>
    <w:rsid w:val="06D870D9"/>
    <w:rsid w:val="07612C2A"/>
    <w:rsid w:val="078057A6"/>
    <w:rsid w:val="07D65CF0"/>
    <w:rsid w:val="091361A6"/>
    <w:rsid w:val="096A77FA"/>
    <w:rsid w:val="0970184A"/>
    <w:rsid w:val="09BB0D18"/>
    <w:rsid w:val="0A4725AB"/>
    <w:rsid w:val="0A51342A"/>
    <w:rsid w:val="0AC55BBC"/>
    <w:rsid w:val="0AF50259"/>
    <w:rsid w:val="0B0C7351"/>
    <w:rsid w:val="0B3643CE"/>
    <w:rsid w:val="0BAB4DBC"/>
    <w:rsid w:val="0BCD4D32"/>
    <w:rsid w:val="0C0A1245"/>
    <w:rsid w:val="0C247F7D"/>
    <w:rsid w:val="0C5E1E2E"/>
    <w:rsid w:val="0C6F5DE9"/>
    <w:rsid w:val="0C945850"/>
    <w:rsid w:val="0CD520F0"/>
    <w:rsid w:val="0D444B80"/>
    <w:rsid w:val="0D4607D5"/>
    <w:rsid w:val="0E855450"/>
    <w:rsid w:val="0E8B557C"/>
    <w:rsid w:val="0F943B03"/>
    <w:rsid w:val="10272B2C"/>
    <w:rsid w:val="10356198"/>
    <w:rsid w:val="10A976AA"/>
    <w:rsid w:val="116577BB"/>
    <w:rsid w:val="12502219"/>
    <w:rsid w:val="12505221"/>
    <w:rsid w:val="12624579"/>
    <w:rsid w:val="1267694C"/>
    <w:rsid w:val="135F0966"/>
    <w:rsid w:val="13A66416"/>
    <w:rsid w:val="14031E6A"/>
    <w:rsid w:val="14A21D72"/>
    <w:rsid w:val="14B22D17"/>
    <w:rsid w:val="14DB6680"/>
    <w:rsid w:val="15001CD4"/>
    <w:rsid w:val="15173C06"/>
    <w:rsid w:val="1525330E"/>
    <w:rsid w:val="153951E6"/>
    <w:rsid w:val="156C2EC6"/>
    <w:rsid w:val="15806971"/>
    <w:rsid w:val="15943FE5"/>
    <w:rsid w:val="15FF19F8"/>
    <w:rsid w:val="161B48EC"/>
    <w:rsid w:val="163C5738"/>
    <w:rsid w:val="164200CB"/>
    <w:rsid w:val="165C118C"/>
    <w:rsid w:val="16C467B9"/>
    <w:rsid w:val="16D660E7"/>
    <w:rsid w:val="16E266C0"/>
    <w:rsid w:val="172B0ECD"/>
    <w:rsid w:val="17920BDE"/>
    <w:rsid w:val="17A032FB"/>
    <w:rsid w:val="17AD77C6"/>
    <w:rsid w:val="18706C6E"/>
    <w:rsid w:val="1921046B"/>
    <w:rsid w:val="198729C4"/>
    <w:rsid w:val="19AF614C"/>
    <w:rsid w:val="19C4670E"/>
    <w:rsid w:val="19CF7EC7"/>
    <w:rsid w:val="19E75211"/>
    <w:rsid w:val="1B083691"/>
    <w:rsid w:val="1C456127"/>
    <w:rsid w:val="1CEB5A11"/>
    <w:rsid w:val="1D7A7634"/>
    <w:rsid w:val="1DA023FE"/>
    <w:rsid w:val="1DB339E0"/>
    <w:rsid w:val="1E4D010E"/>
    <w:rsid w:val="1F136AA8"/>
    <w:rsid w:val="2037116F"/>
    <w:rsid w:val="207C5907"/>
    <w:rsid w:val="20B61DE1"/>
    <w:rsid w:val="210E153D"/>
    <w:rsid w:val="21380A48"/>
    <w:rsid w:val="215A3157"/>
    <w:rsid w:val="221B7DC1"/>
    <w:rsid w:val="224D0523"/>
    <w:rsid w:val="227C6712"/>
    <w:rsid w:val="22C5455D"/>
    <w:rsid w:val="22EC6A43"/>
    <w:rsid w:val="234436D4"/>
    <w:rsid w:val="241B7553"/>
    <w:rsid w:val="24A26904"/>
    <w:rsid w:val="24A60B06"/>
    <w:rsid w:val="24D26ABE"/>
    <w:rsid w:val="24F904EE"/>
    <w:rsid w:val="25A32711"/>
    <w:rsid w:val="25B20DC9"/>
    <w:rsid w:val="25C805EC"/>
    <w:rsid w:val="26664E9A"/>
    <w:rsid w:val="2689617A"/>
    <w:rsid w:val="26B62F9B"/>
    <w:rsid w:val="26FE421A"/>
    <w:rsid w:val="271D4F12"/>
    <w:rsid w:val="2840157B"/>
    <w:rsid w:val="28CC03F4"/>
    <w:rsid w:val="290A0F1C"/>
    <w:rsid w:val="29254455"/>
    <w:rsid w:val="293957C6"/>
    <w:rsid w:val="29876ECC"/>
    <w:rsid w:val="29F34A82"/>
    <w:rsid w:val="2B0C0F7B"/>
    <w:rsid w:val="2BB4516F"/>
    <w:rsid w:val="2C931228"/>
    <w:rsid w:val="2D0F4D53"/>
    <w:rsid w:val="2D260712"/>
    <w:rsid w:val="2D9D410D"/>
    <w:rsid w:val="2DFB0E33"/>
    <w:rsid w:val="2E140F22"/>
    <w:rsid w:val="2E61338C"/>
    <w:rsid w:val="2E912E13"/>
    <w:rsid w:val="2EA661F2"/>
    <w:rsid w:val="2EB57234"/>
    <w:rsid w:val="2ECD39AB"/>
    <w:rsid w:val="2EE95130"/>
    <w:rsid w:val="2FB120F1"/>
    <w:rsid w:val="300C36FC"/>
    <w:rsid w:val="307F650E"/>
    <w:rsid w:val="30C43855"/>
    <w:rsid w:val="30DC09EE"/>
    <w:rsid w:val="310A5BCF"/>
    <w:rsid w:val="315A0567"/>
    <w:rsid w:val="31BB5FF9"/>
    <w:rsid w:val="32316B26"/>
    <w:rsid w:val="32676A97"/>
    <w:rsid w:val="32AE46C6"/>
    <w:rsid w:val="33056E6D"/>
    <w:rsid w:val="3321758E"/>
    <w:rsid w:val="33260CF8"/>
    <w:rsid w:val="33582884"/>
    <w:rsid w:val="33FC7E90"/>
    <w:rsid w:val="344C063B"/>
    <w:rsid w:val="34B00BC9"/>
    <w:rsid w:val="352B0250"/>
    <w:rsid w:val="35C91817"/>
    <w:rsid w:val="35EF4E1B"/>
    <w:rsid w:val="36511F38"/>
    <w:rsid w:val="365D08DD"/>
    <w:rsid w:val="36941E25"/>
    <w:rsid w:val="36B27D0B"/>
    <w:rsid w:val="36D93CDC"/>
    <w:rsid w:val="36F01751"/>
    <w:rsid w:val="371A1291"/>
    <w:rsid w:val="37537F32"/>
    <w:rsid w:val="37A442EA"/>
    <w:rsid w:val="37F94635"/>
    <w:rsid w:val="384A4E91"/>
    <w:rsid w:val="38693A61"/>
    <w:rsid w:val="38AD08E7"/>
    <w:rsid w:val="38E44ECB"/>
    <w:rsid w:val="38E52E0C"/>
    <w:rsid w:val="3922196A"/>
    <w:rsid w:val="397F3113"/>
    <w:rsid w:val="3A04337D"/>
    <w:rsid w:val="3A773F37"/>
    <w:rsid w:val="3AAF1923"/>
    <w:rsid w:val="3AE01ADD"/>
    <w:rsid w:val="3AE8273F"/>
    <w:rsid w:val="3BD3519D"/>
    <w:rsid w:val="3C0D55FF"/>
    <w:rsid w:val="3C74072E"/>
    <w:rsid w:val="3CFC6B49"/>
    <w:rsid w:val="3D3542AD"/>
    <w:rsid w:val="3E5325C6"/>
    <w:rsid w:val="3F23643C"/>
    <w:rsid w:val="3F604F9A"/>
    <w:rsid w:val="3F6E4E57"/>
    <w:rsid w:val="3F8653E8"/>
    <w:rsid w:val="405426B6"/>
    <w:rsid w:val="41BA1803"/>
    <w:rsid w:val="42213106"/>
    <w:rsid w:val="42E5185A"/>
    <w:rsid w:val="43A4391F"/>
    <w:rsid w:val="44757A8F"/>
    <w:rsid w:val="449C6A74"/>
    <w:rsid w:val="449D66C7"/>
    <w:rsid w:val="45124F88"/>
    <w:rsid w:val="45725A27"/>
    <w:rsid w:val="457E261E"/>
    <w:rsid w:val="462F4289"/>
    <w:rsid w:val="467653FB"/>
    <w:rsid w:val="469961B0"/>
    <w:rsid w:val="46C16C66"/>
    <w:rsid w:val="46FA2178"/>
    <w:rsid w:val="472B0583"/>
    <w:rsid w:val="47342347"/>
    <w:rsid w:val="4737361C"/>
    <w:rsid w:val="473D4B90"/>
    <w:rsid w:val="477F442B"/>
    <w:rsid w:val="478101A3"/>
    <w:rsid w:val="490C7F41"/>
    <w:rsid w:val="492C244A"/>
    <w:rsid w:val="494D2A33"/>
    <w:rsid w:val="49641B2B"/>
    <w:rsid w:val="498E00DE"/>
    <w:rsid w:val="4A1C066B"/>
    <w:rsid w:val="4AB24681"/>
    <w:rsid w:val="4ABB04EC"/>
    <w:rsid w:val="4AC42904"/>
    <w:rsid w:val="4C625032"/>
    <w:rsid w:val="4C70382A"/>
    <w:rsid w:val="4CC761A6"/>
    <w:rsid w:val="4D150064"/>
    <w:rsid w:val="4D5325E2"/>
    <w:rsid w:val="4D8E6C34"/>
    <w:rsid w:val="4DD252B5"/>
    <w:rsid w:val="4EED102A"/>
    <w:rsid w:val="4F1C718D"/>
    <w:rsid w:val="4F626B0C"/>
    <w:rsid w:val="4F786B55"/>
    <w:rsid w:val="501C6CBB"/>
    <w:rsid w:val="50406E4E"/>
    <w:rsid w:val="511E6A63"/>
    <w:rsid w:val="5147420C"/>
    <w:rsid w:val="53066DB8"/>
    <w:rsid w:val="531F71EB"/>
    <w:rsid w:val="53873999"/>
    <w:rsid w:val="53980D4F"/>
    <w:rsid w:val="53A80A11"/>
    <w:rsid w:val="53D8739D"/>
    <w:rsid w:val="53F63159"/>
    <w:rsid w:val="543A1E06"/>
    <w:rsid w:val="54574766"/>
    <w:rsid w:val="547A2CC6"/>
    <w:rsid w:val="54E0475B"/>
    <w:rsid w:val="553E5926"/>
    <w:rsid w:val="565847C5"/>
    <w:rsid w:val="569A3030"/>
    <w:rsid w:val="578A30A4"/>
    <w:rsid w:val="57FA3D86"/>
    <w:rsid w:val="5815538E"/>
    <w:rsid w:val="58343859"/>
    <w:rsid w:val="584D2347"/>
    <w:rsid w:val="58B54151"/>
    <w:rsid w:val="59050C34"/>
    <w:rsid w:val="5A647BDD"/>
    <w:rsid w:val="5A9304C2"/>
    <w:rsid w:val="5CFD7E74"/>
    <w:rsid w:val="5D3B60DD"/>
    <w:rsid w:val="5D6D0B56"/>
    <w:rsid w:val="5E1B14BE"/>
    <w:rsid w:val="5E2901BD"/>
    <w:rsid w:val="5EBF1885"/>
    <w:rsid w:val="5EE72B8A"/>
    <w:rsid w:val="5FBE38EB"/>
    <w:rsid w:val="5FD2383A"/>
    <w:rsid w:val="601362FC"/>
    <w:rsid w:val="60151098"/>
    <w:rsid w:val="602B208C"/>
    <w:rsid w:val="60D3786A"/>
    <w:rsid w:val="60F63558"/>
    <w:rsid w:val="619012B7"/>
    <w:rsid w:val="61BA60F4"/>
    <w:rsid w:val="62015D11"/>
    <w:rsid w:val="62CF5E0F"/>
    <w:rsid w:val="62FF465C"/>
    <w:rsid w:val="630261E5"/>
    <w:rsid w:val="63212B0F"/>
    <w:rsid w:val="64271C24"/>
    <w:rsid w:val="644161A9"/>
    <w:rsid w:val="64BA2CD3"/>
    <w:rsid w:val="64DD0CB7"/>
    <w:rsid w:val="652F2B95"/>
    <w:rsid w:val="65515201"/>
    <w:rsid w:val="65683A9A"/>
    <w:rsid w:val="65753CDB"/>
    <w:rsid w:val="65AF3532"/>
    <w:rsid w:val="65EB7404"/>
    <w:rsid w:val="65F362B8"/>
    <w:rsid w:val="670E0726"/>
    <w:rsid w:val="67B83316"/>
    <w:rsid w:val="689751E4"/>
    <w:rsid w:val="68AA3DCB"/>
    <w:rsid w:val="68FC521D"/>
    <w:rsid w:val="696E6889"/>
    <w:rsid w:val="69825989"/>
    <w:rsid w:val="6A4246B1"/>
    <w:rsid w:val="6A590DE0"/>
    <w:rsid w:val="6AC94DB7"/>
    <w:rsid w:val="6B19481B"/>
    <w:rsid w:val="6B357791"/>
    <w:rsid w:val="6C060AF4"/>
    <w:rsid w:val="6C2E004A"/>
    <w:rsid w:val="6C926196"/>
    <w:rsid w:val="6CA27A34"/>
    <w:rsid w:val="6D8A5754"/>
    <w:rsid w:val="6E677844"/>
    <w:rsid w:val="6E9308BF"/>
    <w:rsid w:val="6EA768C7"/>
    <w:rsid w:val="6ECF5BC7"/>
    <w:rsid w:val="6F347726"/>
    <w:rsid w:val="6F926B42"/>
    <w:rsid w:val="6FBA3333"/>
    <w:rsid w:val="70057B4E"/>
    <w:rsid w:val="708720A4"/>
    <w:rsid w:val="70F32E2C"/>
    <w:rsid w:val="711C66C3"/>
    <w:rsid w:val="71657EE6"/>
    <w:rsid w:val="71AA0173"/>
    <w:rsid w:val="72E74AAF"/>
    <w:rsid w:val="73387E16"/>
    <w:rsid w:val="735369DB"/>
    <w:rsid w:val="73A17354"/>
    <w:rsid w:val="73EE20D2"/>
    <w:rsid w:val="74143C26"/>
    <w:rsid w:val="743A2A0E"/>
    <w:rsid w:val="74AD5D64"/>
    <w:rsid w:val="74E90FB2"/>
    <w:rsid w:val="74F00559"/>
    <w:rsid w:val="74F636CF"/>
    <w:rsid w:val="7524023C"/>
    <w:rsid w:val="76051E1C"/>
    <w:rsid w:val="7608766F"/>
    <w:rsid w:val="76487F5B"/>
    <w:rsid w:val="764F3097"/>
    <w:rsid w:val="770F2826"/>
    <w:rsid w:val="77DA1086"/>
    <w:rsid w:val="788D4F1D"/>
    <w:rsid w:val="78C015EB"/>
    <w:rsid w:val="78C55892"/>
    <w:rsid w:val="78D67A98"/>
    <w:rsid w:val="78FB7506"/>
    <w:rsid w:val="79047385"/>
    <w:rsid w:val="79A33E26"/>
    <w:rsid w:val="7A3A5E0C"/>
    <w:rsid w:val="7A8F43AA"/>
    <w:rsid w:val="7AC06311"/>
    <w:rsid w:val="7C2A29F8"/>
    <w:rsid w:val="7CC65341"/>
    <w:rsid w:val="7CF979A0"/>
    <w:rsid w:val="7E3239CA"/>
    <w:rsid w:val="7F8518D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annotation text"/>
    <w:basedOn w:val="1"/>
    <w:link w:val="15"/>
    <w:qFormat/>
    <w:uiPriority w:val="0"/>
    <w:pPr>
      <w:jc w:val="left"/>
    </w:pPr>
  </w:style>
  <w:style w:type="paragraph" w:styleId="3">
    <w:name w:val="Body Text Indent"/>
    <w:basedOn w:val="1"/>
    <w:qFormat/>
    <w:uiPriority w:val="0"/>
    <w:pPr>
      <w:spacing w:line="400" w:lineRule="exact"/>
      <w:ind w:firstLine="480" w:firstLineChars="200"/>
    </w:pPr>
    <w:rPr>
      <w:sz w:val="24"/>
    </w:rPr>
  </w:style>
  <w:style w:type="paragraph" w:styleId="4">
    <w:name w:val="Date"/>
    <w:basedOn w:val="1"/>
    <w:next w:val="1"/>
    <w:link w:val="16"/>
    <w:qFormat/>
    <w:uiPriority w:val="0"/>
    <w:pPr>
      <w:ind w:left="100" w:leftChars="2500"/>
    </w:p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link w:val="17"/>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2"/>
    <w:next w:val="2"/>
    <w:link w:val="18"/>
    <w:qFormat/>
    <w:uiPriority w:val="0"/>
    <w:rPr>
      <w:b/>
      <w:bCs/>
    </w:rPr>
  </w:style>
  <w:style w:type="table" w:styleId="10">
    <w:name w:val="Table Grid"/>
    <w:basedOn w:val="9"/>
    <w:semiHidden/>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styleId="13">
    <w:name w:val="Emphasis"/>
    <w:qFormat/>
    <w:uiPriority w:val="0"/>
    <w:rPr>
      <w:color w:val="CC0000"/>
    </w:rPr>
  </w:style>
  <w:style w:type="character" w:styleId="14">
    <w:name w:val="annotation reference"/>
    <w:qFormat/>
    <w:uiPriority w:val="0"/>
    <w:rPr>
      <w:sz w:val="21"/>
      <w:szCs w:val="21"/>
    </w:rPr>
  </w:style>
  <w:style w:type="character" w:customStyle="1" w:styleId="15">
    <w:name w:val="批注文字 Char"/>
    <w:link w:val="2"/>
    <w:qFormat/>
    <w:uiPriority w:val="0"/>
    <w:rPr>
      <w:kern w:val="2"/>
      <w:sz w:val="21"/>
      <w:szCs w:val="24"/>
    </w:rPr>
  </w:style>
  <w:style w:type="character" w:customStyle="1" w:styleId="16">
    <w:name w:val="日期 Char"/>
    <w:link w:val="4"/>
    <w:uiPriority w:val="0"/>
    <w:rPr>
      <w:kern w:val="2"/>
      <w:sz w:val="21"/>
      <w:szCs w:val="24"/>
    </w:rPr>
  </w:style>
  <w:style w:type="character" w:customStyle="1" w:styleId="17">
    <w:name w:val="页眉 Char"/>
    <w:link w:val="7"/>
    <w:qFormat/>
    <w:uiPriority w:val="0"/>
    <w:rPr>
      <w:kern w:val="2"/>
      <w:sz w:val="18"/>
      <w:szCs w:val="18"/>
    </w:rPr>
  </w:style>
  <w:style w:type="character" w:customStyle="1" w:styleId="18">
    <w:name w:val="批注主题 Char"/>
    <w:link w:val="8"/>
    <w:qFormat/>
    <w:uiPriority w:val="0"/>
    <w:rPr>
      <w:b/>
      <w:bCs/>
      <w:kern w:val="2"/>
      <w:sz w:val="21"/>
      <w:szCs w:val="24"/>
    </w:rPr>
  </w:style>
  <w:style w:type="character" w:customStyle="1" w:styleId="19">
    <w:name w:val="high-light-bg4"/>
    <w:basedOn w:val="11"/>
    <w:uiPriority w:val="0"/>
  </w:style>
  <w:style w:type="character" w:customStyle="1" w:styleId="20">
    <w:name w:val="def"/>
    <w:basedOn w:val="11"/>
    <w:qFormat/>
    <w:uiPriority w:val="0"/>
  </w:style>
  <w:style w:type="paragraph" w:customStyle="1" w:styleId="21">
    <w:name w:val="ordinary-output target-output"/>
    <w:basedOn w:val="1"/>
    <w:uiPriority w:val="0"/>
    <w:pPr>
      <w:widowControl/>
      <w:spacing w:before="100" w:beforeLines="0" w:beforeAutospacing="1" w:after="100" w:afterLines="0" w:afterAutospacing="1"/>
      <w:jc w:val="left"/>
    </w:pPr>
    <w:rPr>
      <w:rFonts w:ascii="宋体" w:hAnsi="宋体" w:cs="宋体"/>
      <w:kern w:val="0"/>
      <w:sz w:val="24"/>
    </w:rPr>
  </w:style>
  <w:style w:type="paragraph" w:styleId="22">
    <w:name w:val="List Paragraph"/>
    <w:basedOn w:val="1"/>
    <w:qFormat/>
    <w:uiPriority w:val="0"/>
    <w:pPr>
      <w:ind w:firstLine="420" w:firstLineChars="200"/>
    </w:pPr>
    <w:rPr>
      <w:rFonts w:ascii="Calibri" w:hAnsi="Calibri"/>
      <w:szCs w:val="22"/>
    </w:rPr>
  </w:style>
  <w:style w:type="character" w:customStyle="1" w:styleId="23">
    <w:name w:val="表头 Char"/>
    <w:link w:val="24"/>
    <w:qFormat/>
    <w:uiPriority w:val="0"/>
    <w:rPr>
      <w:rFonts w:eastAsia="楷体_GB2312"/>
      <w:bCs/>
      <w:kern w:val="44"/>
      <w:sz w:val="21"/>
      <w:szCs w:val="44"/>
    </w:rPr>
  </w:style>
  <w:style w:type="paragraph" w:customStyle="1" w:styleId="24">
    <w:name w:val="表头"/>
    <w:basedOn w:val="1"/>
    <w:link w:val="23"/>
    <w:qFormat/>
    <w:uiPriority w:val="0"/>
    <w:pPr>
      <w:widowControl/>
      <w:jc w:val="center"/>
    </w:pPr>
    <w:rPr>
      <w:rFonts w:eastAsia="楷体_GB2312"/>
      <w:bCs/>
      <w:kern w:val="44"/>
      <w:szCs w:val="44"/>
    </w:rPr>
  </w:style>
  <w:style w:type="character" w:customStyle="1" w:styleId="25">
    <w:name w:val="表内容 Char"/>
    <w:link w:val="26"/>
    <w:qFormat/>
    <w:uiPriority w:val="0"/>
    <w:rPr>
      <w:rFonts w:hAnsi="宋体"/>
      <w:sz w:val="21"/>
      <w:szCs w:val="21"/>
      <w:lang w:val="en-US" w:eastAsia="zh-CN" w:bidi="ar-SA"/>
    </w:rPr>
  </w:style>
  <w:style w:type="paragraph" w:customStyle="1" w:styleId="26">
    <w:name w:val="表内容"/>
    <w:link w:val="25"/>
    <w:qFormat/>
    <w:uiPriority w:val="0"/>
    <w:pPr>
      <w:jc w:val="center"/>
    </w:pPr>
    <w:rPr>
      <w:rFonts w:ascii="Times New Roman" w:hAnsi="宋体" w:eastAsia="宋体" w:cs="Times New Roman"/>
      <w:sz w:val="21"/>
      <w:szCs w:val="21"/>
      <w:lang w:val="en-US" w:eastAsia="zh-CN" w:bidi="ar-SA"/>
    </w:rPr>
  </w:style>
  <w:style w:type="paragraph" w:customStyle="1" w:styleId="27">
    <w:name w:val="ql-long-13535339"/>
    <w:basedOn w:val="1"/>
    <w:qFormat/>
    <w:uiPriority w:val="0"/>
    <w:pPr>
      <w:widowControl/>
      <w:spacing w:before="100" w:beforeAutospacing="1" w:after="100" w:afterAutospacing="1"/>
      <w:jc w:val="left"/>
    </w:pPr>
    <w:rPr>
      <w:rFonts w:ascii="宋体" w:hAnsi="宋体" w:cs="宋体"/>
      <w:kern w:val="0"/>
      <w:sz w:val="24"/>
    </w:rPr>
  </w:style>
  <w:style w:type="character" w:customStyle="1" w:styleId="28">
    <w:name w:val="ql-author-13535339"/>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Company>
  <Pages>10</Pages>
  <Words>10690</Words>
  <Characters>14495</Characters>
  <Lines>26</Lines>
  <Paragraphs>7</Paragraphs>
  <TotalTime>7</TotalTime>
  <ScaleCrop>false</ScaleCrop>
  <LinksUpToDate>false</LinksUpToDate>
  <CharactersWithSpaces>15183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2015-05-05T07:37:00Z</dcterms:created>
  <dc:creator>hong</dc:creator>
  <cp:lastModifiedBy>? ? ?</cp:lastModifiedBy>
  <cp:lastPrinted>2014-10-13T07:27:00Z</cp:lastPrinted>
  <dcterms:modified xsi:type="dcterms:W3CDTF">2022-12-17T08:54:15Z</dcterms:modified>
  <dc:title>巨尾桉林的灌草层与天然灌草丛的植物多样性比较</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D35582AAD533437B9BA4762D46151752</vt:lpwstr>
  </property>
</Properties>
</file>