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r>
        <w:rPr>
          <w:rFonts w:hint="eastAsia" w:ascii="宋体" w:hAnsi="宋体"/>
          <w:color w:val="auto"/>
          <w:szCs w:val="21"/>
        </w:rPr>
        <w:t>（1、应做到简洁明了，突出文章创新之处，一般不超过</w:t>
      </w:r>
      <w:r>
        <w:rPr>
          <w:rFonts w:ascii="宋体" w:hAnsi="宋体"/>
          <w:color w:val="auto"/>
          <w:szCs w:val="21"/>
        </w:rPr>
        <w:t>20</w:t>
      </w:r>
      <w:r>
        <w:rPr>
          <w:rFonts w:hint="eastAsia" w:ascii="宋体" w:hAnsi="宋体"/>
          <w:color w:val="auto"/>
          <w:szCs w:val="21"/>
        </w:rPr>
        <w:t>个汉字，中英文题目应一致。题目应是所研究的主题以及具体内容的准确描述，尽量避免繁琐、含糊、抽象。2、题目</w:t>
      </w:r>
      <w:r>
        <w:rPr>
          <w:rFonts w:ascii="宋体" w:hAnsi="宋体"/>
          <w:color w:val="auto"/>
          <w:szCs w:val="21"/>
        </w:rPr>
        <w:t>采用修饰词+定语的结构</w:t>
      </w:r>
      <w:r>
        <w:rPr>
          <w:rFonts w:hint="eastAsia" w:ascii="宋体" w:hAnsi="宋体"/>
          <w:color w:val="auto"/>
          <w:szCs w:val="21"/>
        </w:rPr>
        <w:t>）</w:t>
      </w: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ascii="宋体" w:hAnsi="宋体"/>
          <w:color w:val="auto"/>
          <w:szCs w:val="21"/>
        </w:rPr>
      </w:pPr>
      <w:r>
        <w:rPr>
          <w:rFonts w:hint="eastAsia" w:ascii="黑体" w:hAnsi="黑体" w:eastAsia="黑体"/>
          <w:color w:val="auto"/>
          <w:szCs w:val="21"/>
        </w:rPr>
        <w:t>摘要：</w:t>
      </w:r>
      <w:r>
        <w:rPr>
          <w:rFonts w:hint="eastAsia" w:ascii="宋体" w:hAnsi="宋体"/>
          <w:color w:val="auto"/>
          <w:szCs w:val="21"/>
        </w:rPr>
        <w:t>（摘要既要有高度的信息浓缩性，又具有可读性，还要结构完整、篇幅简短及独立成篇，研究类论文</w:t>
      </w:r>
      <w:r>
        <w:rPr>
          <w:rFonts w:ascii="宋体" w:hAnsi="宋体"/>
          <w:color w:val="auto"/>
          <w:szCs w:val="21"/>
        </w:rPr>
        <w:t>摘要</w:t>
      </w:r>
      <w:r>
        <w:rPr>
          <w:rFonts w:hint="eastAsia" w:ascii="宋体" w:hAnsi="宋体"/>
          <w:color w:val="auto"/>
          <w:szCs w:val="21"/>
        </w:rPr>
        <w:t>从目的、方法、结果、结论4个</w:t>
      </w:r>
      <w:r>
        <w:rPr>
          <w:rFonts w:ascii="宋体" w:hAnsi="宋体"/>
          <w:color w:val="auto"/>
          <w:szCs w:val="21"/>
        </w:rPr>
        <w:t>方面进行撰写</w:t>
      </w:r>
      <w:r>
        <w:rPr>
          <w:rFonts w:hint="eastAsia" w:ascii="宋体" w:hAnsi="宋体"/>
          <w:color w:val="auto"/>
          <w:szCs w:val="21"/>
        </w:rPr>
        <w:t>，摘要中不应包括论文中没有出现的内容。）</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ind w:left="567" w:leftChars="270" w:right="565" w:rightChars="269"/>
        <w:rPr>
          <w:rFonts w:hint="eastAsia"/>
          <w:color w:val="auto"/>
          <w:kern w:val="0"/>
          <w:szCs w:val="21"/>
        </w:rPr>
      </w:pPr>
    </w:p>
    <w:p>
      <w:pPr>
        <w:pStyle w:val="22"/>
        <w:spacing w:line="360" w:lineRule="auto"/>
        <w:ind w:firstLine="0" w:firstLineChars="0"/>
        <w:rPr>
          <w:rFonts w:ascii="Times New Roman" w:hAnsi="Times New Roman"/>
          <w:b/>
          <w:color w:val="auto"/>
          <w:sz w:val="28"/>
          <w:szCs w:val="28"/>
        </w:rPr>
      </w:pPr>
    </w:p>
    <w:p>
      <w:pPr>
        <w:jc w:val="left"/>
        <w:rPr>
          <w:color w:val="auto"/>
          <w:szCs w:val="21"/>
        </w:rPr>
      </w:pPr>
      <w:r>
        <w:rPr>
          <w:rFonts w:hint="eastAsia"/>
          <w:color w:val="auto"/>
          <w:szCs w:val="21"/>
        </w:rPr>
        <w:t>【</w:t>
      </w:r>
      <w:r>
        <w:rPr>
          <w:color w:val="auto"/>
          <w:szCs w:val="21"/>
        </w:rPr>
        <w:t>计量单位</w:t>
      </w:r>
      <w:r>
        <w:rPr>
          <w:rFonts w:hint="eastAsia"/>
          <w:color w:val="auto"/>
          <w:szCs w:val="21"/>
        </w:rPr>
        <w:t>】</w:t>
      </w:r>
    </w:p>
    <w:p>
      <w:pPr>
        <w:jc w:val="left"/>
        <w:rPr>
          <w:color w:val="auto"/>
          <w:szCs w:val="21"/>
        </w:rPr>
      </w:pPr>
      <w:r>
        <w:rPr>
          <w:color w:val="auto"/>
          <w:szCs w:val="21"/>
        </w:rPr>
        <w:t>1</w:t>
      </w:r>
      <w:r>
        <w:rPr>
          <w:rFonts w:hint="eastAsia"/>
          <w:color w:val="auto"/>
          <w:szCs w:val="21"/>
        </w:rPr>
        <w:t>、</w:t>
      </w:r>
      <w:r>
        <w:rPr>
          <w:color w:val="auto"/>
          <w:szCs w:val="21"/>
        </w:rPr>
        <w:t>以《中华人民共和国法定计量单位》为准，溶液浓度不用M，N，ppm；bar(巴)改用Pa(帕)；能量、功、热均用J(焦)表示。单位符号采用标准化符号，如s(秒)、min(分)、h(小时)、d(天)、mol(摩)、m(米)、m</w:t>
      </w:r>
      <w:r>
        <w:rPr>
          <w:color w:val="auto"/>
          <w:szCs w:val="21"/>
          <w:vertAlign w:val="superscript"/>
        </w:rPr>
        <w:t>2</w:t>
      </w:r>
      <w:r>
        <w:rPr>
          <w:color w:val="auto"/>
          <w:szCs w:val="21"/>
        </w:rPr>
        <w:t>(平方米)、L(升)、kg(千克)等。</w:t>
      </w:r>
    </w:p>
    <w:p>
      <w:pPr>
        <w:jc w:val="left"/>
        <w:rPr>
          <w:color w:val="auto"/>
          <w:szCs w:val="21"/>
        </w:rPr>
      </w:pPr>
      <w:r>
        <w:rPr>
          <w:rFonts w:hint="eastAsia"/>
          <w:color w:val="auto"/>
          <w:szCs w:val="21"/>
        </w:rPr>
        <w:t>2、</w:t>
      </w:r>
      <w:r>
        <w:rPr>
          <w:color w:val="auto"/>
          <w:szCs w:val="21"/>
        </w:rPr>
        <w:t>文中首次出现的生物名称要注明拉丁名（斜体）；统计学符号（如</w:t>
      </w:r>
      <w:r>
        <w:rPr>
          <w:i/>
          <w:color w:val="auto"/>
          <w:szCs w:val="21"/>
        </w:rPr>
        <w:t>P</w:t>
      </w:r>
      <w:r>
        <w:rPr>
          <w:color w:val="auto"/>
          <w:szCs w:val="21"/>
        </w:rPr>
        <w:t>，</w:t>
      </w:r>
      <w:r>
        <w:rPr>
          <w:i/>
          <w:color w:val="auto"/>
          <w:szCs w:val="21"/>
        </w:rPr>
        <w:t>t</w:t>
      </w:r>
      <w:r>
        <w:rPr>
          <w:color w:val="auto"/>
          <w:szCs w:val="21"/>
        </w:rPr>
        <w:t>，</w:t>
      </w:r>
      <w:r>
        <w:rPr>
          <w:i/>
          <w:color w:val="auto"/>
          <w:szCs w:val="21"/>
        </w:rPr>
        <w:t>n</w:t>
      </w:r>
      <w:r>
        <w:rPr>
          <w:color w:val="auto"/>
          <w:szCs w:val="21"/>
        </w:rPr>
        <w:t>等）和变量符号须用斜体。</w:t>
      </w:r>
    </w:p>
    <w:p>
      <w:pPr>
        <w:jc w:val="left"/>
        <w:rPr>
          <w:color w:val="auto"/>
          <w:szCs w:val="21"/>
        </w:rPr>
      </w:pPr>
      <w:r>
        <w:rPr>
          <w:color w:val="auto"/>
          <w:szCs w:val="21"/>
        </w:rPr>
        <w:t>3</w:t>
      </w:r>
      <w:r>
        <w:rPr>
          <w:rFonts w:hint="eastAsia"/>
          <w:color w:val="auto"/>
          <w:szCs w:val="21"/>
        </w:rPr>
        <w:t>、</w:t>
      </w:r>
      <w:r>
        <w:rPr>
          <w:color w:val="auto"/>
          <w:szCs w:val="21"/>
        </w:rPr>
        <w:t>除了%和</w:t>
      </w:r>
      <w:r>
        <w:rPr>
          <w:rFonts w:hint="eastAsia" w:ascii="宋体" w:hAnsi="宋体" w:cs="宋体"/>
          <w:color w:val="auto"/>
          <w:szCs w:val="21"/>
        </w:rPr>
        <w:t>℃</w:t>
      </w:r>
      <w:r>
        <w:rPr>
          <w:color w:val="auto"/>
          <w:szCs w:val="21"/>
        </w:rPr>
        <w:t>外，其他计量单位与数量间空半字符，如：10 kg、15 m</w:t>
      </w:r>
      <w:r>
        <w:rPr>
          <w:color w:val="auto"/>
          <w:szCs w:val="21"/>
          <w:vertAlign w:val="superscript"/>
        </w:rPr>
        <w:t>2</w:t>
      </w:r>
      <w:r>
        <w:rPr>
          <w:color w:val="auto"/>
          <w:szCs w:val="21"/>
        </w:rPr>
        <w:t>、5 min、5%、25</w:t>
      </w:r>
      <w:r>
        <w:rPr>
          <w:rFonts w:hint="eastAsia" w:ascii="宋体" w:hAnsi="宋体" w:cs="宋体"/>
          <w:color w:val="auto"/>
          <w:szCs w:val="21"/>
        </w:rPr>
        <w:t>℃</w:t>
      </w:r>
      <w:r>
        <w:rPr>
          <w:color w:val="auto"/>
          <w:szCs w:val="21"/>
        </w:rPr>
        <w:t>。</w:t>
      </w:r>
    </w:p>
    <w:p>
      <w:pPr>
        <w:jc w:val="left"/>
        <w:rPr>
          <w:rFonts w:hint="eastAsia"/>
          <w:color w:val="auto"/>
          <w:szCs w:val="21"/>
        </w:rPr>
      </w:pPr>
      <w:r>
        <w:rPr>
          <w:color w:val="auto"/>
          <w:szCs w:val="21"/>
        </w:rPr>
        <w:t>4</w:t>
      </w:r>
      <w:r>
        <w:rPr>
          <w:rFonts w:hint="eastAsia"/>
          <w:color w:val="auto"/>
          <w:szCs w:val="21"/>
        </w:rPr>
        <w:t>、数值范围请统一用一字线，即“6.31~7.30”应为“6.31-7.30”，小数点前后没3位数空半字符，即“1000”应为“1 000”，“0</w:t>
      </w:r>
      <w:r>
        <w:rPr>
          <w:color w:val="auto"/>
          <w:szCs w:val="21"/>
        </w:rPr>
        <w:t>.</w:t>
      </w:r>
      <w:r>
        <w:rPr>
          <w:rFonts w:hint="eastAsia"/>
          <w:color w:val="auto"/>
          <w:szCs w:val="21"/>
        </w:rPr>
        <w:t>00</w:t>
      </w:r>
      <w:r>
        <w:rPr>
          <w:color w:val="auto"/>
          <w:szCs w:val="21"/>
        </w:rPr>
        <w:t>01</w:t>
      </w:r>
      <w:r>
        <w:rPr>
          <w:rFonts w:hint="eastAsia"/>
          <w:color w:val="auto"/>
          <w:szCs w:val="21"/>
        </w:rPr>
        <w:t>”应为“</w:t>
      </w:r>
      <w:r>
        <w:rPr>
          <w:color w:val="auto"/>
          <w:szCs w:val="21"/>
        </w:rPr>
        <w:t>0.</w:t>
      </w:r>
      <w:r>
        <w:rPr>
          <w:rFonts w:hint="eastAsia"/>
          <w:color w:val="auto"/>
          <w:szCs w:val="21"/>
        </w:rPr>
        <w:t>000</w:t>
      </w:r>
      <w:r>
        <w:rPr>
          <w:color w:val="auto"/>
          <w:szCs w:val="21"/>
        </w:rPr>
        <w:t xml:space="preserve"> 1</w:t>
      </w:r>
      <w:r>
        <w:rPr>
          <w:rFonts w:hint="eastAsia"/>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2"/>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2"/>
        <w:rPr>
          <w:rFonts w:hint="eastAsia" w:ascii="宋体" w:hAnsi="宋体"/>
          <w:color w:val="auto"/>
          <w:szCs w:val="21"/>
        </w:rPr>
      </w:pPr>
      <w:r>
        <w:rPr>
          <w:rFonts w:hint="eastAsia" w:ascii="宋体" w:hAnsi="宋体"/>
          <w:color w:val="auto"/>
          <w:szCs w:val="21"/>
        </w:rPr>
        <w:t>（研究类论文引言从</w:t>
      </w:r>
      <w:r>
        <w:rPr>
          <w:rFonts w:hint="eastAsia" w:ascii="宋体" w:hAnsi="宋体"/>
          <w:color w:val="auto"/>
          <w:szCs w:val="21"/>
          <w:highlight w:val="yellow"/>
        </w:rPr>
        <w:t>研究意义、前人研究进展、本研究切入点、拟解决的关键问题</w:t>
      </w:r>
      <w:r>
        <w:rPr>
          <w:rFonts w:hint="eastAsia" w:ascii="宋体" w:hAnsi="宋体"/>
          <w:color w:val="auto"/>
          <w:szCs w:val="21"/>
        </w:rPr>
        <w:t>4个</w:t>
      </w:r>
      <w:r>
        <w:rPr>
          <w:rFonts w:ascii="宋体" w:hAnsi="宋体"/>
          <w:color w:val="auto"/>
          <w:szCs w:val="21"/>
        </w:rPr>
        <w:t>方面进行撰写</w:t>
      </w:r>
      <w:r>
        <w:rPr>
          <w:rFonts w:hint="eastAsia" w:ascii="宋体" w:hAnsi="宋体"/>
          <w:color w:val="auto"/>
          <w:szCs w:val="21"/>
        </w:rPr>
        <w:t>，应以简短的篇幅介绍论文的写作背景和目的，以及相关领域内前人所做工作和研究的概况，说明本研究与前人工作的关系，目前的研究热点、存在的问题及作者工作的意义，引出本文的主题给读者以引导。引言也可以点明本文的理论依据实验基础和研究方法，简单阐述其研究内容；三言两语预示本研究结果、意义和前景，但不必展开讨论。）</w:t>
      </w:r>
    </w:p>
    <w:p>
      <w:pPr>
        <w:pStyle w:val="22"/>
        <w:rPr>
          <w:rFonts w:hint="eastAsia" w:ascii="宋体" w:hAnsi="宋体"/>
          <w:color w:val="auto"/>
          <w:szCs w:val="21"/>
          <w:lang w:val="en-US" w:eastAsia="zh-CN"/>
        </w:rPr>
      </w:pPr>
      <w:r>
        <w:rPr>
          <w:rFonts w:hint="eastAsia" w:ascii="宋体" w:hAnsi="宋体"/>
          <w:color w:val="auto"/>
          <w:szCs w:val="21"/>
          <w:lang w:val="en-US" w:eastAsia="zh-CN"/>
        </w:rPr>
        <w:t>随着互联网技术的不断发展，大规模的开放在线课程（MOOC）等在线教育平台逐渐兴起，为学生提供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考虑到开放式作业对提高学生创新思维能力和语言组织能力至关重要【】，</w:t>
      </w:r>
      <w:r>
        <w:rPr>
          <w:rFonts w:hint="eastAsia" w:ascii="Times New Roman" w:hAnsi="Times New Roman"/>
          <w:color w:val="auto"/>
          <w:szCs w:val="21"/>
          <w:lang w:val="en-US" w:eastAsia="zh-CN"/>
        </w:rPr>
        <w:t>目前主流的MOOC平台，包括Coursera1、edX2和ICourse3，都采用同行互评的方法来帮助教师评估学生提交的大量开放式作业。</w:t>
      </w:r>
    </w:p>
    <w:p>
      <w:pPr>
        <w:keepNext w:val="0"/>
        <w:keepLines w:val="0"/>
        <w:widowControl/>
        <w:suppressLineNumbers w:val="0"/>
        <w:jc w:val="left"/>
        <w:rPr>
          <w:rFonts w:hint="default" w:ascii="宋体" w:hAnsi="宋体"/>
          <w:color w:val="auto"/>
          <w:szCs w:val="21"/>
          <w:lang w:val="en-US" w:eastAsia="zh-CN"/>
        </w:rPr>
      </w:pPr>
      <w:r>
        <w:rPr>
          <w:rFonts w:hint="eastAsia" w:ascii="宋体" w:hAnsi="宋体"/>
          <w:color w:val="auto"/>
          <w:szCs w:val="21"/>
          <w:lang w:val="en-US" w:eastAsia="zh-CN"/>
        </w:rPr>
        <w:t>同行互评方法与众包类似，它要求所有提交作业的学生扮演同行评价者，根据教师提供的评分细则，以匿名的方式对所有提交的作业的一小部分进行评价。最后对每份作业的所有评价结果进行汇总，得到每份作业真实分数。其中，我们仅考虑基数估计的同行互评技术，即同行评价者必须给每份评价作业一个数值型的分数。</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color w:val="auto"/>
          <w:szCs w:val="21"/>
          <w:lang w:val="en-US" w:eastAsia="zh-CN"/>
        </w:rPr>
      </w:pPr>
      <w:r>
        <w:rPr>
          <w:rFonts w:hint="eastAsia" w:ascii="宋体" w:hAnsi="宋体"/>
          <w:color w:val="auto"/>
          <w:szCs w:val="21"/>
          <w:lang w:val="en-US" w:eastAsia="zh-CN"/>
        </w:rPr>
        <w:t>除了能够减少教师的工作量之外，同行互评还可以带来其他的教育价值，可以激发学生的学习兴趣【】，加强学生的课程参与【】，提高学生的责任感【】。</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之一是同行互评的分数汇总方式，即根据同行评价者的对作业评分集合得到尽可能接近该作业的真实分数的结果。目前，大多数的MOOC平台</w:t>
      </w:r>
      <w:r>
        <w:rPr>
          <w:rFonts w:hint="eastAsia" w:ascii="宋体" w:hAnsi="宋体" w:eastAsia="宋体" w:cs="Times New Roman"/>
          <w:color w:val="auto"/>
          <w:kern w:val="2"/>
          <w:sz w:val="21"/>
          <w:szCs w:val="21"/>
          <w:lang w:val="en-US" w:eastAsia="zh-CN" w:bidi="ar-SA"/>
        </w:rPr>
        <w:t>（例如</w:t>
      </w:r>
      <w:r>
        <w:rPr>
          <w:rFonts w:hint="default" w:ascii="宋体" w:hAnsi="宋体"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宋体" w:hAnsi="宋体" w:eastAsia="宋体" w:cs="Times New Roman"/>
          <w:color w:val="auto"/>
          <w:kern w:val="2"/>
          <w:sz w:val="21"/>
          <w:szCs w:val="21"/>
          <w:lang w:val="en-US" w:eastAsia="zh-CN" w:bidi="ar-SA"/>
        </w:rPr>
        <w:t>M00C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价的均值和中位数，作为该作业的最终分数。然而，同行评价者的评分质量乘次不齐，受到其可靠性、偏见等因素的影响【】，其中，偏见意味着同行评价者的评分有放大或缩小的习惯性倾向，而可靠性表示了同行评价者的评分与真实分数之间的随机偏差。因此用均值和中位数来作为最终评分并不准确【】。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只与该评价者</w:t>
      </w:r>
      <w:r>
        <w:rPr>
          <w:rFonts w:hint="eastAsia" w:ascii="宋体" w:hAnsi="宋体" w:cs="Times New Roman"/>
          <w:color w:val="auto"/>
          <w:szCs w:val="21"/>
          <w:lang w:val="en-US" w:eastAsia="zh-CN"/>
        </w:rPr>
        <w:t>作为答题者，</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真实分数</w:t>
      </w:r>
      <w:r>
        <w:rPr>
          <w:rFonts w:hint="eastAsia" w:ascii="宋体" w:hAnsi="宋体" w:eastAsia="宋体" w:cs="Times New Roman"/>
          <w:color w:val="auto"/>
          <w:szCs w:val="21"/>
          <w:lang w:val="en-US" w:eastAsia="zh-CN"/>
        </w:rPr>
        <w:t>有关。虽然学生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s="Times New Roman"/>
          <w:color w:val="auto"/>
          <w:szCs w:val="21"/>
          <w:lang w:val="en-US" w:eastAsia="zh-CN"/>
        </w:rPr>
        <w:t>如图我们发现，评价者在同一次的评分表现结果是很接近的，如果他在其中一份作业中的评价表现很好，那么他大概率在其他几份作业中的评价表现也很好。根据实验结果，我们发现一个评价者的历史表现良好，那么他在历史上的表现也很好，如果表现不好，这个学生的表现也一直不好。对此，评价的可靠性能力是相对固定的。</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的区别在于，</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假设评价者可靠性服从伽马分布，而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假设评价者可靠性服从正态分布。我们还提出了一种方式来</w:t>
      </w:r>
      <w:r>
        <w:rPr>
          <w:rFonts w:hint="eastAsia" w:ascii="宋体" w:hAnsi="宋体" w:cs="Times New Roman"/>
          <w:color w:val="auto"/>
          <w:szCs w:val="21"/>
          <w:lang w:val="en-US" w:eastAsia="zh-CN"/>
        </w:rPr>
        <w:t>量化</w:t>
      </w:r>
      <w:r>
        <w:rPr>
          <w:rFonts w:hint="eastAsia" w:ascii="宋体" w:hAnsi="宋体" w:eastAsia="宋体" w:cs="Times New Roman"/>
          <w:color w:val="auto"/>
          <w:szCs w:val="21"/>
          <w:lang w:val="en-US" w:eastAsia="zh-CN"/>
        </w:rPr>
        <w:t>学生的评价能力，</w:t>
      </w:r>
      <w:r>
        <w:rPr>
          <w:rFonts w:hint="eastAsia" w:ascii="宋体" w:hAnsi="宋体" w:cs="Times New Roman"/>
          <w:color w:val="auto"/>
          <w:szCs w:val="21"/>
          <w:lang w:val="en-US" w:eastAsia="zh-CN"/>
        </w:rPr>
        <w:t>并且</w:t>
      </w:r>
      <w:r>
        <w:rPr>
          <w:rFonts w:hint="eastAsia" w:ascii="宋体" w:hAnsi="宋体" w:eastAsia="宋体" w:cs="Times New Roman"/>
          <w:color w:val="auto"/>
          <w:szCs w:val="21"/>
          <w:lang w:val="en-US" w:eastAsia="zh-CN"/>
        </w:rPr>
        <w:t>通过教师抽查的</w:t>
      </w:r>
      <w:r>
        <w:rPr>
          <w:rFonts w:hint="eastAsia" w:ascii="宋体" w:hAnsi="宋体" w:cs="Times New Roman"/>
          <w:color w:val="auto"/>
          <w:szCs w:val="21"/>
          <w:lang w:val="en-US" w:eastAsia="zh-CN"/>
        </w:rPr>
        <w:t>方式，对其迭代更新，提高准确性，</w:t>
      </w:r>
      <w:r>
        <w:rPr>
          <w:rFonts w:hint="eastAsia" w:ascii="宋体" w:hAnsi="宋体" w:eastAsia="宋体" w:cs="Times New Roman"/>
          <w:color w:val="auto"/>
          <w:szCs w:val="21"/>
          <w:lang w:val="en-US" w:eastAsia="zh-CN"/>
        </w:rPr>
        <w:t>最后通过真实数据集与传统的概率模型进行了对比，验证了该模型的有效性。</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本文的主要贡献有：</w:t>
      </w:r>
    </w:p>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目前主流的主观题作业的自动判别技术主要有两种，基于自然语言处理的技术和基于同行互评的技术。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根据同行评价者反馈的内容进行分类，可以将主观题的同行互评的汇总估计技术分为序数估计技术和基数估计技术。</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的基础上，提出了RBTL模型【】，将每个从学生那里收集的有序比较对，看做是两两比较的成对偏好分布，通过两两间的关系推导出最终的排名。而Raman【】等人将一些传统的排序聚合模型（包括BT【】、MAL【】、Thurstone【】、PL【】）应用到了序数估计模型中，并且引入了同行评价者的评分可靠性变量，有效提升了序数估计模型对作业真实分数估计的准确性。Nicola等人则基于模糊数学理论定义了一个有序同行评价模型FOPA【】，与只有“大于”、“小于”传统的序数估计不同，FOPA模型映入更多的关系符号，例如“远远大于”、“大于等于”、“约等于”等，以此提高序数估计的准确性。</w:t>
      </w:r>
    </w:p>
    <w:p>
      <w:pPr>
        <w:pStyle w:val="22"/>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widowControl/>
        <w:suppressLineNumbers w:val="0"/>
        <w:jc w:val="left"/>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生成概率模型则是将学生作业的真实分数、同行评价者的其他属性建模为含隐变量概率分布模型，然后通过可观测的评分信息推演隐变量的值。生成概率模型最早由Piech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提出了三种概率模型PG1，PG2，PG3。</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其中效果最好的PG3认为同行评价者的可靠性与其作业的真实分数之间存在联系，于是在两者之间建立了线性关系进行转化，在实验的数据中，PG3的预测分数的准确性在三个模型中是最好的。而Mi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在PG3的基础上，将同行评价者的可靠性建模为均值为真实分数的概率分布模型，提出了PG4和PG5</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。其中PG4假设可靠性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服从伽马分布，而PG5假设可靠性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同行互评者打分这一个可观测的变量，使得预测模型存在数据稀疏的缺陷。因此，Wang在PG4和PG5上加入了相对分数等级，即同一评分者不同提交成绩的绝对同伴等级的差异，构成了PG6和PG7</w:t>
      </w:r>
      <w:r>
        <w:rPr>
          <w:rFonts w:hint="eastAsia" w:cs="Times New Roman"/>
          <w:color w:val="auto"/>
          <w:szCs w:val="21"/>
          <w:lang w:val="en-US" w:eastAsia="zh-CN"/>
        </w:rPr>
        <w:t>【】。两者在原有的模型基础上，加入了一个可观测变量，</w:t>
      </w:r>
      <w:r>
        <w:rPr>
          <w:rFonts w:hint="eastAsia" w:ascii="Times New Roman" w:hAnsi="Times New Roman" w:eastAsia="宋体" w:cs="Times New Roman"/>
          <w:color w:val="auto"/>
          <w:szCs w:val="21"/>
          <w:lang w:val="en-US" w:eastAsia="zh-CN"/>
        </w:rPr>
        <w:t>有效地解决了数据稀疏性带来的问题。然而，现有的概率生成模型在对学生的可靠性建模时，将学生作业的真实分数作为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一种学生的评价准确性的定义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可靠性的建模方法。评价的准确性</w:t>
      </w:r>
      <w:r>
        <w:rPr>
          <w:rFonts w:hint="eastAsia" w:cs="Times New Roman"/>
          <w:color w:val="auto"/>
          <w:szCs w:val="21"/>
          <w:lang w:val="en-US" w:eastAsia="zh-CN"/>
        </w:rPr>
        <w:t>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，差距越小，说明学生评价的可靠性越高。并且，在一个周期之内，学生的可靠性不会发生太大的变化。</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color w:val="auto"/>
          <w:szCs w:val="21"/>
          <w:lang w:val="en-US" w:eastAsia="zh-CN"/>
        </w:rPr>
      </w:pPr>
      <w:r>
        <w:rPr>
          <w:rFonts w:hint="eastAsia" w:ascii="Times New Roman" w:hAnsi="Times New Roman" w:eastAsia="宋体" w:cs="Times New Roman"/>
          <w:color w:val="auto"/>
          <w:szCs w:val="21"/>
          <w:lang w:val="en-US" w:eastAsia="zh-CN"/>
        </w:rPr>
        <w:t>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rPr>
          <w:rFonts w:hint="eastAsia"/>
          <w:color w:val="auto"/>
          <w:szCs w:val="21"/>
        </w:rPr>
      </w:pPr>
      <w:r>
        <w:rPr>
          <w:rFonts w:hint="eastAsia" w:hAnsi="宋体"/>
          <w:color w:val="auto"/>
          <w:sz w:val="18"/>
          <w:szCs w:val="18"/>
        </w:rPr>
        <w:t>姓名 (出生年—)，性别，职称（需</w:t>
      </w:r>
      <w:r>
        <w:rPr>
          <w:rFonts w:hAnsi="宋体"/>
          <w:color w:val="auto"/>
          <w:sz w:val="18"/>
          <w:szCs w:val="18"/>
        </w:rPr>
        <w:t>与第一作者同级或更高</w:t>
      </w:r>
      <w:r>
        <w:rPr>
          <w:rFonts w:hint="eastAsia" w:hAnsi="宋体"/>
          <w:color w:val="auto"/>
          <w:sz w:val="18"/>
          <w:szCs w:val="18"/>
        </w:rPr>
        <w:t>），主要从事研究方向，E-mail：</w:t>
      </w:r>
    </w:p>
    <w:p>
      <w:pPr>
        <w:pStyle w:val="22"/>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在本节中，我们会首先介绍使用到的符号，然后介绍我们自定义的互评能力的计算方法，最后介绍我们的同行互评概率模型。</w:t>
      </w: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符号意义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对于所有</w:t>
      </w:r>
      <w:r>
        <w:rPr>
          <w:rFonts w:hint="eastAsia" w:cs="Times New Roman"/>
          <w:color w:val="auto"/>
          <w:kern w:val="2"/>
          <w:sz w:val="21"/>
          <w:szCs w:val="21"/>
          <w:vertAlign w:val="baseline"/>
          <w:lang w:val="en-US" w:eastAsia="zh-CN"/>
        </w:rPr>
        <w:t>参与同行互评的学生集合</w:t>
      </w:r>
      <w:r>
        <w:rPr>
          <w:rFonts w:hint="eastAsia" w:cs="Times New Roman"/>
          <w:color w:val="auto"/>
          <w:kern w:val="2"/>
          <w:sz w:val="21"/>
          <w:szCs w:val="21"/>
          <w:lang w:val="en-US" w:eastAsia="zh-CN"/>
        </w:rPr>
        <w:t>，我们使用</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中的</w:t>
      </w:r>
      <w:r>
        <w:rPr>
          <w:rFonts w:hint="eastAsia" w:hAnsi="Cambria Math" w:cs="Times New Roman"/>
          <w:i w:val="0"/>
          <w:color w:val="auto"/>
          <w:kern w:val="2"/>
          <w:sz w:val="21"/>
          <w:szCs w:val="21"/>
          <w:lang w:val="en-US" w:eastAsia="zh-CN"/>
        </w:rPr>
        <w:t>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r>
        <w:rPr>
          <w:rFonts w:hint="eastAsia" w:cs="Times New Roman"/>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0000FF"/>
          <w:kern w:val="2"/>
          <w:sz w:val="21"/>
          <w:szCs w:val="21"/>
          <w:lang w:val="en-US" w:eastAsia="zh-CN"/>
        </w:rPr>
      </w:pPr>
      <w:r>
        <w:rPr>
          <w:rFonts w:hint="eastAsia" w:cs="Times New Roman"/>
          <w:color w:val="0000FF"/>
          <w:kern w:val="2"/>
          <w:sz w:val="21"/>
          <w:szCs w:val="21"/>
          <w:lang w:val="en-US" w:eastAsia="zh-CN"/>
        </w:rPr>
        <w:t>我们用</w:t>
      </w:r>
      <w:r>
        <w:rPr>
          <w:rFonts w:hint="default" w:ascii="Times New Roman" w:hAnsi="Times New Roman" w:cs="Times New Roman"/>
          <w:i/>
          <w:iCs/>
          <w:color w:val="0000FF"/>
          <w:kern w:val="2"/>
          <w:sz w:val="21"/>
          <w:szCs w:val="21"/>
          <w:lang w:val="en-US" w:eastAsia="zh-CN"/>
        </w:rPr>
        <w:t>H</w:t>
      </w:r>
      <w:r>
        <w:rPr>
          <w:rFonts w:hint="eastAsia" w:cs="Times New Roman"/>
          <w:color w:val="0000FF"/>
          <w:kern w:val="2"/>
          <w:sz w:val="21"/>
          <w:szCs w:val="21"/>
          <w:lang w:val="en-US" w:eastAsia="zh-CN"/>
        </w:rPr>
        <w:t>表示所有提交的开放式作业的集合，</w:t>
      </w:r>
      <m:oMath>
        <m:sSub>
          <m:sSubPr>
            <m:ctrlPr>
              <w:rPr>
                <w:rFonts w:ascii="Cambria Math" w:hAnsi="Cambria Math" w:cs="Times New Roman"/>
                <w:i/>
                <w:color w:val="0000FF"/>
                <w:kern w:val="2"/>
                <w:sz w:val="21"/>
                <w:szCs w:val="21"/>
                <w:lang w:val="en-US"/>
              </w:rPr>
            </m:ctrlPr>
          </m:sSubPr>
          <m:e>
            <m:r>
              <m:rPr/>
              <w:rPr>
                <w:rFonts w:hint="default" w:ascii="Cambria Math" w:hAnsi="Cambria Math" w:cs="Times New Roman"/>
                <w:color w:val="0000FF"/>
                <w:kern w:val="2"/>
                <w:sz w:val="21"/>
                <w:szCs w:val="21"/>
                <w:lang w:val="en-US" w:eastAsia="zh-CN"/>
              </w:rPr>
              <m:t>ℎ</m:t>
            </m:r>
            <m:ctrlPr>
              <w:rPr>
                <w:rFonts w:ascii="Cambria Math" w:hAnsi="Cambria Math" w:cs="Times New Roman"/>
                <w:i/>
                <w:color w:val="0000FF"/>
                <w:kern w:val="2"/>
                <w:sz w:val="21"/>
                <w:szCs w:val="21"/>
                <w:lang w:val="en-US"/>
              </w:rPr>
            </m:ctrlPr>
          </m:e>
          <m:sub>
            <m:r>
              <m:rPr/>
              <w:rPr>
                <w:rFonts w:hint="default" w:ascii="Cambria Math" w:hAnsi="Cambria Math" w:cs="Times New Roman"/>
                <w:color w:val="0000FF"/>
                <w:kern w:val="2"/>
                <w:sz w:val="21"/>
                <w:szCs w:val="21"/>
                <w:lang w:val="en-US" w:eastAsia="zh-CN"/>
              </w:rPr>
              <m:t>i</m:t>
            </m:r>
            <m:ctrlPr>
              <w:rPr>
                <w:rFonts w:ascii="Cambria Math" w:hAnsi="Cambria Math" w:cs="Times New Roman"/>
                <w:i/>
                <w:color w:val="0000FF"/>
                <w:kern w:val="2"/>
                <w:sz w:val="21"/>
                <w:szCs w:val="21"/>
                <w:lang w:val="en-US"/>
              </w:rPr>
            </m:ctrlPr>
          </m:sub>
        </m:sSub>
      </m:oMath>
      <w:r>
        <w:rPr>
          <w:rFonts w:hint="eastAsia" w:cs="Times New Roman"/>
          <w:color w:val="0000FF"/>
          <w:kern w:val="2"/>
          <w:sz w:val="21"/>
          <w:szCs w:val="21"/>
          <w:lang w:val="en-US" w:eastAsia="zh-CN"/>
        </w:rPr>
        <w:t>表示</w:t>
      </w:r>
      <m:oMath>
        <m:sSub>
          <m:sSubPr>
            <m:ctrlPr>
              <w:rPr>
                <w:rFonts w:ascii="Cambria Math" w:hAnsi="Cambria Math" w:cs="Times New Roman"/>
                <w:i/>
                <w:color w:val="0000FF"/>
                <w:kern w:val="2"/>
                <w:sz w:val="21"/>
                <w:szCs w:val="21"/>
                <w:lang w:val="en-US"/>
              </w:rPr>
            </m:ctrlPr>
          </m:sSubPr>
          <m:e>
            <m:r>
              <m:rPr/>
              <w:rPr>
                <w:rFonts w:hint="default" w:ascii="Cambria Math" w:hAnsi="Cambria Math" w:cs="Times New Roman"/>
                <w:color w:val="0000FF"/>
                <w:kern w:val="2"/>
                <w:sz w:val="21"/>
                <w:szCs w:val="21"/>
                <w:lang w:val="en-US" w:eastAsia="zh-CN"/>
              </w:rPr>
              <m:t>u</m:t>
            </m:r>
            <m:ctrlPr>
              <w:rPr>
                <w:rFonts w:ascii="Cambria Math" w:hAnsi="Cambria Math" w:cs="Times New Roman"/>
                <w:i/>
                <w:color w:val="0000FF"/>
                <w:kern w:val="2"/>
                <w:sz w:val="21"/>
                <w:szCs w:val="21"/>
                <w:lang w:val="en-US"/>
              </w:rPr>
            </m:ctrlPr>
          </m:e>
          <m:sub>
            <m:r>
              <m:rPr/>
              <w:rPr>
                <w:rFonts w:hint="default" w:ascii="Cambria Math" w:hAnsi="Cambria Math" w:cs="Times New Roman"/>
                <w:color w:val="0000FF"/>
                <w:kern w:val="2"/>
                <w:sz w:val="21"/>
                <w:szCs w:val="21"/>
                <w:lang w:val="en-US" w:eastAsia="zh-CN"/>
              </w:rPr>
              <m:t>i</m:t>
            </m:r>
            <m:ctrlPr>
              <w:rPr>
                <w:rFonts w:ascii="Cambria Math" w:hAnsi="Cambria Math" w:cs="Times New Roman"/>
                <w:i/>
                <w:color w:val="0000FF"/>
                <w:kern w:val="2"/>
                <w:sz w:val="21"/>
                <w:szCs w:val="21"/>
                <w:lang w:val="en-US"/>
              </w:rPr>
            </m:ctrlPr>
          </m:sub>
        </m:sSub>
      </m:oMath>
      <w:r>
        <w:rPr>
          <w:rFonts w:hint="eastAsia" w:cs="Times New Roman"/>
          <w:color w:val="0000FF"/>
          <w:kern w:val="2"/>
          <w:sz w:val="21"/>
          <w:szCs w:val="21"/>
          <w:lang w:val="en-US" w:eastAsia="zh-CN"/>
        </w:rPr>
        <w:t>提交的作业。</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我们用</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表示同行评价者，通常情况下,所有提交作业的学生都将作为同行评价者参与打分，即</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r>
        <w:rPr>
          <w:rFonts w:hint="eastAsia" w:cs="Times New Roman"/>
          <w:color w:val="auto"/>
          <w:kern w:val="2"/>
          <w:sz w:val="21"/>
          <w:szCs w:val="21"/>
          <w:lang w:val="en-US" w:eastAsia="zh-CN"/>
        </w:rPr>
        <w:t>。在互评活动中，一名同行评价者会为</w:t>
      </w:r>
      <w:r>
        <w:rPr>
          <w:rFonts w:hint="default" w:ascii="Times New Roman" w:hAnsi="Times New Roman" w:cs="Times New Roman"/>
          <w:i/>
          <w:iCs/>
          <w:color w:val="auto"/>
          <w:kern w:val="2"/>
          <w:sz w:val="21"/>
          <w:szCs w:val="21"/>
          <w:lang w:val="en-US" w:eastAsia="zh-CN"/>
        </w:rPr>
        <w:t>l</w:t>
      </w:r>
      <w:r>
        <w:rPr>
          <w:rFonts w:hint="eastAsia" w:cs="Times New Roman"/>
          <w:color w:val="auto"/>
          <w:kern w:val="2"/>
          <w:sz w:val="21"/>
          <w:szCs w:val="21"/>
          <w:lang w:val="en-US" w:eastAsia="zh-CN"/>
        </w:rPr>
        <w:t>份作业评分，其作业的满分为</w:t>
      </w:r>
      <m:oMath>
        <m:r>
          <m:rPr/>
          <w:rPr>
            <w:rFonts w:hint="default"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接下来是概率模型重要概念的定义，包括可观测变量和隐变量。表一总结了以下变量。</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真实分数</w:t>
      </w:r>
      <w:r>
        <w:rPr>
          <w:rFonts w:hint="eastAsia" w:cs="Times New Roman"/>
          <w:color w:val="auto"/>
          <w:kern w:val="2"/>
          <w:sz w:val="21"/>
          <w:szCs w:val="21"/>
          <w:lang w:val="en-US" w:eastAsia="zh-CN"/>
        </w:rPr>
        <w:t>：真实分数是隐变量，表示一份作业严格按照评分准则得到的分数，本文中，我们将教师的评分也定义为真实分数。真实分数用字母</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是学生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作业的真实分数。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偏见</w:t>
      </w:r>
      <w:r>
        <w:rPr>
          <w:rFonts w:hint="eastAsia" w:cs="Times New Roman"/>
          <w:color w:val="auto"/>
          <w:kern w:val="2"/>
          <w:sz w:val="21"/>
          <w:szCs w:val="21"/>
          <w:lang w:val="en-US" w:eastAsia="zh-CN"/>
        </w:rPr>
        <w:t>：偏见是隐变量，表示一个同行互评者在互评时夸大和缩小一定分数的倾向,是同行评价者的存在客观属性。</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可靠性</w:t>
      </w:r>
      <w:r>
        <w:rPr>
          <w:rFonts w:hint="eastAsia" w:cs="Times New Roman"/>
          <w:color w:val="auto"/>
          <w:kern w:val="2"/>
          <w:sz w:val="21"/>
          <w:szCs w:val="21"/>
          <w:lang w:val="en-US" w:eastAsia="zh-CN"/>
        </w:rPr>
        <w:t>：可靠性是隐变量，表示评价者的评分在经历了偏置的校准后，对作业真实分数的平均倾向。可靠性通过</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的可靠性。在我们的概率模型中，评价者的可靠性将取决于评分能力。</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互评分数</w:t>
      </w:r>
      <w:r>
        <w:rPr>
          <w:rFonts w:hint="eastAsia" w:cs="Times New Roman"/>
          <w:color w:val="auto"/>
          <w:kern w:val="2"/>
          <w:sz w:val="21"/>
          <w:szCs w:val="21"/>
          <w:lang w:val="en-US" w:eastAsia="zh-CN"/>
        </w:rPr>
        <w:t>：互评分数是可观测变量，表示同行评价者给作业打出的评分，用字母</w:t>
      </w:r>
      <w:r>
        <w:rPr>
          <w:rFonts w:hint="default" w:ascii="Times New Roman" w:hAnsi="Times New Roman" w:cs="Times New Roman"/>
          <w:i/>
          <w:iCs/>
          <w:color w:val="auto"/>
          <w:kern w:val="2"/>
          <w:sz w:val="21"/>
          <w:szCs w:val="21"/>
          <w:lang w:val="en-US" w:eastAsia="zh-CN"/>
        </w:rPr>
        <w:t>z</w:t>
      </w:r>
      <w:r>
        <w:rPr>
          <w:rFonts w:hint="eastAsia" w:ascii="Times New Roman" w:hAnsi="Times New Roman" w:cs="Times New Roman"/>
          <w:i w:val="0"/>
          <w:iCs w:val="0"/>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打出的评分。评价分数的集合</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U,v</m:t>
        </m:r>
        <m:r>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m:r>
          <m:rPr>
            <m:sty m:val="p"/>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.在生成评分者的偏差和可靠性以及真实分数后，可以用这些变量生成互评分数。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相对分数</w:t>
      </w:r>
      <w:r>
        <w:rPr>
          <w:rFonts w:hint="eastAsia" w:cs="Times New Roman"/>
          <w:color w:val="auto"/>
          <w:kern w:val="2"/>
          <w:sz w:val="21"/>
          <w:szCs w:val="21"/>
          <w:lang w:val="en-US" w:eastAsia="zh-CN"/>
        </w:rPr>
        <w:t>：相对分数是可观测变量，表示同一个同行评价者的互评分数们之间的差距，用</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的互评分数之间的绝对差，即</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之间的绝对差。</w:t>
      </w:r>
    </w:p>
    <w:p>
      <w:pPr>
        <w:pStyle w:val="27"/>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p>
    <w:p>
      <w:pPr>
        <w:pStyle w:val="27"/>
        <w:keepNext w:val="0"/>
        <w:keepLines w:val="0"/>
        <w:pageBreakBefore w:val="0"/>
        <w:widowControl/>
        <w:numPr>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eastAsia="zh-CN"/>
        </w:rPr>
      </w:pPr>
      <w:r>
        <w:rPr>
          <w:rFonts w:hint="eastAsia" w:cs="Times New Roman"/>
          <w:color w:val="auto"/>
          <w:kern w:val="2"/>
          <w:sz w:val="21"/>
          <w:szCs w:val="21"/>
          <w:lang w:val="en-US" w:eastAsia="zh-CN"/>
        </w:rPr>
        <w:t>表</w:t>
      </w:r>
      <w:r>
        <w:rPr>
          <w:rFonts w:hint="default" w:cs="Times New Roman"/>
          <w:color w:val="auto"/>
          <w:kern w:val="2"/>
          <w:sz w:val="21"/>
          <w:szCs w:val="21"/>
          <w:lang w:eastAsia="zh-CN"/>
        </w:rPr>
        <w:t xml:space="preserve"> 1 主要符号及其含义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lang w:eastAsia="zh-CN"/>
        </w:rPr>
      </w:pPr>
      <w:r>
        <w:rPr>
          <w:rFonts w:hint="default" w:cs="Times New Roman"/>
          <w:color w:val="auto"/>
          <w:kern w:val="2"/>
          <w:sz w:val="21"/>
          <w:szCs w:val="21"/>
          <w:lang w:eastAsia="zh-CN"/>
        </w:rPr>
        <w:t>Table 1 Main notations and their descriptions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符号</w:t>
            </w:r>
          </w:p>
        </w:tc>
        <w:tc>
          <w:tcPr>
            <w:tcW w:w="3371"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eastAsia="zh-CN" w:bidi="ar-SA"/>
                  </w:rPr>
                  <m:t>U</m:t>
                </m:r>
              </m:oMath>
            </m:oMathPara>
          </w:p>
        </w:tc>
        <w:tc>
          <w:tcPr>
            <w:tcW w:w="3371"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参与同行互评的学生集合，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lang w:val="en-US" w:eastAsia="zh-CN"/>
              </w:rPr>
              <w:t>v</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一位同行评价者，</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vertAlign w:val="baseline"/>
                <w:lang w:val="en-US" w:eastAsia="zh-CN"/>
              </w:rPr>
              <w:t>l</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每个学生在同行评审阶段评价的作业数量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rPr>
                  <m:t>φ</m:t>
                </m:r>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作业的满分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vertAlign w:val="baseline"/>
                <w:lang w:val="en-US" w:eastAsia="zh-CN"/>
              </w:rPr>
              <w:t>的真实分数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m:oMathPara>
          </w:p>
        </w:tc>
        <w:tc>
          <w:tcPr>
            <w:tcW w:w="3371"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w:t>
            </w:r>
          </w:p>
        </w:tc>
      </w:tr>
    </w:tbl>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2 评价能力</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Wang指出【】，同行评价者的准确性可以由其互评分数与真实分数之间的差距决定。因此我们将同行评价者的互评分数与真实分数作为一个新的变量，称为同行互评者的评分能力，重新对可靠性进行建模。计算评分能力的公式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eastAsia="宋体"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表示学生的真实得分，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表示学生</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对</w:t>
      </w:r>
      <w:r>
        <w:rPr>
          <w:rFonts w:hint="default" w:ascii="Times New Roman" w:hAnsi="Times New Roman" w:cs="Times New Roman"/>
          <w:i/>
          <w:iCs/>
          <w:color w:val="auto"/>
          <w:kern w:val="2"/>
          <w:sz w:val="21"/>
          <w:szCs w:val="21"/>
          <w:lang w:val="en-US" w:eastAsia="zh-CN"/>
        </w:rPr>
        <w:t>j</w:t>
      </w:r>
      <w:r>
        <w:rPr>
          <w:rFonts w:hint="eastAsia" w:cs="Times New Roman"/>
          <w:color w:val="auto"/>
          <w:kern w:val="2"/>
          <w:sz w:val="21"/>
          <w:szCs w:val="21"/>
          <w:lang w:val="en-US" w:eastAsia="zh-CN"/>
        </w:rPr>
        <w:t>的评分。</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表示同行</w:t>
      </w: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评价的作业集合中，具有真实分数的作业集合。</w:t>
      </w:r>
      <m:oMath>
        <m:r>
          <m:rPr/>
          <w:rPr>
            <w:rFonts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表示</w:t>
      </w:r>
      <w:r>
        <w:rPr>
          <w:rFonts w:hint="eastAsia" w:cs="Times New Roman"/>
          <w:color w:val="auto"/>
          <w:kern w:val="2"/>
          <w:sz w:val="21"/>
          <w:szCs w:val="21"/>
          <w:lang w:val="en-US" w:eastAsia="zh-CN"/>
        </w:rPr>
        <w:t>作业的满分。在互评结束后，我们将每位学生的最终得分视为真实分数。通过公式，我们可以得到每个学生的评价能力，用于下一次的同行互评。通过实验，我们验证了每个学生的评价能力在迭代互评过程中很少发生变化。也就是说，认真的人会一直认真。所以为了能够最大程度得到学生的准确性，我们通过最大限度分配审查资源的方式以得到更多的准确性。</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计算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以此获得这部分学生的评价能力。而那些没有被评价审查资源的学生，将会沿用上一次计算留下的评价能力，因为通过实验，我们验证了每个学生的评价能力在迭代互评过程中很少发生变化。也就是说，认真的人会一直认真。而他们评价能力将会在互评结束之后，通过概率模型汇总的最终分数作为真实分数，进行更新，以用于下一次的同行互评。所以我们模型的流程图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在拥有了评价能力之后，我们就可以对概率模型进行建模了。基于以上的符号表征，我们的研究问题是：通过建模互评分数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、可靠性</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、偏置</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以及作业的真实分数</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之间的关系，来有效的估计作业的真实分数。换句话说，我们将问题定义如下：给定同行分数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，我们会学习所有评价者</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，以及所有的</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w:t>
      </w:r>
    </w:p>
    <w:p>
      <w:pPr>
        <w:pStyle w:val="22"/>
        <w:ind w:firstLine="0" w:firstLineChars="0"/>
        <w:rPr>
          <w:rFonts w:hint="eastAsia"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3 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我们一共提出了</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7</w:t>
      </w:r>
      <w:r>
        <w:rPr>
          <w:rFonts w:hint="eastAsia" w:cs="Times New Roman"/>
          <w:color w:val="auto"/>
          <w:kern w:val="2"/>
          <w:sz w:val="21"/>
          <w:szCs w:val="21"/>
          <w:lang w:val="en-US" w:eastAsia="zh-CN"/>
        </w:rPr>
        <w:t>两个概率模型。其中，</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拓展于现有的</w:t>
      </w:r>
      <w:r>
        <w:rPr>
          <w:rFonts w:hint="default" w:ascii="Times New Roman" w:hAnsi="Times New Roman" w:cs="Times New Roman"/>
          <w:i/>
          <w:iCs/>
          <w:color w:val="auto"/>
          <w:kern w:val="2"/>
          <w:sz w:val="21"/>
          <w:szCs w:val="21"/>
          <w:lang w:val="en-US" w:eastAsia="zh-CN"/>
        </w:rPr>
        <w:t>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模型，其随机变量之间的条件依赖结构如图1中的图形模型所示。如图所示，互评分数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和同伴的评价能力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是模型中可观测的随机变量。学生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提交的真实得分</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、评分者的可靠性和</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偏置</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是模型中需要估计的潜在变量。这些潜在变量的先验分布与超参数</w:t>
      </w:r>
      <m:oMath>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η</m:t>
        </m:r>
      </m:oMath>
      <w:r>
        <w:rPr>
          <w:rFonts w:hint="eastAsia" w:cs="Times New Roman"/>
          <w:color w:val="auto"/>
          <w:kern w:val="2"/>
          <w:sz w:val="21"/>
          <w:szCs w:val="21"/>
          <w:lang w:val="en-US" w:eastAsia="zh-CN"/>
        </w:rPr>
        <w:t>的分布是彼此联系的。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w:t>
      </w:r>
      <w:r>
        <w:rPr>
          <w:rFonts w:hint="default" w:ascii="Times New Roman" w:hAnsi="Times New Roman" w:cs="Times New Roman"/>
          <w:i/>
          <w:iCs/>
          <w:color w:val="auto"/>
          <w:kern w:val="2"/>
          <w:sz w:val="21"/>
          <w:szCs w:val="21"/>
          <w:lang w:val="en-US" w:eastAsia="zh-CN"/>
        </w:rPr>
        <w:t>Gibbs</w:t>
      </w:r>
      <w:r>
        <w:rPr>
          <w:rFonts w:hint="eastAsia" w:cs="Times New Roman"/>
          <w:color w:val="auto"/>
          <w:kern w:val="2"/>
          <w:sz w:val="21"/>
          <w:szCs w:val="21"/>
          <w:lang w:val="en-US" w:eastAsia="zh-CN"/>
        </w:rPr>
        <w:t>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模型的所有随机变量的分布如下所示：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在</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模型中，我们假设真实的分数</w:t>
      </w:r>
      <w:r>
        <w:rPr>
          <w:rFonts w:hint="default" w:ascii="Times New Roman" w:hAnsi="Times New Roman" w:cs="Times New Roman"/>
          <w:i/>
          <w:iCs/>
          <w:color w:val="auto"/>
          <w:kern w:val="2"/>
          <w:sz w:val="21"/>
          <w:szCs w:val="21"/>
          <w:lang w:val="en-US" w:eastAsia="zh-CN"/>
        </w:rPr>
        <w:t>s</w:t>
      </w:r>
      <w:r>
        <w:rPr>
          <w:rFonts w:hint="default" w:ascii="Times New Roman" w:hAnsi="Times New Roman" w:cs="Times New Roman"/>
          <w:i/>
          <w:iCs/>
          <w:color w:val="auto"/>
          <w:kern w:val="2"/>
          <w:sz w:val="21"/>
          <w:szCs w:val="21"/>
          <w:vertAlign w:val="subscript"/>
          <w:lang w:val="en-US" w:eastAsia="zh-CN"/>
        </w:rPr>
        <w:t>i</w:t>
      </w:r>
      <w:r>
        <w:rPr>
          <w:rFonts w:hint="eastAsia" w:hAnsi="Cambria Math" w:cs="Times New Roman"/>
          <w:i w:val="0"/>
          <w:color w:val="auto"/>
          <w:kern w:val="2"/>
          <w:sz w:val="21"/>
          <w:szCs w:val="21"/>
          <w:lang w:val="en-US" w:eastAsia="zh-CN"/>
        </w:rPr>
        <w:t>服从高斯分布，均值为\alpha，方差为1/\gamma。虽然评价者在同行互评中可能有不同的偏见，我们认为偏见的均值为0.并且假设b服从均值为0，方差为1/</w:t>
      </w:r>
      <w:bookmarkStart w:id="2" w:name="_GoBack"/>
      <w:r>
        <w:rPr>
          <w:rFonts w:hint="default" w:ascii="Times New Roman" w:hAnsi="Times New Roman" w:cs="Times New Roman"/>
          <w:i w:val="0"/>
          <w:color w:val="auto"/>
          <w:kern w:val="2"/>
          <w:sz w:val="21"/>
          <w:szCs w:val="21"/>
          <w:lang w:val="en-US" w:eastAsia="zh-CN"/>
        </w:rPr>
        <w:t>g</w:t>
      </w:r>
      <w:bookmarkEnd w:id="2"/>
      <w:r>
        <w:rPr>
          <w:rFonts w:hint="eastAsia" w:hAnsi="Cambria Math" w:cs="Times New Roman"/>
          <w:i w:val="0"/>
          <w:color w:val="auto"/>
          <w:kern w:val="2"/>
          <w:sz w:val="21"/>
          <w:szCs w:val="21"/>
          <w:lang w:val="en-US" w:eastAsia="zh-CN"/>
        </w:rPr>
        <w:t>的高斯分布。对于可靠性t，我们在RPG6中假设其服从伽马分布，其形状参数等于评价能力r，和率参数等于\beta。互评分数z，服从高斯分布，其均值等于si+bv，方差与评分者的可靠性成反比。相对分数的dvij，服从高斯分布，其均值等于si-sj，和方差等于2/tv</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solution），因而采用近似离散推断的策略得到该隐含变量的近似后验分布。RPG6中的隐含变量的后验分布推断结果如下：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eastAsia="宋体" w:cs="Times New Roman"/>
          <w:i w:val="0"/>
          <w:color w:val="auto"/>
          <w:kern w:val="2"/>
          <w:sz w:val="21"/>
          <w:szCs w:val="21"/>
          <w:lang w:val="en-US" w:eastAsia="zh-CN" w:bidi="ar-SA"/>
        </w:rPr>
      </w:pPr>
      <w:sdt>
        <w:sdtPr>
          <w:rPr>
            <w:rFonts w:ascii="Cambria Math" w:hAnsi="Cambria Math" w:eastAsia="宋体" w:cs="Times New Roman"/>
            <w:i w:val="0"/>
            <w:color w:val="auto"/>
            <w:kern w:val="2"/>
            <w:sz w:val="21"/>
            <w:szCs w:val="21"/>
            <w:lang w:val="en-US" w:eastAsia="zh-CN" w:bidi="ar-SA"/>
          </w:rPr>
          <w:id w:val="147465208"/>
          <w:placeholder>
            <w:docPart w:val="DefaultPlaceholder_2098659788"/>
          </w:placeholder>
          <w:temporary/>
          <w:showingPlcHdr/>
          <w:equation/>
        </w:sdtPr>
        <w:sdtEndPr>
          <w:rPr>
            <w:rFonts w:ascii="Cambria Math" w:hAnsi="Cambria Math" w:eastAsia="宋体" w:cs="Times New Roman"/>
            <w:i w:val="0"/>
            <w:color w:val="auto"/>
            <w:kern w:val="2"/>
            <w:sz w:val="21"/>
            <w:szCs w:val="21"/>
            <w:lang w:val="en-US" w:eastAsia="zh-CN" w:bidi="ar-SA"/>
          </w:rPr>
        </w:sdtEndPr>
        <w:sdtContent>
          <m:oMathPara>
            <m:oMath>
              <m:r>
                <m:rPr>
                  <m:sty m:val="p"/>
                </m:rPr>
                <w:rPr>
                  <w:rFonts w:ascii="Cambria Math" w:hAnsi="Cambria Math"/>
                  <w:color w:val="auto"/>
                </w:rPr>
                <m:t>在此处键入公式。</m:t>
              </m:r>
            </m:oMath>
          </m:oMathPara>
        </w:sdtContent>
      </w:sdt>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hAnsi="Cambria Math" w:cs="Times New Roman"/>
          <w:i w:val="0"/>
          <w:color w:val="auto"/>
          <w:kern w:val="2"/>
          <w:sz w:val="21"/>
          <w:szCs w:val="21"/>
          <w:lang w:val="en-US" w:eastAsia="zh-CN" w:bidi="ar-SA"/>
        </w:rPr>
        <w:t>RPG7模型和RPG6的模型的区别在于RPG7模型假设同行评价者的可靠性满足伽马分布，而RPG7则假设同行评价者的可靠性满足高斯分布。RPG7模型拓展了现有的PG7模型，其</w:t>
      </w:r>
      <w:r>
        <w:rPr>
          <w:rFonts w:hint="eastAsia" w:cs="Times New Roman"/>
          <w:color w:val="auto"/>
          <w:kern w:val="2"/>
          <w:sz w:val="21"/>
          <w:szCs w:val="21"/>
          <w:lang w:val="en-US" w:eastAsia="zh-CN"/>
        </w:rPr>
        <w:t>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简介，不一定要</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solution），因而采用近似离散推断的策略，以间隔宽度为0.1来得到该隐含变量的近似后验分布。RPG7中的隐含变量的后验分布推断结果如下：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对此，我们需要得到学生的真实分数。由于我们需要在互评结果出现之前得到学生的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eastAsia="华文楷体"/>
          <w:color w:val="auto"/>
          <w:szCs w:val="21"/>
        </w:rPr>
      </w:pPr>
    </w:p>
    <w:p>
      <w:pPr>
        <w:pStyle w:val="27"/>
        <w:spacing w:before="0" w:beforeAutospacing="0" w:after="0" w:afterAutospacing="0"/>
        <w:rPr>
          <w:rFonts w:cs="Times New Roman"/>
          <w:color w:val="auto"/>
          <w:kern w:val="2"/>
          <w:sz w:val="21"/>
          <w:szCs w:val="21"/>
        </w:rPr>
      </w:pPr>
      <w:r>
        <w:rPr>
          <w:rFonts w:hint="eastAsia" w:cs="Times New Roman"/>
          <w:color w:val="auto"/>
          <w:kern w:val="2"/>
          <w:sz w:val="21"/>
          <w:szCs w:val="21"/>
        </w:rPr>
        <w:t>【图表】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1、只附最必要的，能用文字表述尽量不用图表，图表要求精心设计，力求美观，互不重复。给出图表，不能仅仅有图表而没有其他文字说明，且正文中必须遵循“先文后图表”的原则，即先有对图表的重要数据的描述文字，及由图表得出的结论，并在正文中明确出现“图1”或“表1”等文字，方可出现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2、</w:t>
      </w:r>
      <w:r>
        <w:rPr>
          <w:rFonts w:hint="eastAsia" w:ascii="Times New Roman" w:hAnsi="Times New Roman" w:cs="Times New Roman"/>
          <w:color w:val="auto"/>
          <w:kern w:val="2"/>
          <w:sz w:val="21"/>
          <w:szCs w:val="21"/>
        </w:rPr>
        <w:t>图题、标题、图注、标注，以及图表内所有的中文应补充对应的英文翻译。</w:t>
      </w:r>
    </w:p>
    <w:p>
      <w:pPr>
        <w:pStyle w:val="27"/>
        <w:spacing w:before="0" w:beforeAutospacing="0" w:after="0" w:afterAutospacing="0"/>
        <w:rPr>
          <w:rFonts w:ascii="Times New Roman" w:hAnsi="Times New Roman" w:cs="Times New Roman"/>
          <w:color w:val="auto"/>
          <w:kern w:val="2"/>
          <w:sz w:val="21"/>
          <w:szCs w:val="21"/>
        </w:rPr>
      </w:pPr>
      <w:r>
        <w:rPr>
          <w:rFonts w:hint="eastAsia" w:ascii="Times New Roman" w:hAnsi="Times New Roman" w:cs="Times New Roman"/>
          <w:color w:val="auto"/>
          <w:kern w:val="2"/>
          <w:sz w:val="21"/>
          <w:szCs w:val="21"/>
        </w:rPr>
        <w:t>3、图序、表序不分章节，完全按顺序统一编号，如图1、图2……图n，表1、表2……表n（不可用图1-1，表1-1等形式）</w:t>
      </w:r>
    </w:p>
    <w:p>
      <w:pPr>
        <w:pStyle w:val="27"/>
        <w:spacing w:before="0" w:beforeAutospacing="0" w:after="0" w:afterAutospacing="0"/>
        <w:rPr>
          <w:color w:val="auto"/>
          <w:sz w:val="22"/>
          <w:szCs w:val="22"/>
        </w:rPr>
      </w:pPr>
      <w:r>
        <w:rPr>
          <w:rFonts w:hint="eastAsia" w:ascii="Times New Roman" w:hAnsi="Times New Roman" w:cs="Times New Roman"/>
          <w:color w:val="auto"/>
          <w:kern w:val="2"/>
          <w:sz w:val="21"/>
          <w:szCs w:val="21"/>
        </w:rPr>
        <w:t>4、其中，图的编排顺序为图—图注—图题；表的编排顺序为标题—表—表注。图表中的单位用括号标注，如“（</w:t>
      </w:r>
      <w:r>
        <w:rPr>
          <w:rFonts w:ascii="Times New Roman" w:hAnsi="Times New Roman" w:cs="Times New Roman"/>
          <w:color w:val="auto"/>
          <w:kern w:val="2"/>
          <w:sz w:val="21"/>
          <w:szCs w:val="21"/>
        </w:rPr>
        <w:t>kg</w:t>
      </w:r>
      <w:r>
        <w:rPr>
          <w:rFonts w:hint="eastAsia" w:ascii="Times New Roman" w:hAnsi="Times New Roman" w:cs="Times New Roman"/>
          <w:color w:val="auto"/>
          <w:kern w:val="2"/>
          <w:sz w:val="21"/>
          <w:szCs w:val="21"/>
        </w:rPr>
        <w:t>）”</w:t>
      </w:r>
    </w:p>
    <w:p>
      <w:pPr>
        <w:pStyle w:val="27"/>
        <w:spacing w:before="0" w:beforeAutospacing="0" w:after="0" w:afterAutospacing="0"/>
        <w:rPr>
          <w:rFonts w:hint="eastAsia" w:ascii="Times New Roman" w:hAnsi="Times New Roman" w:eastAsia="华文楷体" w:cs="Times New Roman"/>
          <w:color w:val="auto"/>
          <w:szCs w:val="21"/>
        </w:rPr>
      </w:pPr>
    </w:p>
    <w:p>
      <w:pPr>
        <w:pStyle w:val="22"/>
        <w:ind w:firstLine="0" w:firstLineChars="0"/>
        <w:jc w:val="center"/>
        <w:rPr>
          <w:rFonts w:hint="eastAsia" w:ascii="宋体" w:hAnsi="宋体"/>
          <w:color w:val="auto"/>
          <w:szCs w:val="21"/>
        </w:rPr>
      </w:pPr>
      <w:r>
        <w:rPr>
          <w:rFonts w:ascii="Times New Roman" w:hAnsi="Times New Roman" w:eastAsia="华文楷体"/>
          <w:color w:val="auto"/>
          <w:szCs w:val="21"/>
        </w:rPr>
        <w:drawing>
          <wp:inline distT="0" distB="0" distL="114300" distR="114300">
            <wp:extent cx="3578225" cy="2021205"/>
            <wp:effectExtent l="0" t="0" r="3175" b="5715"/>
            <wp:docPr id="2" name="图片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
                    <pic:cNvPicPr>
                      <a:picLocks noChangeAspect="1"/>
                    </pic:cNvPicPr>
                  </pic:nvPicPr>
                  <pic:blipFill>
                    <a:blip r:embed="rId6"/>
                    <a:stretch>
                      <a:fillRect/>
                    </a:stretch>
                  </pic:blipFill>
                  <pic:spPr>
                    <a:xfrm>
                      <a:off x="0" y="0"/>
                      <a:ext cx="3578225" cy="2021205"/>
                    </a:xfrm>
                    <a:prstGeom prst="rect">
                      <a:avLst/>
                    </a:prstGeom>
                    <a:noFill/>
                    <a:ln>
                      <a:noFill/>
                    </a:ln>
                  </pic:spPr>
                </pic:pic>
              </a:graphicData>
            </a:graphic>
          </wp:inline>
        </w:drawing>
      </w:r>
    </w:p>
    <w:p>
      <w:pPr>
        <w:pStyle w:val="22"/>
        <w:ind w:firstLine="0" w:firstLineChars="0"/>
        <w:jc w:val="center"/>
        <w:rPr>
          <w:rFonts w:ascii="Times New Roman" w:hAnsi="Times New Roman"/>
          <w:color w:val="auto"/>
          <w:szCs w:val="21"/>
        </w:rPr>
      </w:pPr>
      <w:r>
        <w:rPr>
          <w:rFonts w:ascii="Times New Roman" w:hAnsi="Times New Roman"/>
          <w:color w:val="auto"/>
          <w:szCs w:val="21"/>
        </w:rPr>
        <w:t>(图片大小在80 mm左右，像素300-600)</w:t>
      </w:r>
    </w:p>
    <w:p>
      <w:pPr>
        <w:pStyle w:val="22"/>
        <w:ind w:firstLine="0" w:firstLineChars="0"/>
        <w:jc w:val="center"/>
        <w:rPr>
          <w:rFonts w:hint="eastAsia" w:ascii="宋体" w:hAnsi="宋体"/>
          <w:color w:val="auto"/>
          <w:szCs w:val="21"/>
        </w:rPr>
      </w:pPr>
      <w:r>
        <w:rPr>
          <w:rFonts w:hint="eastAsia" w:ascii="宋体" w:hAnsi="宋体"/>
          <w:color w:val="auto"/>
          <w:szCs w:val="21"/>
        </w:rPr>
        <w:t xml:space="preserve">图1  </w:t>
      </w:r>
      <w:r>
        <w:rPr>
          <w:rFonts w:ascii="宋体" w:hAnsi="宋体"/>
          <w:color w:val="auto"/>
          <w:szCs w:val="21"/>
        </w:rPr>
        <w:t>青霉属纤维素酶合成调控网络</w:t>
      </w:r>
    </w:p>
    <w:p>
      <w:pPr>
        <w:pStyle w:val="22"/>
        <w:ind w:firstLine="0" w:firstLineChars="0"/>
        <w:jc w:val="center"/>
        <w:rPr>
          <w:rFonts w:ascii="Times New Roman" w:hAnsi="Times New Roman"/>
          <w:color w:val="auto"/>
          <w:szCs w:val="21"/>
        </w:rPr>
      </w:pPr>
      <w:r>
        <w:rPr>
          <w:rFonts w:ascii="Times New Roman" w:hAnsi="Times New Roman"/>
          <w:color w:val="auto"/>
          <w:szCs w:val="21"/>
        </w:rPr>
        <w:t xml:space="preserve">Fig.1  </w:t>
      </w:r>
      <w:r>
        <w:rPr>
          <w:rFonts w:hint="eastAsia" w:ascii="Times New Roman" w:hAnsi="Times New Roman"/>
          <w:color w:val="auto"/>
          <w:szCs w:val="21"/>
        </w:rPr>
        <w:t>R</w:t>
      </w:r>
      <w:r>
        <w:rPr>
          <w:rFonts w:ascii="Times New Roman" w:hAnsi="Times New Roman"/>
          <w:color w:val="auto"/>
          <w:szCs w:val="21"/>
        </w:rPr>
        <w:t xml:space="preserve">egulatory network of cellulase synthesis in </w:t>
      </w:r>
      <w:r>
        <w:rPr>
          <w:rFonts w:ascii="Times New Roman" w:hAnsi="Times New Roman"/>
          <w:i/>
          <w:color w:val="auto"/>
          <w:szCs w:val="21"/>
        </w:rPr>
        <w:t>Penicillium</w:t>
      </w:r>
    </w:p>
    <w:p>
      <w:pPr>
        <w:pStyle w:val="24"/>
        <w:jc w:val="left"/>
        <w:rPr>
          <w:rFonts w:hint="eastAsia" w:hAnsi="宋体" w:eastAsia="宋体"/>
          <w:color w:val="auto"/>
        </w:rPr>
      </w:pPr>
    </w:p>
    <w:p>
      <w:pPr>
        <w:pStyle w:val="24"/>
        <w:jc w:val="left"/>
        <w:rPr>
          <w:rFonts w:eastAsia="宋体"/>
          <w:color w:val="auto"/>
        </w:rPr>
      </w:pPr>
      <w:r>
        <w:rPr>
          <w:rFonts w:hAnsi="宋体" w:eastAsia="宋体"/>
          <w:color w:val="auto"/>
        </w:rPr>
        <w:t>表</w:t>
      </w:r>
      <w:r>
        <w:rPr>
          <w:rFonts w:hint="eastAsia" w:eastAsia="宋体"/>
          <w:color w:val="auto"/>
          <w:lang w:eastAsia="zh-CN"/>
        </w:rPr>
        <w:t>1</w:t>
      </w:r>
      <w:r>
        <w:rPr>
          <w:rFonts w:eastAsia="宋体"/>
          <w:color w:val="auto"/>
        </w:rPr>
        <w:t xml:space="preserve"> Ca-MMT</w:t>
      </w:r>
      <w:r>
        <w:rPr>
          <w:rFonts w:hAnsi="宋体" w:eastAsia="宋体"/>
          <w:color w:val="auto"/>
        </w:rPr>
        <w:t>含量对</w:t>
      </w:r>
      <w:r>
        <w:rPr>
          <w:rFonts w:eastAsia="宋体"/>
          <w:color w:val="auto"/>
        </w:rPr>
        <w:t>HDPE</w:t>
      </w:r>
      <w:r>
        <w:rPr>
          <w:rFonts w:hAnsi="宋体" w:eastAsia="宋体"/>
          <w:color w:val="auto"/>
        </w:rPr>
        <w:t>复合材料燃烧性能的影响</w:t>
      </w:r>
    </w:p>
    <w:p>
      <w:pPr>
        <w:pStyle w:val="24"/>
        <w:jc w:val="left"/>
        <w:rPr>
          <w:rFonts w:hint="eastAsia"/>
          <w:color w:val="auto"/>
        </w:rPr>
      </w:pPr>
      <w:r>
        <w:rPr>
          <w:color w:val="auto"/>
        </w:rPr>
        <w:t xml:space="preserve">Table </w:t>
      </w:r>
      <w:r>
        <w:rPr>
          <w:rFonts w:hint="eastAsia"/>
          <w:color w:val="auto"/>
          <w:lang w:eastAsia="zh-CN"/>
        </w:rPr>
        <w:t>1</w:t>
      </w:r>
      <w:r>
        <w:rPr>
          <w:color w:val="auto"/>
        </w:rPr>
        <w:t xml:space="preserve"> Influence of </w:t>
      </w:r>
      <w:r>
        <w:rPr>
          <w:rFonts w:hint="eastAsia"/>
          <w:color w:val="auto"/>
        </w:rPr>
        <w:t>Ca-MMT</w:t>
      </w:r>
      <w:r>
        <w:rPr>
          <w:color w:val="auto"/>
        </w:rPr>
        <w:t xml:space="preserve"> content on the combustion properties of composites HDPE</w:t>
      </w:r>
    </w:p>
    <w:tbl>
      <w:tblPr>
        <w:tblStyle w:val="9"/>
        <w:tblW w:w="5000" w:type="pct"/>
        <w:tblInd w:w="0" w:type="dxa"/>
        <w:tblLayout w:type="autofit"/>
        <w:tblCellMar>
          <w:top w:w="0" w:type="dxa"/>
          <w:left w:w="108" w:type="dxa"/>
          <w:bottom w:w="0" w:type="dxa"/>
          <w:right w:w="108" w:type="dxa"/>
        </w:tblCellMar>
      </w:tblPr>
      <w:tblGrid>
        <w:gridCol w:w="721"/>
        <w:gridCol w:w="721"/>
        <w:gridCol w:w="1002"/>
        <w:gridCol w:w="937"/>
        <w:gridCol w:w="1087"/>
      </w:tblGrid>
      <w:tr>
        <w:tblPrEx>
          <w:tblCellMar>
            <w:top w:w="0" w:type="dxa"/>
            <w:left w:w="108" w:type="dxa"/>
            <w:bottom w:w="0" w:type="dxa"/>
            <w:right w:w="108" w:type="dxa"/>
          </w:tblCellMar>
        </w:tblPrEx>
        <w:trPr>
          <w:trHeight w:val="285" w:hRule="atLeast"/>
        </w:trPr>
        <w:tc>
          <w:tcPr>
            <w:tcW w:w="496" w:type="pct"/>
            <w:tcBorders>
              <w:top w:val="single" w:color="auto" w:sz="4" w:space="0"/>
              <w:left w:val="nil"/>
              <w:bottom w:val="single" w:color="auto" w:sz="4" w:space="0"/>
              <w:right w:val="nil"/>
            </w:tcBorders>
            <w:noWrap w:val="0"/>
            <w:vAlign w:val="center"/>
          </w:tcPr>
          <w:p>
            <w:pPr>
              <w:pStyle w:val="26"/>
              <w:rPr>
                <w:color w:val="auto"/>
              </w:rPr>
            </w:pPr>
            <w:r>
              <w:rPr>
                <w:color w:val="auto"/>
              </w:rPr>
              <w:t>试样</w:t>
            </w:r>
          </w:p>
          <w:p>
            <w:pPr>
              <w:pStyle w:val="26"/>
              <w:rPr>
                <w:rFonts w:hint="eastAsia"/>
                <w:color w:val="auto"/>
              </w:rPr>
            </w:pPr>
            <w:r>
              <w:rPr>
                <w:color w:val="auto"/>
              </w:rPr>
              <w:t>Sample</w:t>
            </w:r>
          </w:p>
        </w:tc>
        <w:tc>
          <w:tcPr>
            <w:tcW w:w="938"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极限氧指数</w:t>
            </w:r>
            <w:r>
              <w:rPr>
                <w:color w:val="auto"/>
              </w:rPr>
              <w:t>LOI</w:t>
            </w:r>
            <w:r>
              <w:rPr>
                <w:rFonts w:hint="eastAsia"/>
                <w:color w:val="auto"/>
              </w:rPr>
              <w:t>（</w:t>
            </w:r>
            <w:r>
              <w:rPr>
                <w:color w:val="auto"/>
              </w:rPr>
              <w:t>％</w:t>
            </w:r>
            <w:r>
              <w:rPr>
                <w:rFonts w:hint="eastAsia"/>
                <w:color w:val="auto"/>
              </w:rPr>
              <w:t>）</w:t>
            </w:r>
          </w:p>
          <w:p>
            <w:pPr>
              <w:pStyle w:val="26"/>
              <w:rPr>
                <w:rFonts w:hint="eastAsia"/>
                <w:color w:val="auto"/>
              </w:rPr>
            </w:pPr>
            <w:r>
              <w:rPr>
                <w:color w:val="auto"/>
              </w:rPr>
              <w:t xml:space="preserve">Limit </w:t>
            </w:r>
            <w:r>
              <w:rPr>
                <w:rFonts w:hint="eastAsia"/>
                <w:color w:val="auto"/>
              </w:rPr>
              <w:t>o</w:t>
            </w:r>
            <w:r>
              <w:rPr>
                <w:color w:val="auto"/>
              </w:rPr>
              <w:t xml:space="preserve">xygen </w:t>
            </w:r>
            <w:r>
              <w:rPr>
                <w:rFonts w:hint="eastAsia"/>
                <w:color w:val="auto"/>
              </w:rPr>
              <w:t>i</w:t>
            </w:r>
            <w:r>
              <w:rPr>
                <w:color w:val="auto"/>
              </w:rPr>
              <w:t>ndex</w:t>
            </w:r>
          </w:p>
        </w:tc>
        <w:tc>
          <w:tcPr>
            <w:tcW w:w="975"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垂直燃烧等级</w:t>
            </w:r>
          </w:p>
          <w:p>
            <w:pPr>
              <w:pStyle w:val="26"/>
              <w:rPr>
                <w:rFonts w:hint="eastAsia"/>
                <w:color w:val="auto"/>
              </w:rPr>
            </w:pPr>
            <w:r>
              <w:rPr>
                <w:color w:val="auto"/>
              </w:rPr>
              <w:t xml:space="preserve">Vertical </w:t>
            </w:r>
            <w:r>
              <w:rPr>
                <w:rFonts w:hint="eastAsia"/>
                <w:color w:val="auto"/>
              </w:rPr>
              <w:t>f</w:t>
            </w:r>
            <w:r>
              <w:rPr>
                <w:color w:val="auto"/>
              </w:rPr>
              <w:t xml:space="preserve">lame </w:t>
            </w:r>
            <w:r>
              <w:rPr>
                <w:rFonts w:hint="eastAsia"/>
                <w:color w:val="auto"/>
              </w:rPr>
              <w:t>r</w:t>
            </w:r>
            <w:r>
              <w:rPr>
                <w:color w:val="auto"/>
              </w:rPr>
              <w:t>ating</w:t>
            </w:r>
          </w:p>
        </w:tc>
        <w:tc>
          <w:tcPr>
            <w:tcW w:w="980"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水平燃烧等级</w:t>
            </w:r>
          </w:p>
          <w:p>
            <w:pPr>
              <w:pStyle w:val="26"/>
              <w:rPr>
                <w:rFonts w:hint="eastAsia"/>
                <w:color w:val="auto"/>
              </w:rPr>
            </w:pPr>
            <w:r>
              <w:rPr>
                <w:color w:val="auto"/>
              </w:rPr>
              <w:t xml:space="preserve">Horizontal </w:t>
            </w:r>
            <w:r>
              <w:rPr>
                <w:rFonts w:hint="eastAsia"/>
                <w:color w:val="auto"/>
              </w:rPr>
              <w:t>f</w:t>
            </w:r>
            <w:r>
              <w:rPr>
                <w:color w:val="auto"/>
              </w:rPr>
              <w:t xml:space="preserve">lame </w:t>
            </w:r>
            <w:r>
              <w:rPr>
                <w:rFonts w:hint="eastAsia"/>
                <w:color w:val="auto"/>
              </w:rPr>
              <w:t>r</w:t>
            </w:r>
            <w:r>
              <w:rPr>
                <w:color w:val="auto"/>
              </w:rPr>
              <w:t>ating</w:t>
            </w:r>
          </w:p>
        </w:tc>
        <w:tc>
          <w:tcPr>
            <w:tcW w:w="1610" w:type="pct"/>
            <w:tcBorders>
              <w:top w:val="single" w:color="auto" w:sz="4" w:space="0"/>
              <w:left w:val="nil"/>
              <w:bottom w:val="single" w:color="auto" w:sz="4" w:space="0"/>
              <w:right w:val="nil"/>
            </w:tcBorders>
            <w:noWrap w:val="0"/>
            <w:vAlign w:val="center"/>
          </w:tcPr>
          <w:p>
            <w:pPr>
              <w:pStyle w:val="26"/>
              <w:rPr>
                <w:color w:val="auto"/>
              </w:rPr>
            </w:pPr>
            <w:r>
              <w:rPr>
                <w:color w:val="auto"/>
              </w:rPr>
              <w:t>燃烧现象</w:t>
            </w:r>
          </w:p>
          <w:p>
            <w:pPr>
              <w:pStyle w:val="26"/>
              <w:rPr>
                <w:rFonts w:hint="eastAsia"/>
                <w:color w:val="auto"/>
              </w:rPr>
            </w:pPr>
            <w:r>
              <w:rPr>
                <w:color w:val="auto"/>
              </w:rPr>
              <w:t xml:space="preserve">Combustion </w:t>
            </w:r>
            <w:r>
              <w:rPr>
                <w:rFonts w:hint="eastAsia"/>
                <w:color w:val="auto"/>
              </w:rPr>
              <w:t>p</w:t>
            </w:r>
            <w:r>
              <w:rPr>
                <w:color w:val="auto"/>
              </w:rPr>
              <w:t>henomenon</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A</w:t>
            </w:r>
          </w:p>
        </w:tc>
        <w:tc>
          <w:tcPr>
            <w:tcW w:w="938" w:type="pct"/>
            <w:tcBorders>
              <w:top w:val="nil"/>
              <w:left w:val="nil"/>
              <w:bottom w:val="nil"/>
              <w:right w:val="nil"/>
            </w:tcBorders>
            <w:noWrap w:val="0"/>
            <w:vAlign w:val="center"/>
          </w:tcPr>
          <w:p>
            <w:pPr>
              <w:pStyle w:val="26"/>
              <w:rPr>
                <w:color w:val="auto"/>
              </w:rPr>
            </w:pPr>
            <w:r>
              <w:rPr>
                <w:color w:val="auto"/>
              </w:rPr>
              <w:t>19.0</w:t>
            </w:r>
          </w:p>
        </w:tc>
        <w:tc>
          <w:tcPr>
            <w:tcW w:w="975" w:type="pct"/>
            <w:tcBorders>
              <w:top w:val="nil"/>
              <w:left w:val="nil"/>
              <w:bottom w:val="nil"/>
              <w:right w:val="nil"/>
            </w:tcBorders>
            <w:noWrap w:val="0"/>
            <w:vAlign w:val="center"/>
          </w:tcPr>
          <w:p>
            <w:pPr>
              <w:pStyle w:val="26"/>
              <w:rPr>
                <w:rFonts w:hint="eastAsia"/>
                <w:color w:val="auto"/>
              </w:rPr>
            </w:pPr>
            <w:r>
              <w:rPr>
                <w:color w:val="auto"/>
              </w:rPr>
              <w:t>完全燃烧殆尽</w:t>
            </w:r>
          </w:p>
          <w:p>
            <w:pPr>
              <w:pStyle w:val="26"/>
              <w:rPr>
                <w:color w:val="auto"/>
              </w:rPr>
            </w:pPr>
            <w:r>
              <w:rPr>
                <w:color w:val="auto"/>
              </w:rPr>
              <w:t>Completely burned up</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HB75</w:t>
            </w:r>
          </w:p>
        </w:tc>
        <w:tc>
          <w:tcPr>
            <w:tcW w:w="1610" w:type="pct"/>
            <w:tcBorders>
              <w:top w:val="nil"/>
              <w:left w:val="nil"/>
              <w:bottom w:val="nil"/>
              <w:right w:val="nil"/>
            </w:tcBorders>
            <w:noWrap w:val="0"/>
            <w:vAlign w:val="center"/>
          </w:tcPr>
          <w:p>
            <w:pPr>
              <w:pStyle w:val="26"/>
              <w:rPr>
                <w:rFonts w:hint="eastAsia"/>
                <w:color w:val="auto"/>
              </w:rPr>
            </w:pPr>
            <w:r>
              <w:rPr>
                <w:color w:val="auto"/>
              </w:rPr>
              <w:t>严重滴落</w:t>
            </w:r>
          </w:p>
          <w:p>
            <w:pPr>
              <w:pStyle w:val="26"/>
              <w:rPr>
                <w:color w:val="auto"/>
              </w:rPr>
            </w:pPr>
            <w:r>
              <w:rPr>
                <w:color w:val="auto"/>
              </w:rPr>
              <w:t>Severe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B</w:t>
            </w:r>
          </w:p>
        </w:tc>
        <w:tc>
          <w:tcPr>
            <w:tcW w:w="938" w:type="pct"/>
            <w:tcBorders>
              <w:top w:val="nil"/>
              <w:left w:val="nil"/>
              <w:bottom w:val="nil"/>
              <w:right w:val="nil"/>
            </w:tcBorders>
            <w:noWrap w:val="0"/>
            <w:vAlign w:val="center"/>
          </w:tcPr>
          <w:p>
            <w:pPr>
              <w:pStyle w:val="26"/>
              <w:rPr>
                <w:color w:val="auto"/>
              </w:rPr>
            </w:pPr>
            <w:r>
              <w:rPr>
                <w:color w:val="auto"/>
              </w:rPr>
              <w:t>28.1</w:t>
            </w:r>
          </w:p>
        </w:tc>
        <w:tc>
          <w:tcPr>
            <w:tcW w:w="975" w:type="pct"/>
            <w:tcBorders>
              <w:top w:val="nil"/>
              <w:left w:val="nil"/>
              <w:bottom w:val="nil"/>
              <w:right w:val="nil"/>
            </w:tcBorders>
            <w:noWrap w:val="0"/>
            <w:vAlign w:val="center"/>
          </w:tcPr>
          <w:p>
            <w:pPr>
              <w:pStyle w:val="26"/>
              <w:rPr>
                <w:color w:val="auto"/>
              </w:rPr>
            </w:pPr>
            <w:r>
              <w:rPr>
                <w:color w:val="auto"/>
              </w:rPr>
              <w:t>V-2</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发烟量多，严重</w:t>
            </w:r>
            <w:r>
              <w:rPr>
                <w:color w:val="auto"/>
              </w:rPr>
              <w:t>滴落</w:t>
            </w:r>
          </w:p>
          <w:p>
            <w:pPr>
              <w:pStyle w:val="26"/>
              <w:rPr>
                <w:color w:val="auto"/>
              </w:rPr>
            </w:pPr>
            <w:r>
              <w:rPr>
                <w:color w:val="auto"/>
              </w:rPr>
              <w:t>Large amount of smoke</w:t>
            </w:r>
            <w:r>
              <w:rPr>
                <w:rFonts w:hint="eastAsia"/>
                <w:color w:val="auto"/>
              </w:rPr>
              <w:t>，s</w:t>
            </w:r>
            <w:r>
              <w:rPr>
                <w:color w:val="auto"/>
              </w:rPr>
              <w:t>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C1</w:t>
            </w:r>
          </w:p>
        </w:tc>
        <w:tc>
          <w:tcPr>
            <w:tcW w:w="938" w:type="pct"/>
            <w:tcBorders>
              <w:top w:val="nil"/>
              <w:left w:val="nil"/>
              <w:bottom w:val="nil"/>
              <w:right w:val="nil"/>
            </w:tcBorders>
            <w:noWrap w:val="0"/>
            <w:vAlign w:val="center"/>
          </w:tcPr>
          <w:p>
            <w:pPr>
              <w:pStyle w:val="26"/>
              <w:rPr>
                <w:rFonts w:hint="eastAsia"/>
                <w:color w:val="auto"/>
              </w:rPr>
            </w:pPr>
            <w:r>
              <w:rPr>
                <w:color w:val="auto"/>
              </w:rPr>
              <w:t>30.9</w:t>
            </w:r>
            <w:r>
              <w:rPr>
                <w:rFonts w:hint="eastAsia"/>
                <w:color w:val="auto"/>
              </w:rPr>
              <w:t>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C2</w:t>
            </w:r>
          </w:p>
        </w:tc>
        <w:tc>
          <w:tcPr>
            <w:tcW w:w="938" w:type="pct"/>
            <w:tcBorders>
              <w:top w:val="nil"/>
              <w:left w:val="nil"/>
              <w:bottom w:val="nil"/>
              <w:right w:val="nil"/>
            </w:tcBorders>
            <w:noWrap w:val="0"/>
            <w:vAlign w:val="center"/>
          </w:tcPr>
          <w:p>
            <w:pPr>
              <w:pStyle w:val="26"/>
              <w:rPr>
                <w:color w:val="auto"/>
              </w:rPr>
            </w:pPr>
            <w:r>
              <w:rPr>
                <w:color w:val="auto"/>
              </w:rPr>
              <w:t>32.</w:t>
            </w:r>
            <w:r>
              <w:rPr>
                <w:rFonts w:hint="eastAsia"/>
                <w:color w:val="auto"/>
              </w:rPr>
              <w:t>51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right w:val="nil"/>
            </w:tcBorders>
            <w:noWrap w:val="0"/>
            <w:vAlign w:val="center"/>
          </w:tcPr>
          <w:p>
            <w:pPr>
              <w:pStyle w:val="26"/>
              <w:rPr>
                <w:color w:val="auto"/>
              </w:rPr>
            </w:pPr>
            <w:r>
              <w:rPr>
                <w:color w:val="auto"/>
              </w:rPr>
              <w:t>C3</w:t>
            </w:r>
          </w:p>
        </w:tc>
        <w:tc>
          <w:tcPr>
            <w:tcW w:w="938" w:type="pct"/>
            <w:tcBorders>
              <w:top w:val="nil"/>
              <w:left w:val="nil"/>
              <w:right w:val="nil"/>
            </w:tcBorders>
            <w:noWrap w:val="0"/>
            <w:vAlign w:val="center"/>
          </w:tcPr>
          <w:p>
            <w:pPr>
              <w:pStyle w:val="26"/>
              <w:rPr>
                <w:color w:val="auto"/>
              </w:rPr>
            </w:pPr>
            <w:r>
              <w:rPr>
                <w:color w:val="auto"/>
              </w:rPr>
              <w:t>32.</w:t>
            </w:r>
            <w:r>
              <w:rPr>
                <w:rFonts w:hint="eastAsia"/>
                <w:color w:val="auto"/>
              </w:rPr>
              <w:t>77</w:t>
            </w:r>
          </w:p>
        </w:tc>
        <w:tc>
          <w:tcPr>
            <w:tcW w:w="975" w:type="pct"/>
            <w:tcBorders>
              <w:top w:val="nil"/>
              <w:left w:val="nil"/>
              <w:right w:val="nil"/>
            </w:tcBorders>
            <w:noWrap w:val="0"/>
            <w:vAlign w:val="center"/>
          </w:tcPr>
          <w:p>
            <w:pPr>
              <w:pStyle w:val="26"/>
              <w:rPr>
                <w:color w:val="auto"/>
              </w:rPr>
            </w:pPr>
            <w:r>
              <w:rPr>
                <w:color w:val="auto"/>
              </w:rPr>
              <w:t>V-0</w:t>
            </w:r>
          </w:p>
        </w:tc>
        <w:tc>
          <w:tcPr>
            <w:tcW w:w="980" w:type="pct"/>
            <w:tcBorders>
              <w:top w:val="nil"/>
              <w:left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single" w:color="auto" w:sz="4" w:space="0"/>
              <w:right w:val="nil"/>
            </w:tcBorders>
            <w:noWrap w:val="0"/>
            <w:vAlign w:val="center"/>
          </w:tcPr>
          <w:p>
            <w:pPr>
              <w:pStyle w:val="26"/>
              <w:rPr>
                <w:color w:val="auto"/>
              </w:rPr>
            </w:pPr>
            <w:r>
              <w:rPr>
                <w:color w:val="auto"/>
              </w:rPr>
              <w:t>C4</w:t>
            </w:r>
          </w:p>
        </w:tc>
        <w:tc>
          <w:tcPr>
            <w:tcW w:w="938" w:type="pct"/>
            <w:tcBorders>
              <w:top w:val="nil"/>
              <w:left w:val="nil"/>
              <w:bottom w:val="single" w:color="auto" w:sz="4" w:space="0"/>
              <w:right w:val="nil"/>
            </w:tcBorders>
            <w:noWrap w:val="0"/>
            <w:vAlign w:val="center"/>
          </w:tcPr>
          <w:p>
            <w:pPr>
              <w:pStyle w:val="26"/>
              <w:rPr>
                <w:color w:val="auto"/>
              </w:rPr>
            </w:pPr>
            <w:r>
              <w:rPr>
                <w:color w:val="auto"/>
              </w:rPr>
              <w:t>32.</w:t>
            </w:r>
            <w:r>
              <w:rPr>
                <w:rFonts w:hint="eastAsia"/>
                <w:color w:val="auto"/>
              </w:rPr>
              <w:t>28</w:t>
            </w:r>
          </w:p>
        </w:tc>
        <w:tc>
          <w:tcPr>
            <w:tcW w:w="975" w:type="pct"/>
            <w:tcBorders>
              <w:top w:val="nil"/>
              <w:left w:val="nil"/>
              <w:bottom w:val="single" w:color="auto" w:sz="4" w:space="0"/>
              <w:right w:val="nil"/>
            </w:tcBorders>
            <w:noWrap w:val="0"/>
            <w:vAlign w:val="center"/>
          </w:tcPr>
          <w:p>
            <w:pPr>
              <w:pStyle w:val="26"/>
              <w:rPr>
                <w:color w:val="auto"/>
              </w:rPr>
            </w:pPr>
            <w:r>
              <w:rPr>
                <w:color w:val="auto"/>
              </w:rPr>
              <w:t>V-0</w:t>
            </w:r>
          </w:p>
        </w:tc>
        <w:tc>
          <w:tcPr>
            <w:tcW w:w="98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bl>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rPr>
          <w:color w:val="auto"/>
          <w:szCs w:val="21"/>
        </w:rPr>
      </w:pPr>
      <w:r>
        <w:rPr>
          <w:rFonts w:hint="eastAsia"/>
          <w:color w:val="auto"/>
          <w:szCs w:val="21"/>
        </w:rPr>
        <w:t>（主要是对文中研究结果进行解释和推断，评论所报道结果的重要性和创新性，并与其他相关研究进行比较，阐述作者的结果是否支持或反对某种观点，指出对原有结论有何新的启示，或从实验数据归纳出一般规律，要避免不作具体对比分析，就宣称本文结果“属于国内和先进水平，填补了国内的空白”等，必要时指出本试验的不足之处及未能解决的问题。要求围绕结果进行讨论，但不要重复结果，并与引言中所提出的问题前后呼应；叙述要简明扼要，推测要有依据，不能得出超出本文结果所能够支持的结论。不要在本节中介绍新的结果。）</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3.1</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3.2</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3.3</w:t>
      </w:r>
    </w:p>
    <w:p>
      <w:pPr>
        <w:pStyle w:val="22"/>
        <w:rPr>
          <w:rFonts w:hint="eastAsia" w:ascii="Times New Roman" w:hAnsi="Times New Roman"/>
          <w:color w:val="auto"/>
          <w:szCs w:val="21"/>
        </w:rPr>
      </w:pPr>
      <w:r>
        <w:rPr>
          <w:rFonts w:ascii="宋体" w:hAnsi="宋体"/>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rPr>
          <w:rFonts w:hint="eastAsia"/>
          <w:b/>
          <w:color w:val="auto"/>
          <w:sz w:val="28"/>
          <w:szCs w:val="28"/>
        </w:rPr>
      </w:pPr>
      <w:r>
        <w:rPr>
          <w:rFonts w:hint="eastAsia"/>
          <w:color w:val="auto"/>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2"/>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2"/>
        <w:rPr>
          <w:rFonts w:hint="eastAsia" w:ascii="Times New Roman" w:hAnsi="Times New Roman"/>
          <w:color w:val="auto"/>
          <w:szCs w:val="21"/>
        </w:rPr>
      </w:pPr>
      <w:r>
        <w:rPr>
          <w:rFonts w:ascii="宋体" w:hAnsi="宋体"/>
          <w:color w:val="auto"/>
          <w:szCs w:val="21"/>
        </w:rPr>
        <w:t>……</w:t>
      </w:r>
    </w:p>
    <w:p>
      <w:pPr>
        <w:adjustRightInd w:val="0"/>
        <w:snapToGrid w:val="0"/>
        <w:rPr>
          <w:rFonts w:hint="eastAsia"/>
          <w:color w:val="auto"/>
          <w:szCs w:val="21"/>
        </w:rPr>
      </w:pPr>
    </w:p>
    <w:p>
      <w:pPr>
        <w:adjustRightInd w:val="0"/>
        <w:snapToGrid w:val="0"/>
        <w:rPr>
          <w:b/>
          <w:color w:val="auto"/>
          <w:szCs w:val="21"/>
        </w:rPr>
      </w:pPr>
      <w:r>
        <w:rPr>
          <w:rFonts w:hint="eastAsia"/>
          <w:b/>
          <w:color w:val="auto"/>
          <w:szCs w:val="21"/>
        </w:rPr>
        <w:t>参考文献：</w:t>
      </w:r>
    </w:p>
    <w:p>
      <w:pPr>
        <w:rPr>
          <w:color w:val="auto"/>
          <w:szCs w:val="21"/>
        </w:rPr>
      </w:pPr>
      <w:r>
        <w:rPr>
          <w:rFonts w:hint="eastAsia"/>
          <w:color w:val="auto"/>
          <w:szCs w:val="21"/>
        </w:rPr>
        <w:t>英文作者姓名，姓在前（全大写），名在后（只写第一个字母，且大写），例如</w:t>
      </w:r>
      <w:r>
        <w:rPr>
          <w:color w:val="auto"/>
          <w:szCs w:val="21"/>
        </w:rPr>
        <w:t>“ZHANG Xiaohua”</w:t>
      </w:r>
      <w:r>
        <w:rPr>
          <w:rFonts w:hint="eastAsia"/>
          <w:color w:val="auto"/>
          <w:szCs w:val="21"/>
        </w:rPr>
        <w:t>应写成</w:t>
      </w:r>
      <w:r>
        <w:rPr>
          <w:color w:val="auto"/>
          <w:szCs w:val="21"/>
        </w:rPr>
        <w:t>“ZHANG X H”</w:t>
      </w:r>
      <w:r>
        <w:rPr>
          <w:rFonts w:hint="eastAsia"/>
          <w:color w:val="auto"/>
          <w:szCs w:val="21"/>
        </w:rPr>
        <w:t>，</w:t>
      </w:r>
      <w:r>
        <w:rPr>
          <w:color w:val="auto"/>
          <w:szCs w:val="21"/>
        </w:rPr>
        <w:t xml:space="preserve">“David William Russell” </w:t>
      </w:r>
      <w:r>
        <w:rPr>
          <w:rFonts w:hint="eastAsia"/>
          <w:color w:val="auto"/>
          <w:szCs w:val="21"/>
        </w:rPr>
        <w:t>应写成</w:t>
      </w:r>
      <w:r>
        <w:rPr>
          <w:color w:val="auto"/>
          <w:szCs w:val="21"/>
        </w:rPr>
        <w:t>“RUSSELL D W”</w:t>
      </w:r>
      <w:r>
        <w:rPr>
          <w:rFonts w:hint="eastAsia"/>
          <w:color w:val="auto"/>
          <w:szCs w:val="21"/>
        </w:rPr>
        <w:t>；英文题目只有第一个字母用大写，其余都用小写，专有名词除外，如</w:t>
      </w:r>
      <w:r>
        <w:rPr>
          <w:color w:val="auto"/>
          <w:szCs w:val="21"/>
        </w:rPr>
        <w:t>China</w:t>
      </w:r>
      <w:r>
        <w:rPr>
          <w:rFonts w:hint="eastAsia"/>
          <w:color w:val="auto"/>
          <w:szCs w:val="21"/>
        </w:rPr>
        <w:t>；英文出版社，出版地，期刊名，实词的第一个字母大写，虚词全部小写。</w:t>
      </w:r>
    </w:p>
    <w:p>
      <w:pPr>
        <w:adjustRightInd w:val="0"/>
        <w:snapToGrid w:val="0"/>
        <w:rPr>
          <w:rFonts w:hint="eastAsia"/>
          <w:b/>
          <w:color w:val="auto"/>
          <w:szCs w:val="21"/>
        </w:rPr>
      </w:pPr>
    </w:p>
    <w:p>
      <w:pPr>
        <w:autoSpaceDE w:val="0"/>
        <w:autoSpaceDN w:val="0"/>
        <w:adjustRightInd w:val="0"/>
        <w:snapToGrid w:val="0"/>
        <w:jc w:val="left"/>
        <w:rPr>
          <w:rFonts w:hint="eastAsia"/>
          <w:color w:val="auto"/>
          <w:kern w:val="0"/>
          <w:sz w:val="18"/>
          <w:szCs w:val="18"/>
        </w:rPr>
      </w:pPr>
      <w:r>
        <w:rPr>
          <w:rFonts w:hint="eastAsia"/>
          <w:color w:val="auto"/>
          <w:kern w:val="0"/>
          <w:sz w:val="18"/>
          <w:szCs w:val="18"/>
        </w:rPr>
        <w:t xml:space="preserve">[1] </w:t>
      </w:r>
      <w:r>
        <w:rPr>
          <w:color w:val="auto"/>
          <w:kern w:val="0"/>
          <w:sz w:val="18"/>
          <w:szCs w:val="18"/>
        </w:rPr>
        <w:t>温远光. 桉树生态、社会问题与科学发展[M]. 北京:中国林业出版社</w:t>
      </w:r>
      <w:r>
        <w:rPr>
          <w:rFonts w:hint="eastAsia"/>
          <w:color w:val="auto"/>
          <w:kern w:val="0"/>
          <w:sz w:val="18"/>
          <w:szCs w:val="18"/>
        </w:rPr>
        <w:t>，</w:t>
      </w:r>
      <w:r>
        <w:rPr>
          <w:color w:val="auto"/>
          <w:kern w:val="0"/>
          <w:sz w:val="18"/>
          <w:szCs w:val="18"/>
        </w:rPr>
        <w:t>2008</w:t>
      </w:r>
      <w:r>
        <w:rPr>
          <w:rFonts w:hint="eastAsia"/>
          <w:color w:val="auto"/>
          <w:kern w:val="0"/>
          <w:sz w:val="18"/>
          <w:szCs w:val="18"/>
        </w:rPr>
        <w:t>.</w:t>
      </w:r>
    </w:p>
    <w:p>
      <w:pPr>
        <w:adjustRightInd w:val="0"/>
        <w:snapToGrid w:val="0"/>
        <w:rPr>
          <w:rFonts w:hint="eastAsia"/>
          <w:color w:val="auto"/>
          <w:sz w:val="18"/>
          <w:szCs w:val="18"/>
        </w:rPr>
      </w:pPr>
      <w:r>
        <w:rPr>
          <w:rFonts w:hint="eastAsia"/>
          <w:color w:val="auto"/>
          <w:sz w:val="18"/>
          <w:szCs w:val="18"/>
        </w:rPr>
        <w:t>[2] 李国雷，刘勇，于海群，等. 油松人工林下植被发育对油松生长节律的响应</w:t>
      </w:r>
      <w:r>
        <w:rPr>
          <w:color w:val="auto"/>
          <w:kern w:val="0"/>
          <w:sz w:val="18"/>
          <w:szCs w:val="18"/>
        </w:rPr>
        <w:t>[J]</w:t>
      </w:r>
      <w:r>
        <w:rPr>
          <w:rFonts w:hint="eastAsia"/>
          <w:color w:val="auto"/>
          <w:sz w:val="18"/>
          <w:szCs w:val="18"/>
        </w:rPr>
        <w:t>.生态学报，2009，29(3)：1264-1275.</w:t>
      </w:r>
    </w:p>
    <w:p>
      <w:pPr>
        <w:autoSpaceDE w:val="0"/>
        <w:autoSpaceDN w:val="0"/>
        <w:adjustRightInd w:val="0"/>
        <w:ind w:left="270" w:hanging="270" w:hangingChars="150"/>
        <w:jc w:val="left"/>
        <w:rPr>
          <w:rFonts w:hint="eastAsia"/>
          <w:color w:val="auto"/>
          <w:sz w:val="18"/>
          <w:szCs w:val="18"/>
        </w:rPr>
      </w:pPr>
      <w:r>
        <w:rPr>
          <w:rFonts w:eastAsia="B4+CAJ FNT00"/>
          <w:color w:val="auto"/>
          <w:kern w:val="0"/>
          <w:sz w:val="18"/>
          <w:szCs w:val="18"/>
        </w:rPr>
        <w:t xml:space="preserve">[3] WEN </w:t>
      </w:r>
      <w:r>
        <w:rPr>
          <w:color w:val="auto"/>
          <w:sz w:val="18"/>
          <w:szCs w:val="18"/>
        </w:rPr>
        <w:t>Y G，YE D，CHEN F，et al. The changes of understory plant diversity in continuous cropping system of Eucalyptus plantations, South China[J]. Journal of Forest Research, 2010,15(4):252-258.</w:t>
      </w:r>
    </w:p>
    <w:p>
      <w:pPr>
        <w:ind w:left="420" w:hanging="420"/>
        <w:rPr>
          <w:color w:val="auto"/>
          <w:sz w:val="18"/>
          <w:szCs w:val="18"/>
          <w:lang w:val="pt-BR"/>
        </w:rPr>
      </w:pPr>
      <w:r>
        <w:rPr>
          <w:rFonts w:hint="eastAsia"/>
          <w:color w:val="auto"/>
          <w:sz w:val="18"/>
          <w:szCs w:val="18"/>
          <w:lang w:val="pt-BR"/>
        </w:rPr>
        <w:t>[4]</w:t>
      </w:r>
      <w:r>
        <w:rPr>
          <w:color w:val="auto"/>
          <w:sz w:val="18"/>
          <w:szCs w:val="18"/>
          <w:lang w:val="pt-BR"/>
        </w:rPr>
        <w:t xml:space="preserve"> </w:t>
      </w:r>
      <w:bookmarkStart w:id="0" w:name="OLE_LINK8"/>
      <w:bookmarkStart w:id="1" w:name="OLE_LINK7"/>
      <w:r>
        <w:rPr>
          <w:rFonts w:hint="eastAsia"/>
          <w:color w:val="auto"/>
          <w:sz w:val="18"/>
          <w:szCs w:val="18"/>
          <w:lang w:val="pt-BR"/>
        </w:rPr>
        <w:t>上海材料研究所.</w:t>
      </w:r>
      <w:r>
        <w:rPr>
          <w:color w:val="auto"/>
          <w:sz w:val="18"/>
          <w:szCs w:val="18"/>
          <w:lang w:val="pt-BR"/>
        </w:rPr>
        <w:t xml:space="preserve">GB/T 16421—1996  </w:t>
      </w:r>
      <w:r>
        <w:rPr>
          <w:rFonts w:hint="eastAsia"/>
          <w:color w:val="auto"/>
          <w:sz w:val="18"/>
          <w:szCs w:val="18"/>
          <w:lang w:val="pt-BR"/>
        </w:rPr>
        <w:t>塑料 拉伸性能小试样试验方法</w:t>
      </w:r>
      <w:bookmarkEnd w:id="0"/>
      <w:bookmarkEnd w:id="1"/>
      <w:r>
        <w:rPr>
          <w:rFonts w:hint="eastAsia"/>
          <w:color w:val="auto"/>
          <w:sz w:val="18"/>
          <w:szCs w:val="18"/>
          <w:lang w:val="pt-BR"/>
        </w:rPr>
        <w:t>[</w:t>
      </w:r>
      <w:r>
        <w:rPr>
          <w:color w:val="auto"/>
          <w:sz w:val="18"/>
          <w:szCs w:val="18"/>
          <w:lang w:val="pt-BR"/>
        </w:rPr>
        <w:t>S].</w:t>
      </w:r>
      <w:r>
        <w:rPr>
          <w:rFonts w:hint="eastAsia"/>
          <w:color w:val="auto"/>
          <w:sz w:val="18"/>
          <w:szCs w:val="18"/>
          <w:lang w:val="pt-BR"/>
        </w:rPr>
        <w:t xml:space="preserve"> 北京：中国标准出版社，1997.</w:t>
      </w:r>
    </w:p>
    <w:p>
      <w:pPr>
        <w:widowControl/>
        <w:contextualSpacing/>
        <w:rPr>
          <w:color w:val="auto"/>
          <w:sz w:val="18"/>
          <w:szCs w:val="18"/>
        </w:rPr>
      </w:pPr>
      <w:r>
        <w:rPr>
          <w:rFonts w:hint="eastAsia"/>
          <w:color w:val="auto"/>
          <w:sz w:val="18"/>
          <w:szCs w:val="18"/>
          <w:lang w:val="pt-BR"/>
        </w:rPr>
        <w:t xml:space="preserve">[5] </w:t>
      </w:r>
      <w:r>
        <w:rPr>
          <w:color w:val="auto"/>
          <w:sz w:val="18"/>
          <w:szCs w:val="18"/>
        </w:rPr>
        <w:t>曹青. 草酸青霉胞外β-葡萄糖苷酶多样性的研究[</w:t>
      </w:r>
      <w:r>
        <w:rPr>
          <w:rFonts w:hint="eastAsia"/>
          <w:color w:val="auto"/>
          <w:sz w:val="18"/>
          <w:szCs w:val="18"/>
        </w:rPr>
        <w:t>D</w:t>
      </w:r>
      <w:r>
        <w:rPr>
          <w:color w:val="auto"/>
          <w:sz w:val="18"/>
          <w:szCs w:val="18"/>
        </w:rPr>
        <w:t>].</w:t>
      </w:r>
      <w:r>
        <w:rPr>
          <w:rFonts w:hint="eastAsia"/>
          <w:color w:val="auto"/>
        </w:rPr>
        <w:t xml:space="preserve"> </w:t>
      </w:r>
      <w:r>
        <w:rPr>
          <w:rFonts w:hint="eastAsia"/>
          <w:color w:val="auto"/>
          <w:sz w:val="18"/>
          <w:szCs w:val="18"/>
        </w:rPr>
        <w:t>济南：</w:t>
      </w:r>
      <w:r>
        <w:rPr>
          <w:color w:val="auto"/>
          <w:sz w:val="18"/>
          <w:szCs w:val="18"/>
        </w:rPr>
        <w:t>山东大学</w:t>
      </w:r>
      <w:r>
        <w:rPr>
          <w:rFonts w:hint="eastAsia"/>
          <w:color w:val="auto"/>
          <w:sz w:val="18"/>
          <w:szCs w:val="18"/>
        </w:rPr>
        <w:t>，</w:t>
      </w:r>
      <w:r>
        <w:rPr>
          <w:color w:val="auto"/>
          <w:sz w:val="18"/>
          <w:szCs w:val="18"/>
        </w:rPr>
        <w:t>2014.</w:t>
      </w:r>
    </w:p>
    <w:p>
      <w:pPr>
        <w:rPr>
          <w:color w:val="auto"/>
          <w:sz w:val="18"/>
          <w:szCs w:val="18"/>
        </w:rPr>
      </w:pPr>
    </w:p>
    <w:p>
      <w:pPr>
        <w:rPr>
          <w:color w:val="auto"/>
          <w:sz w:val="18"/>
          <w:szCs w:val="18"/>
        </w:rPr>
      </w:pPr>
    </w:p>
    <w:p>
      <w:pPr>
        <w:rPr>
          <w:color w:val="auto"/>
          <w:sz w:val="18"/>
          <w:szCs w:val="18"/>
        </w:rPr>
      </w:pPr>
    </w:p>
    <w:p>
      <w:pPr>
        <w:rPr>
          <w:b/>
          <w:color w:val="auto"/>
          <w:sz w:val="30"/>
          <w:szCs w:val="30"/>
        </w:rPr>
      </w:pPr>
      <w:r>
        <w:rPr>
          <w:rFonts w:hint="eastAsia"/>
          <w:b/>
          <w:color w:val="auto"/>
          <w:sz w:val="30"/>
          <w:szCs w:val="30"/>
        </w:rPr>
        <w:t>Title</w:t>
      </w:r>
    </w:p>
    <w:p>
      <w:pPr>
        <w:rPr>
          <w:color w:val="auto"/>
          <w:szCs w:val="21"/>
        </w:rPr>
      </w:pPr>
      <w:r>
        <w:rPr>
          <w:color w:val="auto"/>
          <w:szCs w:val="21"/>
        </w:rPr>
        <w:t>（与中文一致，英文题目所有的实词第一个字母用大写，例如，“Study”；所有虚词用小写，例如“from”。）</w:t>
      </w:r>
    </w:p>
    <w:p>
      <w:pPr>
        <w:rPr>
          <w:color w:val="auto"/>
          <w:szCs w:val="21"/>
        </w:rPr>
      </w:pPr>
    </w:p>
    <w:p>
      <w:pPr>
        <w:rPr>
          <w:color w:val="auto"/>
          <w:szCs w:val="21"/>
        </w:rPr>
      </w:pPr>
      <w:r>
        <w:rPr>
          <w:color w:val="auto"/>
          <w:szCs w:val="21"/>
        </w:rPr>
        <w:t>Author</w:t>
      </w:r>
    </w:p>
    <w:p>
      <w:pPr>
        <w:rPr>
          <w:color w:val="auto"/>
          <w:szCs w:val="21"/>
        </w:rPr>
      </w:pPr>
      <w:r>
        <w:rPr>
          <w:color w:val="auto"/>
          <w:szCs w:val="21"/>
        </w:rPr>
        <w:t>（姓名之间用逗号隔开，拼音格式</w:t>
      </w:r>
      <w:r>
        <w:rPr>
          <w:rFonts w:hint="eastAsia"/>
          <w:color w:val="auto"/>
          <w:szCs w:val="21"/>
        </w:rPr>
        <w:t>姓</w:t>
      </w:r>
      <w:r>
        <w:rPr>
          <w:color w:val="auto"/>
          <w:szCs w:val="21"/>
        </w:rPr>
        <w:t>全大写，名首字母大写，如“ZHANG Xiaohua</w:t>
      </w:r>
      <w:r>
        <w:rPr>
          <w:rFonts w:hint="eastAsia"/>
          <w:color w:val="auto"/>
          <w:szCs w:val="21"/>
        </w:rPr>
        <w:t>，</w:t>
      </w:r>
      <w:r>
        <w:rPr>
          <w:color w:val="auto"/>
          <w:szCs w:val="21"/>
        </w:rPr>
        <w:t>OUYANG Xiaohua”。）</w:t>
      </w:r>
    </w:p>
    <w:p>
      <w:pPr>
        <w:rPr>
          <w:rFonts w:hint="eastAsia"/>
          <w:color w:val="auto"/>
          <w:szCs w:val="21"/>
        </w:rPr>
      </w:pPr>
    </w:p>
    <w:p>
      <w:pPr>
        <w:rPr>
          <w:color w:val="auto"/>
          <w:szCs w:val="21"/>
        </w:rPr>
      </w:pPr>
      <w:r>
        <w:rPr>
          <w:rFonts w:hint="eastAsia"/>
          <w:color w:val="auto"/>
          <w:szCs w:val="21"/>
        </w:rPr>
        <w:t>Organization</w:t>
      </w:r>
    </w:p>
    <w:p>
      <w:pPr>
        <w:rPr>
          <w:rFonts w:hint="eastAsia"/>
          <w:color w:val="auto"/>
          <w:szCs w:val="21"/>
        </w:rPr>
      </w:pPr>
      <w:r>
        <w:rPr>
          <w:color w:val="auto"/>
          <w:szCs w:val="21"/>
        </w:rPr>
        <w:t>（</w:t>
      </w:r>
      <w:r>
        <w:rPr>
          <w:rFonts w:hint="eastAsia"/>
          <w:color w:val="auto"/>
          <w:szCs w:val="21"/>
        </w:rPr>
        <w:t>1、单位从小到大，市，省，邮编，国籍。</w:t>
      </w:r>
      <w:r>
        <w:rPr>
          <w:rFonts w:hint="eastAsia"/>
          <w:color w:val="auto"/>
          <w:szCs w:val="21"/>
        </w:rPr>
        <w:tab/>
      </w:r>
      <w:r>
        <w:rPr>
          <w:color w:val="auto"/>
          <w:szCs w:val="21"/>
        </w:rPr>
        <w:t>2</w:t>
      </w:r>
      <w:r>
        <w:rPr>
          <w:rFonts w:hint="eastAsia"/>
          <w:color w:val="auto"/>
          <w:szCs w:val="21"/>
        </w:rPr>
        <w:t>、跟英文题目一样，英文格式所有的实词第一个字母用大写，所有虚词用小写。</w:t>
      </w:r>
    </w:p>
    <w:p>
      <w:pPr>
        <w:rPr>
          <w:rFonts w:hint="eastAsia"/>
          <w:color w:val="auto"/>
          <w:szCs w:val="21"/>
        </w:rPr>
      </w:pPr>
      <w:r>
        <w:rPr>
          <w:rFonts w:hint="eastAsia"/>
          <w:color w:val="auto"/>
          <w:szCs w:val="21"/>
        </w:rPr>
        <w:t>例如：</w:t>
      </w:r>
      <w:r>
        <w:rPr>
          <w:color w:val="auto"/>
          <w:szCs w:val="21"/>
        </w:rPr>
        <w:t>State Key Laboratory of Non-food Biomass and Enzyme Technology, National Engineering Research Center for Non-food Biorefinery, Guangxi Key Laboratory of Biorefinery, Guangxi Academy of Sciences, Nanning, Guangxi, 530007, China）</w:t>
      </w:r>
    </w:p>
    <w:p>
      <w:pPr>
        <w:ind w:right="565" w:rightChars="269"/>
        <w:rPr>
          <w:rFonts w:hint="eastAsia"/>
          <w:b/>
          <w:color w:val="auto"/>
          <w:szCs w:val="21"/>
        </w:rPr>
      </w:pPr>
    </w:p>
    <w:p>
      <w:pPr>
        <w:ind w:right="565" w:rightChars="269"/>
        <w:rPr>
          <w:rFonts w:hint="eastAsia"/>
          <w:color w:val="auto"/>
          <w:szCs w:val="21"/>
        </w:rPr>
      </w:pPr>
      <w:r>
        <w:rPr>
          <w:b/>
          <w:color w:val="auto"/>
          <w:szCs w:val="21"/>
        </w:rPr>
        <w:t>Abstract:</w:t>
      </w:r>
    </w:p>
    <w:p>
      <w:pPr>
        <w:ind w:right="565" w:rightChars="269"/>
        <w:rPr>
          <w:rFonts w:hint="eastAsia"/>
          <w:color w:val="auto"/>
          <w:szCs w:val="21"/>
        </w:rPr>
      </w:pPr>
      <w:r>
        <w:rPr>
          <w:b/>
          <w:color w:val="auto"/>
          <w:szCs w:val="21"/>
        </w:rPr>
        <w:t xml:space="preserve">Key </w:t>
      </w:r>
      <w:r>
        <w:rPr>
          <w:rFonts w:hint="eastAsia"/>
          <w:b/>
          <w:color w:val="auto"/>
          <w:szCs w:val="21"/>
        </w:rPr>
        <w:t>w</w:t>
      </w:r>
      <w:r>
        <w:rPr>
          <w:b/>
          <w:color w:val="auto"/>
          <w:szCs w:val="21"/>
        </w:rPr>
        <w:t>ords</w:t>
      </w:r>
      <w:r>
        <w:rPr>
          <w:color w:val="auto"/>
          <w:szCs w:val="21"/>
        </w:rPr>
        <w:t>：</w:t>
      </w:r>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5NmI0YmEyZWVjYTBlNTJmMTI2OTFlZWQzMjA2MGY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3A38"/>
    <w:rsid w:val="00CC675D"/>
    <w:rsid w:val="00CF09B7"/>
    <w:rsid w:val="00D00085"/>
    <w:rsid w:val="00D35401"/>
    <w:rsid w:val="00D52390"/>
    <w:rsid w:val="00D5628F"/>
    <w:rsid w:val="00D70F73"/>
    <w:rsid w:val="00DA4310"/>
    <w:rsid w:val="00DC1ED9"/>
    <w:rsid w:val="00E73E99"/>
    <w:rsid w:val="00E86464"/>
    <w:rsid w:val="00EE0D72"/>
    <w:rsid w:val="00EE5101"/>
    <w:rsid w:val="00FB2A76"/>
    <w:rsid w:val="00FE4C2D"/>
    <w:rsid w:val="01A90CEE"/>
    <w:rsid w:val="02685C0C"/>
    <w:rsid w:val="03185F09"/>
    <w:rsid w:val="03991DF6"/>
    <w:rsid w:val="05387762"/>
    <w:rsid w:val="062F6C1F"/>
    <w:rsid w:val="068F11DA"/>
    <w:rsid w:val="06D870D9"/>
    <w:rsid w:val="07612C2A"/>
    <w:rsid w:val="078057A6"/>
    <w:rsid w:val="07D65CF0"/>
    <w:rsid w:val="091361A6"/>
    <w:rsid w:val="09BB0D18"/>
    <w:rsid w:val="0A4725AB"/>
    <w:rsid w:val="0A51342A"/>
    <w:rsid w:val="0AF50259"/>
    <w:rsid w:val="0B3643CE"/>
    <w:rsid w:val="0BAB4DBC"/>
    <w:rsid w:val="0BCD4D32"/>
    <w:rsid w:val="0C247F7D"/>
    <w:rsid w:val="0C5E1E2E"/>
    <w:rsid w:val="0C6F5DE9"/>
    <w:rsid w:val="0D444B80"/>
    <w:rsid w:val="0D4607D5"/>
    <w:rsid w:val="0E855450"/>
    <w:rsid w:val="0E8B557C"/>
    <w:rsid w:val="0F943B03"/>
    <w:rsid w:val="10272B2C"/>
    <w:rsid w:val="10356198"/>
    <w:rsid w:val="10A976AA"/>
    <w:rsid w:val="116577BB"/>
    <w:rsid w:val="12502219"/>
    <w:rsid w:val="12505221"/>
    <w:rsid w:val="12624579"/>
    <w:rsid w:val="14031E6A"/>
    <w:rsid w:val="14A21D72"/>
    <w:rsid w:val="14DB6680"/>
    <w:rsid w:val="15001CD4"/>
    <w:rsid w:val="15173C06"/>
    <w:rsid w:val="1525330E"/>
    <w:rsid w:val="153C0833"/>
    <w:rsid w:val="156C2EC6"/>
    <w:rsid w:val="15806971"/>
    <w:rsid w:val="15943FE5"/>
    <w:rsid w:val="15FF19F8"/>
    <w:rsid w:val="163C5738"/>
    <w:rsid w:val="164200CB"/>
    <w:rsid w:val="16C467B9"/>
    <w:rsid w:val="16D660E7"/>
    <w:rsid w:val="16E266C0"/>
    <w:rsid w:val="17920BDE"/>
    <w:rsid w:val="17A032FB"/>
    <w:rsid w:val="17AD77C6"/>
    <w:rsid w:val="18706C6E"/>
    <w:rsid w:val="198729C4"/>
    <w:rsid w:val="19AF614C"/>
    <w:rsid w:val="19C4670E"/>
    <w:rsid w:val="19CF7EC7"/>
    <w:rsid w:val="19E75211"/>
    <w:rsid w:val="1B083691"/>
    <w:rsid w:val="1CEB5A11"/>
    <w:rsid w:val="1D7A7634"/>
    <w:rsid w:val="1DA023FE"/>
    <w:rsid w:val="1DB339E0"/>
    <w:rsid w:val="2037116F"/>
    <w:rsid w:val="207C5907"/>
    <w:rsid w:val="20B61DE1"/>
    <w:rsid w:val="21380A48"/>
    <w:rsid w:val="215A3157"/>
    <w:rsid w:val="221B7DC1"/>
    <w:rsid w:val="224D0523"/>
    <w:rsid w:val="22EC6A43"/>
    <w:rsid w:val="234436D4"/>
    <w:rsid w:val="23EF1892"/>
    <w:rsid w:val="241B7553"/>
    <w:rsid w:val="24A26904"/>
    <w:rsid w:val="24A60B06"/>
    <w:rsid w:val="24D26ABE"/>
    <w:rsid w:val="25B20DC9"/>
    <w:rsid w:val="26664E9A"/>
    <w:rsid w:val="2689617A"/>
    <w:rsid w:val="26B62F9B"/>
    <w:rsid w:val="271D4F12"/>
    <w:rsid w:val="2840157B"/>
    <w:rsid w:val="290A0F1C"/>
    <w:rsid w:val="29254455"/>
    <w:rsid w:val="293957C6"/>
    <w:rsid w:val="29F34A82"/>
    <w:rsid w:val="2B0C0F7B"/>
    <w:rsid w:val="2D260712"/>
    <w:rsid w:val="2DFB0E33"/>
    <w:rsid w:val="2E140F22"/>
    <w:rsid w:val="2E912E13"/>
    <w:rsid w:val="2EA661F2"/>
    <w:rsid w:val="2EB57234"/>
    <w:rsid w:val="2ECD39AB"/>
    <w:rsid w:val="2EE95130"/>
    <w:rsid w:val="2FB120F1"/>
    <w:rsid w:val="300C36FC"/>
    <w:rsid w:val="307F650E"/>
    <w:rsid w:val="30C43855"/>
    <w:rsid w:val="310A5BCF"/>
    <w:rsid w:val="31BB5FF9"/>
    <w:rsid w:val="32316B26"/>
    <w:rsid w:val="32676A97"/>
    <w:rsid w:val="32AE46C6"/>
    <w:rsid w:val="3321758E"/>
    <w:rsid w:val="33582884"/>
    <w:rsid w:val="33FC7E90"/>
    <w:rsid w:val="344C063B"/>
    <w:rsid w:val="352B0250"/>
    <w:rsid w:val="35C91817"/>
    <w:rsid w:val="36511F38"/>
    <w:rsid w:val="36B27D0B"/>
    <w:rsid w:val="36D93CDC"/>
    <w:rsid w:val="371A1291"/>
    <w:rsid w:val="37537F32"/>
    <w:rsid w:val="37A442EA"/>
    <w:rsid w:val="384A4E91"/>
    <w:rsid w:val="38693A61"/>
    <w:rsid w:val="38E52E0C"/>
    <w:rsid w:val="3922196A"/>
    <w:rsid w:val="397F3113"/>
    <w:rsid w:val="3AAF1923"/>
    <w:rsid w:val="3AE01ADD"/>
    <w:rsid w:val="3AE8273F"/>
    <w:rsid w:val="3BD3519D"/>
    <w:rsid w:val="3C0D55FF"/>
    <w:rsid w:val="3CFC6B49"/>
    <w:rsid w:val="3F23643C"/>
    <w:rsid w:val="3F604F9A"/>
    <w:rsid w:val="406E7B8B"/>
    <w:rsid w:val="41BA1803"/>
    <w:rsid w:val="41F145CF"/>
    <w:rsid w:val="42213106"/>
    <w:rsid w:val="42E5185A"/>
    <w:rsid w:val="43A4391F"/>
    <w:rsid w:val="44757A8F"/>
    <w:rsid w:val="449C6A74"/>
    <w:rsid w:val="45124F88"/>
    <w:rsid w:val="45725A27"/>
    <w:rsid w:val="457E261E"/>
    <w:rsid w:val="45B1654F"/>
    <w:rsid w:val="462F4289"/>
    <w:rsid w:val="469961B0"/>
    <w:rsid w:val="46C16C66"/>
    <w:rsid w:val="46FA2178"/>
    <w:rsid w:val="472B0583"/>
    <w:rsid w:val="47342347"/>
    <w:rsid w:val="473D4B90"/>
    <w:rsid w:val="477F442B"/>
    <w:rsid w:val="478101A3"/>
    <w:rsid w:val="490C7F41"/>
    <w:rsid w:val="494D2A33"/>
    <w:rsid w:val="49641B2B"/>
    <w:rsid w:val="498E00DE"/>
    <w:rsid w:val="4A1C066B"/>
    <w:rsid w:val="4AB24681"/>
    <w:rsid w:val="4ABB04EC"/>
    <w:rsid w:val="4AC42904"/>
    <w:rsid w:val="4C625032"/>
    <w:rsid w:val="4C70382A"/>
    <w:rsid w:val="4D5325E2"/>
    <w:rsid w:val="4D8E6C34"/>
    <w:rsid w:val="4DD252B5"/>
    <w:rsid w:val="4F626B0C"/>
    <w:rsid w:val="4F786B55"/>
    <w:rsid w:val="50406E4E"/>
    <w:rsid w:val="511E6A63"/>
    <w:rsid w:val="53066DB8"/>
    <w:rsid w:val="531F71EB"/>
    <w:rsid w:val="53D8739D"/>
    <w:rsid w:val="53F63159"/>
    <w:rsid w:val="543A1E06"/>
    <w:rsid w:val="54574766"/>
    <w:rsid w:val="547A2CC6"/>
    <w:rsid w:val="565847C5"/>
    <w:rsid w:val="569A3030"/>
    <w:rsid w:val="578A30A4"/>
    <w:rsid w:val="57FA3D86"/>
    <w:rsid w:val="5815538E"/>
    <w:rsid w:val="58343859"/>
    <w:rsid w:val="584D2347"/>
    <w:rsid w:val="58B54151"/>
    <w:rsid w:val="59050C34"/>
    <w:rsid w:val="5A647BDD"/>
    <w:rsid w:val="5A9304C2"/>
    <w:rsid w:val="5CFD7E74"/>
    <w:rsid w:val="5D6D0B56"/>
    <w:rsid w:val="5E1B14BE"/>
    <w:rsid w:val="5E2901BD"/>
    <w:rsid w:val="5EBF1885"/>
    <w:rsid w:val="5EE72B8A"/>
    <w:rsid w:val="5FBE38EB"/>
    <w:rsid w:val="601362FC"/>
    <w:rsid w:val="60151098"/>
    <w:rsid w:val="602B208C"/>
    <w:rsid w:val="60D3786A"/>
    <w:rsid w:val="619012B7"/>
    <w:rsid w:val="61BA60F4"/>
    <w:rsid w:val="61C3343B"/>
    <w:rsid w:val="62CF5E0F"/>
    <w:rsid w:val="62FF465C"/>
    <w:rsid w:val="630261E5"/>
    <w:rsid w:val="63212B0F"/>
    <w:rsid w:val="64271C24"/>
    <w:rsid w:val="644161A9"/>
    <w:rsid w:val="64BA2CD3"/>
    <w:rsid w:val="64DD0CB7"/>
    <w:rsid w:val="652F2B95"/>
    <w:rsid w:val="65515201"/>
    <w:rsid w:val="65683A9A"/>
    <w:rsid w:val="65753CDB"/>
    <w:rsid w:val="65F362B8"/>
    <w:rsid w:val="670E0726"/>
    <w:rsid w:val="67B83316"/>
    <w:rsid w:val="689751E4"/>
    <w:rsid w:val="68AA3DCB"/>
    <w:rsid w:val="68FC521D"/>
    <w:rsid w:val="6A4246B1"/>
    <w:rsid w:val="6A9E4FC4"/>
    <w:rsid w:val="6AC94DB7"/>
    <w:rsid w:val="6B19481B"/>
    <w:rsid w:val="6C060AF4"/>
    <w:rsid w:val="6C2E004A"/>
    <w:rsid w:val="6C926196"/>
    <w:rsid w:val="6CA27A34"/>
    <w:rsid w:val="6E313E22"/>
    <w:rsid w:val="6E677844"/>
    <w:rsid w:val="6E9308BF"/>
    <w:rsid w:val="6ECF5BC7"/>
    <w:rsid w:val="6F347726"/>
    <w:rsid w:val="6F926B42"/>
    <w:rsid w:val="6FBA3333"/>
    <w:rsid w:val="70057B4E"/>
    <w:rsid w:val="708720A4"/>
    <w:rsid w:val="70F32E2C"/>
    <w:rsid w:val="711C66C3"/>
    <w:rsid w:val="71657EE6"/>
    <w:rsid w:val="71AA0173"/>
    <w:rsid w:val="735369DB"/>
    <w:rsid w:val="73EE20D2"/>
    <w:rsid w:val="74143C26"/>
    <w:rsid w:val="743A2A0E"/>
    <w:rsid w:val="74E90FB2"/>
    <w:rsid w:val="74F636CF"/>
    <w:rsid w:val="7524023C"/>
    <w:rsid w:val="76051E1C"/>
    <w:rsid w:val="7608766F"/>
    <w:rsid w:val="764F3097"/>
    <w:rsid w:val="770F2826"/>
    <w:rsid w:val="77DA1086"/>
    <w:rsid w:val="788D4F1D"/>
    <w:rsid w:val="78C015EB"/>
    <w:rsid w:val="78C55892"/>
    <w:rsid w:val="78D67A98"/>
    <w:rsid w:val="78FB7506"/>
    <w:rsid w:val="79047385"/>
    <w:rsid w:val="7A3A5E0C"/>
    <w:rsid w:val="7A8F43AA"/>
    <w:rsid w:val="7AC06311"/>
    <w:rsid w:val="7C2A29F8"/>
    <w:rsid w:val="7CC65341"/>
    <w:rsid w:val="7CF979A0"/>
    <w:rsid w:val="7D1F2A20"/>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annotation text"/>
    <w:basedOn w:val="1"/>
    <w:link w:val="15"/>
    <w:qFormat/>
    <w:uiPriority w:val="0"/>
    <w:pPr>
      <w:jc w:val="left"/>
    </w:pPr>
  </w:style>
  <w:style w:type="paragraph" w:styleId="3">
    <w:name w:val="Body Text Indent"/>
    <w:basedOn w:val="1"/>
    <w:uiPriority w:val="0"/>
    <w:pPr>
      <w:spacing w:line="400" w:lineRule="exact"/>
      <w:ind w:firstLine="480" w:firstLineChars="200"/>
    </w:pPr>
    <w:rPr>
      <w:sz w:val="24"/>
    </w:rPr>
  </w:style>
  <w:style w:type="paragraph" w:styleId="4">
    <w:name w:val="Date"/>
    <w:basedOn w:val="1"/>
    <w:next w:val="1"/>
    <w:link w:val="16"/>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8"/>
    <w:qFormat/>
    <w:uiPriority w:val="0"/>
    <w:rPr>
      <w:b/>
      <w:bCs/>
    </w:rPr>
  </w:style>
  <w:style w:type="table" w:styleId="10">
    <w:name w:val="Table Grid"/>
    <w:basedOn w:val="9"/>
    <w:semiHidden/>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uiPriority w:val="0"/>
  </w:style>
  <w:style w:type="character" w:styleId="13">
    <w:name w:val="Emphasis"/>
    <w:qFormat/>
    <w:uiPriority w:val="0"/>
    <w:rPr>
      <w:color w:val="CC0000"/>
    </w:rPr>
  </w:style>
  <w:style w:type="character" w:styleId="14">
    <w:name w:val="annotation reference"/>
    <w:qFormat/>
    <w:uiPriority w:val="0"/>
    <w:rPr>
      <w:sz w:val="21"/>
      <w:szCs w:val="21"/>
    </w:rPr>
  </w:style>
  <w:style w:type="character" w:customStyle="1" w:styleId="15">
    <w:name w:val="批注文字 Char"/>
    <w:link w:val="2"/>
    <w:uiPriority w:val="0"/>
    <w:rPr>
      <w:kern w:val="2"/>
      <w:sz w:val="21"/>
      <w:szCs w:val="24"/>
    </w:rPr>
  </w:style>
  <w:style w:type="character" w:customStyle="1" w:styleId="16">
    <w:name w:val="日期 Char"/>
    <w:link w:val="4"/>
    <w:uiPriority w:val="0"/>
    <w:rPr>
      <w:kern w:val="2"/>
      <w:sz w:val="21"/>
      <w:szCs w:val="24"/>
    </w:rPr>
  </w:style>
  <w:style w:type="character" w:customStyle="1" w:styleId="17">
    <w:name w:val="页眉 Char"/>
    <w:link w:val="7"/>
    <w:qFormat/>
    <w:uiPriority w:val="0"/>
    <w:rPr>
      <w:kern w:val="2"/>
      <w:sz w:val="18"/>
      <w:szCs w:val="18"/>
    </w:rPr>
  </w:style>
  <w:style w:type="character" w:customStyle="1" w:styleId="18">
    <w:name w:val="批注主题 Char"/>
    <w:link w:val="8"/>
    <w:uiPriority w:val="0"/>
    <w:rPr>
      <w:b/>
      <w:bCs/>
      <w:kern w:val="2"/>
      <w:sz w:val="21"/>
      <w:szCs w:val="24"/>
    </w:rPr>
  </w:style>
  <w:style w:type="character" w:customStyle="1" w:styleId="19">
    <w:name w:val="high-light-bg4"/>
    <w:basedOn w:val="11"/>
    <w:uiPriority w:val="0"/>
  </w:style>
  <w:style w:type="character" w:customStyle="1" w:styleId="20">
    <w:name w:val="def"/>
    <w:basedOn w:val="11"/>
    <w:uiPriority w:val="0"/>
  </w:style>
  <w:style w:type="paragraph" w:customStyle="1" w:styleId="21">
    <w:name w:val="ordinary-output target-output"/>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22">
    <w:name w:val="List Paragraph"/>
    <w:basedOn w:val="1"/>
    <w:qFormat/>
    <w:uiPriority w:val="0"/>
    <w:pPr>
      <w:ind w:firstLine="420" w:firstLineChars="200"/>
    </w:pPr>
    <w:rPr>
      <w:rFonts w:ascii="Calibri" w:hAnsi="Calibri"/>
      <w:szCs w:val="22"/>
    </w:rPr>
  </w:style>
  <w:style w:type="character" w:customStyle="1" w:styleId="23">
    <w:name w:val="表头 Char"/>
    <w:link w:val="24"/>
    <w:uiPriority w:val="0"/>
    <w:rPr>
      <w:rFonts w:eastAsia="楷体_GB2312"/>
      <w:bCs/>
      <w:kern w:val="44"/>
      <w:sz w:val="21"/>
      <w:szCs w:val="44"/>
    </w:rPr>
  </w:style>
  <w:style w:type="paragraph" w:customStyle="1" w:styleId="24">
    <w:name w:val="表头"/>
    <w:basedOn w:val="1"/>
    <w:link w:val="23"/>
    <w:qFormat/>
    <w:uiPriority w:val="0"/>
    <w:pPr>
      <w:widowControl/>
      <w:jc w:val="center"/>
    </w:pPr>
    <w:rPr>
      <w:rFonts w:eastAsia="楷体_GB2312"/>
      <w:bCs/>
      <w:kern w:val="44"/>
      <w:szCs w:val="44"/>
    </w:rPr>
  </w:style>
  <w:style w:type="character" w:customStyle="1" w:styleId="25">
    <w:name w:val="表内容 Char"/>
    <w:link w:val="26"/>
    <w:uiPriority w:val="0"/>
    <w:rPr>
      <w:rFonts w:hAnsi="宋体"/>
      <w:sz w:val="21"/>
      <w:szCs w:val="21"/>
      <w:lang w:val="en-US" w:eastAsia="zh-CN" w:bidi="ar-SA"/>
    </w:rPr>
  </w:style>
  <w:style w:type="paragraph" w:customStyle="1" w:styleId="26">
    <w:name w:val="表内容"/>
    <w:link w:val="25"/>
    <w:qFormat/>
    <w:uiPriority w:val="0"/>
    <w:pPr>
      <w:jc w:val="center"/>
    </w:pPr>
    <w:rPr>
      <w:rFonts w:ascii="Times New Roman" w:hAnsi="宋体" w:eastAsia="宋体" w:cs="Times New Roman"/>
      <w:sz w:val="21"/>
      <w:szCs w:val="21"/>
      <w:lang w:val="en-US" w:eastAsia="zh-CN" w:bidi="ar-SA"/>
    </w:rPr>
  </w:style>
  <w:style w:type="paragraph" w:customStyle="1" w:styleId="27">
    <w:name w:val="ql-long-13535339"/>
    <w:basedOn w:val="1"/>
    <w:uiPriority w:val="0"/>
    <w:pPr>
      <w:widowControl/>
      <w:spacing w:before="100" w:beforeAutospacing="1" w:after="100" w:afterAutospacing="1"/>
      <w:jc w:val="left"/>
    </w:pPr>
    <w:rPr>
      <w:rFonts w:ascii="宋体" w:hAnsi="宋体" w:cs="宋体"/>
      <w:kern w:val="0"/>
      <w:sz w:val="24"/>
    </w:rPr>
  </w:style>
  <w:style w:type="character" w:customStyle="1" w:styleId="28">
    <w:name w:val="ql-author-13535339"/>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098659788"/>
        <w:style w:val=""/>
        <w:category>
          <w:name w:val="常规"/>
          <w:gallery w:val="placeholder"/>
        </w:category>
        <w:types>
          <w:type w:val="bbPlcHdr"/>
        </w:types>
        <w:behaviors>
          <w:behavior w:val="content"/>
        </w:behaviors>
        <w:description w:val=""/>
        <w:guid w:val="{07ddf70e-038e-4484-9ddf-ee6985418e8b}"/>
      </w:docPartPr>
      <w:docPartBody>
        <w:p>
          <w:r>
            <w:rPr>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8</Pages>
  <Words>8797</Words>
  <Characters>10103</Characters>
  <Lines>26</Lines>
  <Paragraphs>7</Paragraphs>
  <TotalTime>3332</TotalTime>
  <ScaleCrop>false</ScaleCrop>
  <LinksUpToDate>false</LinksUpToDate>
  <CharactersWithSpaces>10259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2022-12-11T11:48:50Z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D35582AAD533437B9BA4762D46151752</vt:lpwstr>
  </property>
</Properties>
</file>