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2"/>
        <w:spacing w:line="360" w:lineRule="auto"/>
        <w:ind w:firstLine="0" w:firstLineChars="0"/>
        <w:rPr>
          <w:rFonts w:ascii="Times New Roman" w:hAnsi="Times New Roman"/>
          <w:b/>
          <w:color w:val="auto"/>
          <w:sz w:val="28"/>
          <w:szCs w:val="28"/>
        </w:rPr>
      </w:pP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w:t>
      </w:r>
      <w:bookmarkStart w:id="2" w:name="_GoBack"/>
      <w:bookmarkEnd w:id="2"/>
      <w:r>
        <w:rPr>
          <w:rFonts w:hint="eastAsia" w:ascii="宋体" w:hAnsi="宋体"/>
          <w:color w:val="auto"/>
          <w:szCs w:val="21"/>
          <w:lang w:val="en-US" w:eastAsia="zh-CN"/>
        </w:rPr>
        <w:t>】考虑到开放式作业对提高学生创新思维能力和语言组织能力至关重要【】，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default" w:cs="Times New Roman"/>
          <w:color w:val="0000FF"/>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。我们用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作为评价者，评价的所有作业的集合</w:t>
      </w:r>
      <w:r>
        <w:rPr>
          <w:rFonts w:hint="eastAsia" w:cs="Times New Roman"/>
          <w:color w:val="auto"/>
          <w:kern w:val="2"/>
          <w:sz w:val="21"/>
          <w:szCs w:val="21"/>
          <w:lang w:val="en-US" w:eastAsia="zh-CN"/>
        </w:rPr>
        <w:t>。用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在互评活动中，一名同行评价者要求为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：偏见是隐变量，表示一个同行互评者在互评时夸大和缩小一定分数的倾向,作为同行评价者的评价属性。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的可靠性。传统的概率模型中，评价者的可靠性取决于学生的真实分数，在我们的概率模型中，评价者的可靠性将取决于评分能力。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cs="Times New Roman"/>
          <w:color w:val="auto"/>
          <w:kern w:val="2"/>
          <w:sz w:val="21"/>
          <w:szCs w:val="21"/>
          <w:lang w:eastAsia="zh-CN"/>
        </w:rPr>
      </w:pPr>
      <w:r>
        <w:rPr>
          <w:rFonts w:hint="default"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通过公式，我们可以得到每个学生的评价能力，用于下一次的同行互评。通过实验，我们验证了每个学生的评价能力在迭代互评过程中很少发生变化。也就是说，认真的人会一直认真。所以为了能够最大程度得到学生的准确性，我们通过最大限度分配审查资源的方式以得到更多的准确性</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模型中，我们假设真实的分数</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服从高斯分布，均值为</w:t>
      </w:r>
      <m:oMath>
        <m:r>
          <m:rPr/>
          <w:rPr>
            <w:rFonts w:hint="default" w:ascii="Cambria Math" w:hAnsi="Cambria Math" w:cs="Times New Roman"/>
            <w:color w:val="auto"/>
            <w:kern w:val="2"/>
            <w:sz w:val="21"/>
            <w:szCs w:val="21"/>
            <w:lang w:val="en-US"/>
          </w:rPr>
          <m:t>α</m:t>
        </m:r>
      </m:oMath>
      <w:r>
        <w:rPr>
          <w:rFonts w:hint="eastAsia" w:hAnsi="Cambria Math" w:cs="Times New Roman"/>
          <w:i w:val="0"/>
          <w:color w:val="auto"/>
          <w:kern w:val="2"/>
          <w:sz w:val="21"/>
          <w:szCs w:val="21"/>
          <w:lang w:val="en-US" w:eastAsia="zh-CN"/>
        </w:rPr>
        <w:t>，方差为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γ</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。虽然评价者在同行互评中可能有不同的偏见，我们认为偏见的均值为0.并且假设</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服从均值为0，方差为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η</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的高斯分布。对于可靠性</w:t>
      </w:r>
      <m:oMath>
        <m:r>
          <m:rPr/>
          <w:rPr>
            <w:rFonts w:hint="default"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，我们在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iCs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中假设其服从伽马分布，其形状参数等于评价能力</w:t>
      </w:r>
      <w:r>
        <w:rPr>
          <w:rFonts w:hint="default" w:ascii="Times New Roman" w:hAnsi="Times New Roman" w:cs="Times New Roman"/>
          <w:i/>
          <w:iCs/>
          <w:color w:val="auto"/>
          <w:kern w:val="2"/>
          <w:sz w:val="21"/>
          <w:szCs w:val="21"/>
          <w:lang w:val="en-US" w:eastAsia="zh-CN"/>
        </w:rPr>
        <w:t>r</w:t>
      </w:r>
      <w:r>
        <w:rPr>
          <w:rFonts w:hint="eastAsia" w:hAnsi="Cambria Math" w:cs="Times New Roman"/>
          <w:i w:val="0"/>
          <w:color w:val="auto"/>
          <w:kern w:val="2"/>
          <w:sz w:val="21"/>
          <w:szCs w:val="21"/>
          <w:lang w:val="en-US" w:eastAsia="zh-CN"/>
        </w:rPr>
        <w:t>，和率参数等于</w:t>
      </w:r>
      <m:oMath>
        <m:r>
          <m:rPr/>
          <w:rPr>
            <w:rFonts w:hint="default" w:ascii="Cambria Math" w:hAnsi="Cambria Math" w:cs="Times New Roman"/>
            <w:color w:val="auto"/>
            <w:kern w:val="2"/>
            <w:sz w:val="21"/>
            <w:szCs w:val="21"/>
            <w:lang w:val="en-US"/>
          </w:rPr>
          <m:t>β</m:t>
        </m:r>
      </m:oMath>
      <w:r>
        <w:rPr>
          <w:rFonts w:hint="eastAsia" w:hAnsi="Cambria Math" w:cs="Times New Roman"/>
          <w:i w:val="0"/>
          <w:color w:val="auto"/>
          <w:kern w:val="2"/>
          <w:sz w:val="21"/>
          <w:szCs w:val="21"/>
          <w:lang w:val="en-US" w:eastAsia="zh-CN"/>
        </w:rPr>
        <w:t>。互评分数</w:t>
      </w:r>
      <w:r>
        <w:rPr>
          <w:rFonts w:hint="default" w:ascii="Times New Roman" w:hAnsi="Times New Roman" w:cs="Times New Roman"/>
          <w:i/>
          <w:iCs/>
          <w:color w:val="auto"/>
          <w:kern w:val="2"/>
          <w:sz w:val="21"/>
          <w:szCs w:val="21"/>
          <w:lang w:val="en-US" w:eastAsia="zh-CN"/>
        </w:rPr>
        <w:t>z</w:t>
      </w:r>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，方差与评分者的可靠性成反比。相对分数的</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，和方差等于</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bidi="ar-SA"/>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w:rPr>
                  <w:rFonts w:ascii="Cambria Math" w:hAnsi="Cambria Math" w:cs="Times New Roman"/>
                  <w:i/>
                  <w:color w:val="auto"/>
                  <w:kern w:val="2"/>
                  <w:sz w:val="21"/>
                  <w:szCs w:val="21"/>
                  <w:lang w:val="en-US"/>
                </w:rPr>
              </m:ctrlPr>
            </m:dPr>
            <m:e>
              <m:f>
                <m:fPr>
                  <m:ctrlPr>
                    <w:rPr>
                      <w:rFonts w:ascii="Cambria Math" w:hAnsi="Cambria Math" w:cs="Times New Roman"/>
                      <w:i/>
                      <w:color w:val="auto"/>
                      <w:kern w:val="2"/>
                      <w:sz w:val="21"/>
                      <w:szCs w:val="21"/>
                      <w:lang w:val="en-US"/>
                    </w:rPr>
                  </m:ctrlPr>
                </m:fPr>
                <m:num>
                  <m:sSup>
                    <m:sSupPr>
                      <m:ctrlPr>
                        <w:rPr>
                          <w:rFonts w:ascii="Cambria Math" w:hAnsi="Cambria Math" w:cs="Times New Roman"/>
                          <w:i/>
                          <w:color w:val="auto"/>
                          <w:kern w:val="2"/>
                          <w:sz w:val="21"/>
                          <w:szCs w:val="21"/>
                          <w:lang w:val="en-US"/>
                        </w:rPr>
                      </m:ctrlPr>
                    </m:sSupPr>
                    <m:e>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ctrl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sup>
                  </m:sSup>
                  <m:ctrl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nary>
                    <m:naryPr>
                      <m:chr m:val="∑"/>
                      <m:limLoc m:val="undOvr"/>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ctrlPr>
                <w:rPr>
                  <w:rFonts w:ascii="Cambria Math" w:hAnsi="Cambria Math" w:cs="Times New Roman"/>
                  <w:i/>
                  <w:color w:val="auto"/>
                  <w:kern w:val="2"/>
                  <w:sz w:val="21"/>
                  <w:szCs w:val="21"/>
                  <w:lang w:val="en-US"/>
                </w:rPr>
              </m:ctrlPr>
            </m:e>
          </m:d>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up>
              <m:f>
                <m:fPr>
                  <m:ctrlPr>
                    <w:rPr>
                      <w:rFonts w:ascii="Cambria Math" w:hAnsi="Cambria Math" w:cs="Times New Roman"/>
                      <w:i/>
                      <w:color w:val="auto"/>
                      <w:kern w:val="2"/>
                      <w:sz w:val="21"/>
                      <w:szCs w:val="21"/>
                      <w:lang w:val="en-US" w:bidi="ar-SA"/>
                    </w:rPr>
                  </m:ctrlPr>
                </m:fPr>
                <m:num>
                  <m:sSup>
                    <m:sSupPr>
                      <m:ctrlPr>
                        <w:rPr>
                          <w:rFonts w:ascii="Cambria Math" w:hAnsi="Cambria Math" w:cs="Times New Roman"/>
                          <w:i/>
                          <w:color w:val="auto"/>
                          <w:kern w:val="2"/>
                          <w:sz w:val="21"/>
                          <w:szCs w:val="21"/>
                          <w:lang w:val="en-US" w:bidi="ar-SA"/>
                        </w:rPr>
                      </m:ctrlPr>
                    </m:sSupPr>
                    <m:e>
                      <m:d>
                        <m:dPr>
                          <m:begChr m:val="|"/>
                          <m:endChr m:val="|"/>
                          <m:ctrlPr>
                            <w:rPr>
                              <w:rFonts w:ascii="Cambria Math" w:hAnsi="Cambria Math" w:cs="Times New Roman"/>
                              <w:i/>
                              <w:color w:val="auto"/>
                              <w:kern w:val="2"/>
                              <w:sz w:val="21"/>
                              <w:szCs w:val="21"/>
                              <w:lang w:val="en-US" w:bidi="ar-SA"/>
                            </w:rPr>
                          </m:ctrlPr>
                        </m:dPr>
                        <m:e>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sup>
                  </m:sSup>
                  <m:ctrl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den>
              </m:f>
              <m:ctrl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eastAsia="华文楷体"/>
          <w:color w:val="auto"/>
          <w:szCs w:val="21"/>
        </w:rPr>
      </w:pPr>
    </w:p>
    <w:p>
      <w:pPr>
        <w:pStyle w:val="27"/>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7"/>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7"/>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7"/>
        <w:spacing w:before="0" w:beforeAutospacing="0" w:after="0" w:afterAutospacing="0"/>
        <w:rPr>
          <w:rFonts w:hint="eastAsia" w:ascii="Times New Roman" w:hAnsi="Times New Roman" w:eastAsia="华文楷体" w:cs="Times New Roman"/>
          <w:color w:val="auto"/>
          <w:szCs w:val="21"/>
        </w:rPr>
      </w:pPr>
    </w:p>
    <w:p>
      <w:pPr>
        <w:pStyle w:val="22"/>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2"/>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2"/>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2"/>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4"/>
        <w:jc w:val="left"/>
        <w:rPr>
          <w:rFonts w:hint="eastAsia" w:hAnsi="宋体" w:eastAsia="宋体"/>
          <w:color w:val="auto"/>
        </w:rPr>
      </w:pPr>
    </w:p>
    <w:p>
      <w:pPr>
        <w:pStyle w:val="24"/>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4"/>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6"/>
              <w:rPr>
                <w:color w:val="auto"/>
              </w:rPr>
            </w:pPr>
            <w:r>
              <w:rPr>
                <w:color w:val="auto"/>
              </w:rPr>
              <w:t>试样</w:t>
            </w:r>
          </w:p>
          <w:p>
            <w:pPr>
              <w:pStyle w:val="26"/>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6"/>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垂直燃烧等级</w:t>
            </w:r>
          </w:p>
          <w:p>
            <w:pPr>
              <w:pStyle w:val="26"/>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水平燃烧等级</w:t>
            </w:r>
          </w:p>
          <w:p>
            <w:pPr>
              <w:pStyle w:val="26"/>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6"/>
              <w:rPr>
                <w:color w:val="auto"/>
              </w:rPr>
            </w:pPr>
            <w:r>
              <w:rPr>
                <w:color w:val="auto"/>
              </w:rPr>
              <w:t>燃烧现象</w:t>
            </w:r>
          </w:p>
          <w:p>
            <w:pPr>
              <w:pStyle w:val="26"/>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A</w:t>
            </w:r>
          </w:p>
        </w:tc>
        <w:tc>
          <w:tcPr>
            <w:tcW w:w="938" w:type="pct"/>
            <w:tcBorders>
              <w:top w:val="nil"/>
              <w:left w:val="nil"/>
              <w:bottom w:val="nil"/>
              <w:right w:val="nil"/>
            </w:tcBorders>
            <w:noWrap w:val="0"/>
            <w:vAlign w:val="center"/>
          </w:tcPr>
          <w:p>
            <w:pPr>
              <w:pStyle w:val="26"/>
              <w:rPr>
                <w:color w:val="auto"/>
              </w:rPr>
            </w:pPr>
            <w:r>
              <w:rPr>
                <w:color w:val="auto"/>
              </w:rPr>
              <w:t>19.0</w:t>
            </w:r>
          </w:p>
        </w:tc>
        <w:tc>
          <w:tcPr>
            <w:tcW w:w="975" w:type="pct"/>
            <w:tcBorders>
              <w:top w:val="nil"/>
              <w:left w:val="nil"/>
              <w:bottom w:val="nil"/>
              <w:right w:val="nil"/>
            </w:tcBorders>
            <w:noWrap w:val="0"/>
            <w:vAlign w:val="center"/>
          </w:tcPr>
          <w:p>
            <w:pPr>
              <w:pStyle w:val="26"/>
              <w:rPr>
                <w:rFonts w:hint="eastAsia"/>
                <w:color w:val="auto"/>
              </w:rPr>
            </w:pPr>
            <w:r>
              <w:rPr>
                <w:color w:val="auto"/>
              </w:rPr>
              <w:t>完全燃烧殆尽</w:t>
            </w:r>
          </w:p>
          <w:p>
            <w:pPr>
              <w:pStyle w:val="26"/>
              <w:rPr>
                <w:color w:val="auto"/>
              </w:rPr>
            </w:pPr>
            <w:r>
              <w:rPr>
                <w:color w:val="auto"/>
              </w:rPr>
              <w:t>Completely burned up</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6"/>
              <w:rPr>
                <w:rFonts w:hint="eastAsia"/>
                <w:color w:val="auto"/>
              </w:rPr>
            </w:pPr>
            <w:r>
              <w:rPr>
                <w:color w:val="auto"/>
              </w:rPr>
              <w:t>严重滴落</w:t>
            </w:r>
          </w:p>
          <w:p>
            <w:pPr>
              <w:pStyle w:val="26"/>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B</w:t>
            </w:r>
          </w:p>
        </w:tc>
        <w:tc>
          <w:tcPr>
            <w:tcW w:w="938" w:type="pct"/>
            <w:tcBorders>
              <w:top w:val="nil"/>
              <w:left w:val="nil"/>
              <w:bottom w:val="nil"/>
              <w:right w:val="nil"/>
            </w:tcBorders>
            <w:noWrap w:val="0"/>
            <w:vAlign w:val="center"/>
          </w:tcPr>
          <w:p>
            <w:pPr>
              <w:pStyle w:val="26"/>
              <w:rPr>
                <w:color w:val="auto"/>
              </w:rPr>
            </w:pPr>
            <w:r>
              <w:rPr>
                <w:color w:val="auto"/>
              </w:rPr>
              <w:t>28.1</w:t>
            </w:r>
          </w:p>
        </w:tc>
        <w:tc>
          <w:tcPr>
            <w:tcW w:w="975" w:type="pct"/>
            <w:tcBorders>
              <w:top w:val="nil"/>
              <w:left w:val="nil"/>
              <w:bottom w:val="nil"/>
              <w:right w:val="nil"/>
            </w:tcBorders>
            <w:noWrap w:val="0"/>
            <w:vAlign w:val="center"/>
          </w:tcPr>
          <w:p>
            <w:pPr>
              <w:pStyle w:val="26"/>
              <w:rPr>
                <w:color w:val="auto"/>
              </w:rPr>
            </w:pPr>
            <w:r>
              <w:rPr>
                <w:color w:val="auto"/>
              </w:rPr>
              <w:t>V-2</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发烟量多，严重</w:t>
            </w:r>
            <w:r>
              <w:rPr>
                <w:color w:val="auto"/>
              </w:rPr>
              <w:t>滴落</w:t>
            </w:r>
          </w:p>
          <w:p>
            <w:pPr>
              <w:pStyle w:val="26"/>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C1</w:t>
            </w:r>
          </w:p>
        </w:tc>
        <w:tc>
          <w:tcPr>
            <w:tcW w:w="938" w:type="pct"/>
            <w:tcBorders>
              <w:top w:val="nil"/>
              <w:left w:val="nil"/>
              <w:bottom w:val="nil"/>
              <w:right w:val="nil"/>
            </w:tcBorders>
            <w:noWrap w:val="0"/>
            <w:vAlign w:val="center"/>
          </w:tcPr>
          <w:p>
            <w:pPr>
              <w:pStyle w:val="26"/>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C2</w:t>
            </w:r>
          </w:p>
        </w:tc>
        <w:tc>
          <w:tcPr>
            <w:tcW w:w="938" w:type="pct"/>
            <w:tcBorders>
              <w:top w:val="nil"/>
              <w:left w:val="nil"/>
              <w:bottom w:val="nil"/>
              <w:right w:val="nil"/>
            </w:tcBorders>
            <w:noWrap w:val="0"/>
            <w:vAlign w:val="center"/>
          </w:tcPr>
          <w:p>
            <w:pPr>
              <w:pStyle w:val="26"/>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6"/>
              <w:rPr>
                <w:color w:val="auto"/>
              </w:rPr>
            </w:pPr>
            <w:r>
              <w:rPr>
                <w:color w:val="auto"/>
              </w:rPr>
              <w:t>C3</w:t>
            </w:r>
          </w:p>
        </w:tc>
        <w:tc>
          <w:tcPr>
            <w:tcW w:w="938" w:type="pct"/>
            <w:tcBorders>
              <w:top w:val="nil"/>
              <w:left w:val="nil"/>
              <w:right w:val="nil"/>
            </w:tcBorders>
            <w:noWrap w:val="0"/>
            <w:vAlign w:val="center"/>
          </w:tcPr>
          <w:p>
            <w:pPr>
              <w:pStyle w:val="26"/>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6"/>
              <w:rPr>
                <w:color w:val="auto"/>
              </w:rPr>
            </w:pPr>
            <w:r>
              <w:rPr>
                <w:color w:val="auto"/>
              </w:rPr>
              <w:t>V-0</w:t>
            </w:r>
          </w:p>
        </w:tc>
        <w:tc>
          <w:tcPr>
            <w:tcW w:w="980" w:type="pct"/>
            <w:tcBorders>
              <w:top w:val="nil"/>
              <w:left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6"/>
              <w:rPr>
                <w:color w:val="auto"/>
              </w:rPr>
            </w:pPr>
            <w:r>
              <w:rPr>
                <w:color w:val="auto"/>
              </w:rPr>
              <w:t>C4</w:t>
            </w:r>
          </w:p>
        </w:tc>
        <w:tc>
          <w:tcPr>
            <w:tcW w:w="938" w:type="pct"/>
            <w:tcBorders>
              <w:top w:val="nil"/>
              <w:left w:val="nil"/>
              <w:bottom w:val="single" w:color="auto" w:sz="4" w:space="0"/>
              <w:right w:val="nil"/>
            </w:tcBorders>
            <w:noWrap w:val="0"/>
            <w:vAlign w:val="center"/>
          </w:tcPr>
          <w:p>
            <w:pPr>
              <w:pStyle w:val="26"/>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6"/>
              <w:rPr>
                <w:color w:val="auto"/>
              </w:rPr>
            </w:pPr>
            <w:r>
              <w:rPr>
                <w:color w:val="auto"/>
              </w:rPr>
              <w:t>V-0</w:t>
            </w:r>
          </w:p>
        </w:tc>
        <w:tc>
          <w:tcPr>
            <w:tcW w:w="98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bl>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eastAsia="宋体"/>
          <w:color w:val="auto"/>
          <w:szCs w:val="21"/>
          <w:lang w:val="en-US" w:eastAsia="zh-CN"/>
        </w:rPr>
      </w:pPr>
      <w:r>
        <w:rPr>
          <w:rFonts w:hint="eastAsia"/>
          <w:color w:val="auto"/>
          <w:szCs w:val="21"/>
          <w:lang w:val="en-US" w:eastAsia="zh-CN"/>
        </w:rPr>
        <w:t>通过收集的真实同行互评数据集，本节对本文中提出的基于评价能力的同行互评模型RPG6、RPG7和相关的同行互评技术进行了实验比较。</w:t>
      </w:r>
      <w:r>
        <w:rPr>
          <w:rFonts w:hint="eastAsia" w:ascii="黑体" w:hAnsi="宋体" w:eastAsia="黑体" w:cs="黑体"/>
          <w:color w:val="000000"/>
          <w:kern w:val="0"/>
          <w:sz w:val="16"/>
          <w:szCs w:val="16"/>
          <w:lang w:val="en-US" w:eastAsia="zh-CN" w:bidi="ar"/>
        </w:rPr>
        <w:t xml:space="preserve"> </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实验中使用的</w:t>
      </w:r>
      <w:r>
        <w:rPr>
          <w:rFonts w:hint="eastAsia"/>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于自主研发的“会了吗”</w:t>
      </w:r>
      <w:r>
        <w:rPr>
          <w:rFonts w:hint="default" w:ascii="Times New Roman" w:hAnsi="Times New Roman" w:eastAsia="宋体" w:cs="Times New Roman"/>
          <w:color w:val="auto"/>
          <w:kern w:val="2"/>
          <w:sz w:val="21"/>
          <w:szCs w:val="21"/>
          <w:lang w:val="en-US" w:eastAsia="zh-CN" w:bidi="ar-SA"/>
        </w:rPr>
        <w:t>MOOC</w:t>
      </w:r>
      <w:r>
        <w:rPr>
          <w:rFonts w:hint="eastAsia" w:ascii="Times New Roman" w:hAnsi="Times New Roman" w:cs="Times New Roman"/>
          <w:color w:val="auto"/>
          <w:kern w:val="2"/>
          <w:sz w:val="21"/>
          <w:szCs w:val="21"/>
          <w:lang w:val="en-US" w:eastAsia="zh-CN" w:bidi="ar-SA"/>
        </w:rPr>
        <w:t>系统。这些数据来自三门课程上举行的同行互评任务，这些课程分别是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r>
        <w:rPr>
          <w:rFonts w:hint="eastAsia" w:ascii="Times New Roman" w:hAnsi="Times New Roman" w:cs="Times New Roman"/>
          <w:color w:val="auto"/>
          <w:kern w:val="2"/>
          <w:sz w:val="21"/>
          <w:szCs w:val="21"/>
          <w:lang w:val="en-US" w:eastAsia="zh-CN" w:bidi="ar-SA"/>
        </w:rPr>
        <w:t>表中给出了课程中的同行互评数据集的统计信息。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表2 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为了评估RPG6和RPG7的效果，我们将它与以下4种方法进行了比较。</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：目前准确性最好的概率模型之一，引入了相对同伴的分数，假设同行评价者可靠性满足伽马分布，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数据集中同行互评任务的载体是教学平台上布置的作业，所有的作业内容只包含一道开放式的主观题。每位参与作业的学生都将作为同行评价者，根据教师提供的互评准则来评估其他三份提交的作业，以确保每份提交的作业都有三个互评分数。所有的同行互评活动都是双盲的，同行评价者和被评价者都不知道彼此的身份。</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本文提出的概率模型</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在建模时用到了一些超参数，为这些超参数设置合理的值对概率模型的准确性来说非常重要。由于所提出的模型是【】中</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模型的扩展，为了更好的验证在离散变量中的取值，我们对和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r>
        <w:rPr>
          <w:rFonts w:hint="eastAsia" w:ascii="Times New Roman" w:hAnsi="Times New Roman"/>
          <w:b w:val="0"/>
          <w:bCs/>
          <w:color w:val="auto"/>
          <w:szCs w:val="21"/>
          <w:lang w:val="en-US" w:eastAsia="zh-CN"/>
        </w:rPr>
        <w:t>对于概率模型中的真实分数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eastAsia" w:hAnsi="Cambria Math"/>
          <w:bCs/>
          <w:i w:val="0"/>
          <w:iCs w:val="0"/>
          <w:color w:val="auto"/>
          <w:szCs w:val="21"/>
          <w:lang w:val="en-US" w:eastAsia="zh-CN"/>
        </w:rPr>
        <w:t>，我们设置为1。对于可靠性</w:t>
      </w:r>
      <m:oMath>
        <m:r>
          <m:rPr/>
          <w:rPr>
            <w:rFonts w:hint="default" w:ascii="Cambria Math" w:hAnsi="Cambria Math"/>
            <w:color w:val="auto"/>
            <w:szCs w:val="21"/>
            <w:lang w:val="en-US"/>
          </w:rPr>
          <m:t>τ</m:t>
        </m:r>
      </m:oMath>
      <w:r>
        <w:rPr>
          <w:rFonts w:hint="eastAsia" w:hAnsi="Cambria Math"/>
          <w:bCs/>
          <w:i w:val="0"/>
          <w:iCs w:val="0"/>
          <w:color w:val="auto"/>
          <w:szCs w:val="21"/>
          <w:lang w:val="en-US" w:eastAsia="zh-CN"/>
        </w:rPr>
        <w:t>的超参数</w:t>
      </w:r>
      <m:oMath>
        <m:r>
          <m:rPr/>
          <w:rPr>
            <w:rFonts w:hint="default" w:ascii="Cambria Math" w:hAnsi="Cambria Math"/>
            <w:color w:val="auto"/>
            <w:szCs w:val="21"/>
            <w:lang w:val="en-US"/>
          </w:rPr>
          <m:t>β</m:t>
        </m:r>
      </m:oMath>
      <w:r>
        <w:rPr>
          <w:rFonts w:hint="eastAsia" w:hAnsi="Cambria Math"/>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100,700］范围中的不同取值，然后以其中所得到的对真实分数最准确的估计值为该模型的最终估计值。由于概率模型的估计具有一定的随机性，对于所有概率模型，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的每种取值都执行10次真实分数的估计。</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对于基于概率模型的同行互评技术中每个需要估计的隐含变量,推断算法均迭代运行600次Gibbs采样获取隐含变量的样本值，并设定前60次采样得到的样本为老化阶段的样本，这些老化阶段的样郴不参与对真实分数的估计运算.</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2"/>
        <w:ind w:firstLine="0" w:firstLineChars="0"/>
        <w:rPr>
          <w:rFonts w:hint="eastAsia"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.1</w:t>
      </w:r>
      <w:r>
        <w:rPr>
          <w:rFonts w:hint="eastAsia" w:ascii="Times New Roman" w:hAnsi="Times New Roman"/>
          <w:color w:val="auto"/>
          <w:szCs w:val="21"/>
          <w:lang w:val="en-US" w:eastAsia="zh-CN"/>
        </w:rPr>
        <w:t xml:space="preserve"> 同行互评汇总技术的评估准确性</w:t>
      </w:r>
    </w:p>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和【】一样，我们采用RMSE来评估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的准确性差异。RMSE的计算公式如下：</w:t>
      </w:r>
    </w:p>
    <w:p>
      <w:pPr>
        <w:pStyle w:val="22"/>
        <w:keepNext w:val="0"/>
        <w:keepLines w:val="0"/>
        <w:pageBreakBefore w:val="0"/>
        <w:widowControl w:val="0"/>
        <w:kinsoku/>
        <w:wordWrap/>
        <w:overflowPunct/>
        <w:topLinePunct w:val="0"/>
        <w:autoSpaceDE/>
        <w:autoSpaceDN/>
        <w:bidi w:val="0"/>
        <w:adjustRightInd/>
        <w:snapToGrid/>
        <w:textAlignment w:val="auto"/>
        <m:rPr/>
        <w:rPr>
          <w:rFonts w:hint="default" w:hAnsi="Cambria Math" w:cs="Times New Roman"/>
          <w:b w:val="0"/>
          <w:bCs/>
          <w:i w:val="0"/>
          <w:iCs/>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RMSE=</m:t>
          </m:r>
          <m:rad>
            <m:radPr>
              <m:degHide m:val="1"/>
              <m:ctrlPr>
                <m:rPr/>
                <w:rPr>
                  <w:rFonts w:hint="default" w:ascii="Cambria Math" w:hAnsi="Cambria Math" w:cs="Times New Roman"/>
                  <w:b w:val="0"/>
                  <w:bCs/>
                  <w:i/>
                  <w:iCs/>
                  <w:color w:val="auto"/>
                  <w:kern w:val="2"/>
                  <w:sz w:val="21"/>
                  <w:szCs w:val="21"/>
                  <w:lang w:val="en-US" w:eastAsia="zh-CN" w:bidi="ar-SA"/>
                </w:rPr>
              </m:ctrlPr>
            </m:radPr>
            <m:deg>
              <m:ctrlPr>
                <m:rPr/>
                <w:rPr>
                  <w:rFonts w:hint="default" w:ascii="Cambria Math" w:hAnsi="Cambria Math" w:cs="Times New Roman"/>
                  <w:b w:val="0"/>
                  <w:bCs/>
                  <w:i/>
                  <w:iCs/>
                  <w:color w:val="auto"/>
                  <w:kern w:val="2"/>
                  <w:sz w:val="21"/>
                  <w:szCs w:val="21"/>
                  <w:lang w:val="en-US" w:eastAsia="zh-CN" w:bidi="ar-SA"/>
                </w:rPr>
              </m:ctrlPr>
            </m:deg>
            <m:e>
              <m:f>
                <m:fPr>
                  <m:ctrlPr>
                    <m:rPr/>
                    <w:rPr>
                      <w:rFonts w:hint="default" w:ascii="Cambria Math" w:hAnsi="Cambria Math" w:cs="Times New Roman"/>
                      <w:b w:val="0"/>
                      <w:bCs/>
                      <w:i/>
                      <w:iCs/>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m:rPr/>
                    <w:rPr>
                      <w:rFonts w:hint="default" w:ascii="Cambria Math" w:hAnsi="Cambria Math" w:cs="Times New Roman"/>
                      <w:b w:val="0"/>
                      <w:bCs/>
                      <w:i/>
                      <w:iCs/>
                      <w:color w:val="auto"/>
                      <w:kern w:val="2"/>
                      <w:sz w:val="21"/>
                      <w:szCs w:val="21"/>
                      <w:lang w:val="en-US" w:eastAsia="zh-CN" w:bidi="ar-SA"/>
                    </w:rPr>
                  </m:ctrlPr>
                </m:num>
                <m:den>
                  <m:d>
                    <m:dPr>
                      <m:begChr m:val="|"/>
                      <m:endChr m:val="|"/>
                      <m:ctrlPr>
                        <m:rPr/>
                        <w:rPr>
                          <w:rFonts w:hint="default" w:ascii="Cambria Math" w:hAnsi="Cambria Math" w:cs="Times New Roman"/>
                          <w:b w:val="0"/>
                          <w:bCs/>
                          <w:i/>
                          <w:iCs/>
                          <w:color w:val="auto"/>
                          <w:kern w:val="2"/>
                          <w:sz w:val="21"/>
                          <w:szCs w:val="21"/>
                          <w:lang w:val="en-US" w:eastAsia="zh-CN" w:bidi="ar-SA"/>
                        </w:rPr>
                      </m:ctrlPr>
                    </m:dPr>
                    <m:e>
                      <m:r>
                        <m:rPr/>
                        <w:rPr>
                          <w:rFonts w:hint="default" w:ascii="Cambria Math" w:hAnsi="Cambria Math" w:cs="Times New Roman"/>
                          <w:color w:val="auto"/>
                          <w:kern w:val="2"/>
                          <w:sz w:val="21"/>
                          <w:szCs w:val="21"/>
                          <w:lang w:val="en-US" w:eastAsia="zh-CN" w:bidi="ar-SA"/>
                        </w:rPr>
                        <m:t>U</m:t>
                      </m:r>
                      <m:ctrlPr>
                        <m:rPr/>
                        <w:rPr>
                          <w:rFonts w:hint="default" w:ascii="Cambria Math" w:hAnsi="Cambria Math" w:cs="Times New Roman"/>
                          <w:b w:val="0"/>
                          <w:bCs/>
                          <w:i/>
                          <w:iCs/>
                          <w:color w:val="auto"/>
                          <w:kern w:val="2"/>
                          <w:sz w:val="21"/>
                          <w:szCs w:val="21"/>
                          <w:lang w:val="en-US" w:eastAsia="zh-CN" w:bidi="ar-SA"/>
                        </w:rPr>
                      </m:ctrlPr>
                    </m:e>
                  </m:d>
                  <m:ctrlPr>
                    <m:rPr/>
                    <w:rPr>
                      <w:rFonts w:hint="default" w:ascii="Cambria Math" w:hAnsi="Cambria Math" w:cs="Times New Roman"/>
                      <w:b w:val="0"/>
                      <w:bCs/>
                      <w:i/>
                      <w:iCs/>
                      <w:color w:val="auto"/>
                      <w:kern w:val="2"/>
                      <w:sz w:val="21"/>
                      <w:szCs w:val="21"/>
                      <w:lang w:val="en-US" w:eastAsia="zh-CN" w:bidi="ar-SA"/>
                    </w:rPr>
                  </m:ctrlPr>
                </m:den>
              </m:f>
              <m:nary>
                <m:naryPr>
                  <m:chr m:val="∑"/>
                  <m:limLoc m:val="subSup"/>
                  <m:supHide m:val="1"/>
                  <m:ctrlPr>
                    <m:rPr/>
                    <w:rPr>
                      <w:rFonts w:hint="default" w:ascii="Cambria Math" w:hAnsi="Cambria Math" w:cs="Times New Roman"/>
                      <w:b w:val="0"/>
                      <w:bCs/>
                      <w:i/>
                      <w:iCs/>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ctrlPr>
                    <m:rPr/>
                    <w:rPr>
                      <w:rFonts w:hint="default" w:ascii="Cambria Math" w:hAnsi="Cambria Math" w:cs="Times New Roman"/>
                      <w:b w:val="0"/>
                      <w:bCs/>
                      <w:i/>
                      <w:iCs/>
                      <w:color w:val="auto"/>
                      <w:kern w:val="2"/>
                      <w:sz w:val="21"/>
                      <w:szCs w:val="21"/>
                      <w:lang w:val="en-US" w:eastAsia="zh-CN" w:bidi="ar-SA"/>
                    </w:rPr>
                  </m:ctrlPr>
                </m:sub>
                <m:sup>
                  <m:ctrlPr>
                    <m:rPr/>
                    <w:rPr>
                      <w:rFonts w:hint="default" w:ascii="Cambria Math" w:hAnsi="Cambria Math" w:cs="Times New Roman"/>
                      <w:b w:val="0"/>
                      <w:bCs/>
                      <w:i/>
                      <w:iCs/>
                      <w:color w:val="auto"/>
                      <w:kern w:val="2"/>
                      <w:sz w:val="21"/>
                      <w:szCs w:val="21"/>
                      <w:lang w:val="en-US" w:eastAsia="zh-CN" w:bidi="ar-SA"/>
                    </w:rPr>
                  </m:ctrlPr>
                </m:sup>
                <m:e>
                  <m:sSup>
                    <m:sSupPr>
                      <m:ctrlPr>
                        <m:rPr/>
                        <w:rPr>
                          <w:rFonts w:hint="default" w:ascii="Cambria Math" w:hAnsi="Cambria Math" w:cs="Times New Roman"/>
                          <w:b w:val="0"/>
                          <w:bCs/>
                          <w:i/>
                          <w:iCs/>
                          <w:color w:val="auto"/>
                          <w:kern w:val="2"/>
                          <w:sz w:val="21"/>
                          <w:szCs w:val="21"/>
                          <w:lang w:val="en-US" w:eastAsia="zh-CN" w:bidi="ar-SA"/>
                        </w:rPr>
                      </m:ctrlPr>
                    </m:sSupPr>
                    <m:e>
                      <m:d>
                        <m:dPr>
                          <m:ctrlPr>
                            <m:rPr/>
                            <w:rPr>
                              <w:rFonts w:hint="default" w:ascii="Cambria Math" w:hAnsi="Cambria Math" w:cs="Times New Roman"/>
                              <w:b w:val="0"/>
                              <w:bCs/>
                              <w:i/>
                              <w:iCs/>
                              <w:color w:val="auto"/>
                              <w:kern w:val="2"/>
                              <w:sz w:val="21"/>
                              <w:szCs w:val="21"/>
                              <w:lang w:val="en-US" w:eastAsia="zh-CN" w:bidi="ar-SA"/>
                            </w:rPr>
                          </m:ctrlPr>
                        </m:dPr>
                        <m:e>
                          <m:sSub>
                            <m:sSubPr>
                              <m:ctrlPr>
                                <m:r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b w:val="0"/>
                                  <w:bCs/>
                                  <w:i/>
                                  <w:iCs/>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b w:val="0"/>
                                  <w:bCs/>
                                  <w:i/>
                                  <w:iCs/>
                                  <w:color w:val="auto"/>
                                  <w:kern w:val="2"/>
                                  <w:sz w:val="21"/>
                                  <w:szCs w:val="21"/>
                                  <w:lang w:val="en-US" w:eastAsia="zh-CN" w:bidi="ar-SA"/>
                                </w:rPr>
                              </m:ctrlPr>
                            </m:sSubPr>
                            <m:e>
                              <m:acc>
                                <m:accPr>
                                  <m:ctrlPr>
                                    <m:r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b w:val="0"/>
                                      <w:bCs/>
                                      <w:i/>
                                      <w:iCs/>
                                      <w:color w:val="auto"/>
                                      <w:kern w:val="2"/>
                                      <w:sz w:val="21"/>
                                      <w:szCs w:val="21"/>
                                      <w:lang w:val="en-US" w:eastAsia="zh-CN" w:bidi="ar-SA"/>
                                    </w:rPr>
                                  </m:ctrlPr>
                                </m:e>
                              </m:acc>
                              <m:ctrlPr>
                                <m:r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b w:val="0"/>
                                  <w:bCs/>
                                  <w:i/>
                                  <w:iCs/>
                                  <w:color w:val="auto"/>
                                  <w:kern w:val="2"/>
                                  <w:sz w:val="21"/>
                                  <w:szCs w:val="21"/>
                                  <w:lang w:val="en-US" w:eastAsia="zh-CN" w:bidi="ar-SA"/>
                                </w:rPr>
                              </m:ctrlPr>
                            </m:sub>
                          </m:sSub>
                          <m:ctrlPr>
                            <m:rPr/>
                            <w:rPr>
                              <w:rFonts w:hint="default" w:ascii="Cambria Math" w:hAnsi="Cambria Math" w:cs="Times New Roman"/>
                              <w:b w:val="0"/>
                              <w:bCs/>
                              <w:i/>
                              <w:iCs/>
                              <w:color w:val="auto"/>
                              <w:kern w:val="2"/>
                              <w:sz w:val="21"/>
                              <w:szCs w:val="21"/>
                              <w:lang w:val="en-US" w:eastAsia="zh-CN" w:bidi="ar-SA"/>
                            </w:rPr>
                          </m:ctrlPr>
                        </m:e>
                      </m:d>
                      <m:ctrlPr>
                        <m:rPr/>
                        <w:rPr>
                          <w:rFonts w:hint="default" w:ascii="Cambria Math" w:hAnsi="Cambria Math" w:cs="Times New Roman"/>
                          <w:b w:val="0"/>
                          <w:bCs/>
                          <w:i/>
                          <w:iCs/>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m:rPr/>
                        <w:rPr>
                          <w:rFonts w:hint="default" w:ascii="Cambria Math" w:hAnsi="Cambria Math" w:cs="Times New Roman"/>
                          <w:b w:val="0"/>
                          <w:bCs/>
                          <w:i/>
                          <w:iCs/>
                          <w:color w:val="auto"/>
                          <w:kern w:val="2"/>
                          <w:sz w:val="21"/>
                          <w:szCs w:val="21"/>
                          <w:lang w:val="en-US" w:eastAsia="zh-CN" w:bidi="ar-SA"/>
                        </w:rPr>
                      </m:ctrlPr>
                    </m:sup>
                  </m:sSup>
                  <m:ctrlPr>
                    <m:rPr/>
                    <w:rPr>
                      <w:rFonts w:hint="default" w:ascii="Cambria Math" w:hAnsi="Cambria Math" w:cs="Times New Roman"/>
                      <w:b w:val="0"/>
                      <w:bCs/>
                      <w:i/>
                      <w:iCs/>
                      <w:color w:val="auto"/>
                      <w:kern w:val="2"/>
                      <w:sz w:val="21"/>
                      <w:szCs w:val="21"/>
                      <w:lang w:val="en-US" w:eastAsia="zh-CN" w:bidi="ar-SA"/>
                    </w:rPr>
                  </m:ctrlPr>
                </m:e>
              </m:nary>
              <m:ctrlPr>
                <m:rPr/>
                <w:rPr>
                  <w:rFonts w:hint="default" w:ascii="Cambria Math" w:hAnsi="Cambria Math" w:cs="Times New Roman"/>
                  <w:b w:val="0"/>
                  <w:bCs/>
                  <w:i/>
                  <w:iCs/>
                  <w:color w:val="auto"/>
                  <w:kern w:val="2"/>
                  <w:sz w:val="21"/>
                  <w:szCs w:val="21"/>
                  <w:lang w:val="en-US" w:eastAsia="zh-CN" w:bidi="ar-SA"/>
                </w:rPr>
              </m:ctrlPr>
            </m:e>
          </m:rad>
        </m:oMath>
      </m:oMathPara>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表3 </w:t>
      </w:r>
      <w:r>
        <w:rPr>
          <w:rFonts w:hint="eastAsia" w:ascii="Times New Roman" w:hAnsi="Times New Roman"/>
          <w:color w:val="auto"/>
          <w:szCs w:val="21"/>
          <w:lang w:val="en-US" w:eastAsia="zh-CN"/>
        </w:rPr>
        <w:t>同行互评汇总技术的RMSE（粗体表示最优结果）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3 RMSE for peer assessment 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RMSE</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3.746</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4.168</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3.744</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4.213</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3.637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3.832</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3.587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3.771</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3.151</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3.357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3.146</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3.284</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4.951</w:t>
            </w:r>
          </w:p>
        </w:tc>
      </w:tr>
    </w:tbl>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表3展示了不同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的在数据集中的表现。由表3可知，本文提出的基于评价能力的同行互评技术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平均降低了XX</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2 同行互评汇总技术的最大偏差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除了RMSE，我们还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表4 </w:t>
      </w:r>
      <w:r>
        <w:rPr>
          <w:rFonts w:hint="eastAsia" w:ascii="Times New Roman" w:hAnsi="Times New Roman"/>
          <w:color w:val="auto"/>
          <w:szCs w:val="21"/>
          <w:lang w:val="en-US" w:eastAsia="zh-CN"/>
        </w:rPr>
        <w:t>同行互评汇总技术的</w:t>
      </w:r>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Table 3 Maximum bias in peer assessment </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最大偏差</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5.518</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8.447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4.331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5.07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7.366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4.349</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5.423</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7.589</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如表4 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2"/>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3 同行互评汇总技术的超参数敏感性</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的超参数超参数</w:t>
      </w:r>
      <w:r>
        <w:rPr>
          <w:rFonts w:hint="eastAsia" w:ascii="Times New Roman" w:hAnsi="Times New Roman"/>
          <w:color w:val="auto"/>
          <w:szCs w:val="21"/>
          <w:lang w:val="en-US" w:eastAsia="zh-CN"/>
        </w:rPr>
        <w:t>对估计结果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，实验</w:t>
      </w:r>
      <w:r>
        <w:rPr>
          <w:rFonts w:hint="default" w:ascii="Times New Roman" w:hAnsi="Times New Roman"/>
          <w:color w:val="auto"/>
          <w:szCs w:val="21"/>
          <w:lang w:val="en-US" w:eastAsia="zh-CN"/>
        </w:rPr>
        <w:t>采取</w:t>
      </w:r>
      <w:r>
        <w:rPr>
          <w:rFonts w:hint="eastAsia" w:ascii="Times New Roman" w:hAnsi="Times New Roman"/>
          <w:color w:val="auto"/>
          <w:szCs w:val="21"/>
          <w:lang w:val="en-US" w:eastAsia="zh-CN"/>
        </w:rPr>
        <w:t>了</w:t>
      </w:r>
      <w:r>
        <w:rPr>
          <w:rFonts w:hint="default" w:ascii="Times New Roman" w:hAnsi="Times New Roman"/>
          <w:color w:val="auto"/>
          <w:szCs w:val="21"/>
          <w:lang w:val="en-US" w:eastAsia="zh-CN"/>
        </w:rPr>
        <w:t>固定其他超参数值的策略并对</w:t>
      </w:r>
      <w:r>
        <w:rPr>
          <w:rFonts w:hint="eastAsia" w:ascii="Times New Roman" w:hAnsi="Times New Roman"/>
          <w:color w:val="auto"/>
          <w:szCs w:val="21"/>
          <w:lang w:val="en-US" w:eastAsia="zh-CN"/>
        </w:rPr>
        <w:t>可靠性建模的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超参数进行了实验分析</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在实验中为了测试模型的敏感性，将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中的超参数设置在 ［1</w:t>
      </w:r>
      <w:r>
        <w:rPr>
          <w:rFonts w:hint="eastAsia" w:ascii="Times New Roman" w:hAnsi="Times New Roman"/>
          <w:color w:val="auto"/>
          <w:szCs w:val="21"/>
          <w:lang w:val="en-US" w:eastAsia="zh-CN"/>
        </w:rPr>
        <w:t>00，7</w:t>
      </w:r>
      <w:r>
        <w:rPr>
          <w:rFonts w:hint="default" w:ascii="Times New Roman" w:hAnsi="Times New Roman"/>
          <w:color w:val="auto"/>
          <w:szCs w:val="21"/>
          <w:lang w:val="en-US" w:eastAsia="zh-CN"/>
        </w:rPr>
        <w:t>00］范围内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为步长变化</w:t>
      </w:r>
      <w:r>
        <w:rPr>
          <w:rFonts w:hint="eastAsia" w:ascii="Times New Roman" w:hAnsi="Times New Roman"/>
          <w:color w:val="auto"/>
          <w:szCs w:val="21"/>
          <w:lang w:val="en-US" w:eastAsia="zh-CN"/>
        </w:rPr>
        <w:t>，得到</w:t>
      </w:r>
      <w:r>
        <w:rPr>
          <w:rFonts w:hint="default" w:ascii="Times New Roman" w:hAnsi="Times New Roman"/>
          <w:color w:val="auto"/>
          <w:szCs w:val="21"/>
          <w:lang w:val="en-US" w:eastAsia="zh-CN"/>
        </w:rPr>
        <w:t>实验结果如图4</w:t>
      </w:r>
      <w:r>
        <w:rPr>
          <w:rFonts w:hint="eastAsia" w:ascii="Times New Roman" w:hAnsi="Times New Roman"/>
          <w:color w:val="auto"/>
          <w:szCs w:val="21"/>
          <w:lang w:val="en-US" w:eastAsia="zh-CN"/>
        </w:rPr>
        <w:t>和图5</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图4和图5的结果表明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在合理的取值范围内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这两种技术对超参数值具有鲁棒性，它们对作业真实分数的估计误差都控制在可接受的范围</w:t>
      </w:r>
      <w:r>
        <w:rPr>
          <w:rFonts w:hint="eastAsia" w:ascii="Times New Roman" w:hAnsi="Times New Roman"/>
          <w:color w:val="auto"/>
          <w:szCs w:val="21"/>
          <w:lang w:val="en-US" w:eastAsia="zh-CN"/>
        </w:rPr>
        <w:t>。</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694305" cy="1757045"/>
                    </a:xfrm>
                    <a:prstGeom prst="rect">
                      <a:avLst/>
                    </a:prstGeom>
                    <a:noFill/>
                    <a:ln>
                      <a:noFill/>
                    </a:ln>
                  </pic:spPr>
                </pic:pic>
              </a:graphicData>
            </a:graphic>
          </wp:inline>
        </w:drawing>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2696210" cy="1758950"/>
                    </a:xfrm>
                    <a:prstGeom prst="rect">
                      <a:avLst/>
                    </a:prstGeom>
                    <a:noFill/>
                    <a:ln>
                      <a:noFill/>
                    </a:ln>
                  </pic:spPr>
                </pic:pic>
              </a:graphicData>
            </a:graphic>
          </wp:inline>
        </w:drawing>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NWQ2ZDVhYWVkYjcwYzkxMTljZTQzY2Y1NWQ2O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0FE5DE6"/>
    <w:rsid w:val="01A90CEE"/>
    <w:rsid w:val="02685C0C"/>
    <w:rsid w:val="03185F09"/>
    <w:rsid w:val="03991DF6"/>
    <w:rsid w:val="052D65D2"/>
    <w:rsid w:val="05387762"/>
    <w:rsid w:val="061E4834"/>
    <w:rsid w:val="062F6C1F"/>
    <w:rsid w:val="068F11DA"/>
    <w:rsid w:val="06D870D9"/>
    <w:rsid w:val="07612C2A"/>
    <w:rsid w:val="078057A6"/>
    <w:rsid w:val="07D65CF0"/>
    <w:rsid w:val="091361A6"/>
    <w:rsid w:val="0970184A"/>
    <w:rsid w:val="09BB0D18"/>
    <w:rsid w:val="0A4725AB"/>
    <w:rsid w:val="0A51342A"/>
    <w:rsid w:val="0AC55BBC"/>
    <w:rsid w:val="0AF50259"/>
    <w:rsid w:val="0B0C7351"/>
    <w:rsid w:val="0B3643CE"/>
    <w:rsid w:val="0BAB4DBC"/>
    <w:rsid w:val="0BCD4D32"/>
    <w:rsid w:val="0C247F7D"/>
    <w:rsid w:val="0C5E1E2E"/>
    <w:rsid w:val="0C6F5DE9"/>
    <w:rsid w:val="0C945850"/>
    <w:rsid w:val="0CD520F0"/>
    <w:rsid w:val="0D444B80"/>
    <w:rsid w:val="0D4607D5"/>
    <w:rsid w:val="0E855450"/>
    <w:rsid w:val="0E8B557C"/>
    <w:rsid w:val="0F943B03"/>
    <w:rsid w:val="10272B2C"/>
    <w:rsid w:val="10356198"/>
    <w:rsid w:val="10A976AA"/>
    <w:rsid w:val="116577BB"/>
    <w:rsid w:val="12502219"/>
    <w:rsid w:val="12505221"/>
    <w:rsid w:val="12624579"/>
    <w:rsid w:val="1267694C"/>
    <w:rsid w:val="135F0966"/>
    <w:rsid w:val="13A66416"/>
    <w:rsid w:val="14031E6A"/>
    <w:rsid w:val="14A21D72"/>
    <w:rsid w:val="14B22D17"/>
    <w:rsid w:val="14DB6680"/>
    <w:rsid w:val="15001CD4"/>
    <w:rsid w:val="15173C06"/>
    <w:rsid w:val="1525330E"/>
    <w:rsid w:val="153951E6"/>
    <w:rsid w:val="156C2EC6"/>
    <w:rsid w:val="15806971"/>
    <w:rsid w:val="15943FE5"/>
    <w:rsid w:val="15FF19F8"/>
    <w:rsid w:val="161B48EC"/>
    <w:rsid w:val="163C5738"/>
    <w:rsid w:val="164200CB"/>
    <w:rsid w:val="165C118C"/>
    <w:rsid w:val="16C467B9"/>
    <w:rsid w:val="16D660E7"/>
    <w:rsid w:val="16E266C0"/>
    <w:rsid w:val="172B0ECD"/>
    <w:rsid w:val="17920BDE"/>
    <w:rsid w:val="17A032FB"/>
    <w:rsid w:val="17AD77C6"/>
    <w:rsid w:val="18706C6E"/>
    <w:rsid w:val="1921046B"/>
    <w:rsid w:val="198729C4"/>
    <w:rsid w:val="19AF614C"/>
    <w:rsid w:val="19C4670E"/>
    <w:rsid w:val="19CF7EC7"/>
    <w:rsid w:val="19E75211"/>
    <w:rsid w:val="1B083691"/>
    <w:rsid w:val="1C456127"/>
    <w:rsid w:val="1CEB5A11"/>
    <w:rsid w:val="1D7A7634"/>
    <w:rsid w:val="1DA023FE"/>
    <w:rsid w:val="1DB339E0"/>
    <w:rsid w:val="1E4D010E"/>
    <w:rsid w:val="1F136AA8"/>
    <w:rsid w:val="2037116F"/>
    <w:rsid w:val="207C5907"/>
    <w:rsid w:val="20B61DE1"/>
    <w:rsid w:val="210E153D"/>
    <w:rsid w:val="21380A48"/>
    <w:rsid w:val="215A3157"/>
    <w:rsid w:val="221B7DC1"/>
    <w:rsid w:val="224D0523"/>
    <w:rsid w:val="227C6712"/>
    <w:rsid w:val="22C5455D"/>
    <w:rsid w:val="22EC6A43"/>
    <w:rsid w:val="234436D4"/>
    <w:rsid w:val="241B7553"/>
    <w:rsid w:val="24A26904"/>
    <w:rsid w:val="24A60B06"/>
    <w:rsid w:val="24D26ABE"/>
    <w:rsid w:val="24F904EE"/>
    <w:rsid w:val="25B20DC9"/>
    <w:rsid w:val="25C805EC"/>
    <w:rsid w:val="26664E9A"/>
    <w:rsid w:val="2689617A"/>
    <w:rsid w:val="26B62F9B"/>
    <w:rsid w:val="26FE421A"/>
    <w:rsid w:val="271D4F12"/>
    <w:rsid w:val="2840157B"/>
    <w:rsid w:val="28CC03F4"/>
    <w:rsid w:val="290A0F1C"/>
    <w:rsid w:val="29254455"/>
    <w:rsid w:val="293957C6"/>
    <w:rsid w:val="29876ECC"/>
    <w:rsid w:val="29F34A82"/>
    <w:rsid w:val="2B0C0F7B"/>
    <w:rsid w:val="2BB4516F"/>
    <w:rsid w:val="2C931228"/>
    <w:rsid w:val="2D0F4D53"/>
    <w:rsid w:val="2D260712"/>
    <w:rsid w:val="2D9D410D"/>
    <w:rsid w:val="2DFB0E33"/>
    <w:rsid w:val="2E140F22"/>
    <w:rsid w:val="2E61338C"/>
    <w:rsid w:val="2E912E13"/>
    <w:rsid w:val="2EA661F2"/>
    <w:rsid w:val="2EB57234"/>
    <w:rsid w:val="2ECD39AB"/>
    <w:rsid w:val="2EE95130"/>
    <w:rsid w:val="2FB120F1"/>
    <w:rsid w:val="300C36FC"/>
    <w:rsid w:val="307F650E"/>
    <w:rsid w:val="30C43855"/>
    <w:rsid w:val="30DC09EE"/>
    <w:rsid w:val="310A5BCF"/>
    <w:rsid w:val="315A0567"/>
    <w:rsid w:val="31BB5FF9"/>
    <w:rsid w:val="32316B26"/>
    <w:rsid w:val="32676A97"/>
    <w:rsid w:val="32AE46C6"/>
    <w:rsid w:val="3321758E"/>
    <w:rsid w:val="33260CF8"/>
    <w:rsid w:val="33582884"/>
    <w:rsid w:val="33FC7E90"/>
    <w:rsid w:val="344C063B"/>
    <w:rsid w:val="34B00BC9"/>
    <w:rsid w:val="352B0250"/>
    <w:rsid w:val="35C91817"/>
    <w:rsid w:val="35EF4E1B"/>
    <w:rsid w:val="36511F38"/>
    <w:rsid w:val="365D08DD"/>
    <w:rsid w:val="36941E25"/>
    <w:rsid w:val="36B27D0B"/>
    <w:rsid w:val="36D93CDC"/>
    <w:rsid w:val="36F01751"/>
    <w:rsid w:val="371A1291"/>
    <w:rsid w:val="37537F32"/>
    <w:rsid w:val="37A442EA"/>
    <w:rsid w:val="37F94635"/>
    <w:rsid w:val="384A4E91"/>
    <w:rsid w:val="38693A61"/>
    <w:rsid w:val="38AD08E7"/>
    <w:rsid w:val="38E44ECB"/>
    <w:rsid w:val="38E52E0C"/>
    <w:rsid w:val="3922196A"/>
    <w:rsid w:val="397F3113"/>
    <w:rsid w:val="3A04337D"/>
    <w:rsid w:val="3A773F37"/>
    <w:rsid w:val="3AAF1923"/>
    <w:rsid w:val="3AE01ADD"/>
    <w:rsid w:val="3AE8273F"/>
    <w:rsid w:val="3BD3519D"/>
    <w:rsid w:val="3C0D55FF"/>
    <w:rsid w:val="3C74072E"/>
    <w:rsid w:val="3CFC6B49"/>
    <w:rsid w:val="3D3542AD"/>
    <w:rsid w:val="3F23643C"/>
    <w:rsid w:val="3F604F9A"/>
    <w:rsid w:val="3F6E4E57"/>
    <w:rsid w:val="3F8653E8"/>
    <w:rsid w:val="405426B6"/>
    <w:rsid w:val="41BA1803"/>
    <w:rsid w:val="42213106"/>
    <w:rsid w:val="42E5185A"/>
    <w:rsid w:val="43A4391F"/>
    <w:rsid w:val="44757A8F"/>
    <w:rsid w:val="449C6A74"/>
    <w:rsid w:val="449D66C7"/>
    <w:rsid w:val="45124F88"/>
    <w:rsid w:val="45725A27"/>
    <w:rsid w:val="457E261E"/>
    <w:rsid w:val="462F4289"/>
    <w:rsid w:val="467653FB"/>
    <w:rsid w:val="469961B0"/>
    <w:rsid w:val="46C16C66"/>
    <w:rsid w:val="46FA2178"/>
    <w:rsid w:val="472B0583"/>
    <w:rsid w:val="47342347"/>
    <w:rsid w:val="4737361C"/>
    <w:rsid w:val="473D4B90"/>
    <w:rsid w:val="477F442B"/>
    <w:rsid w:val="478101A3"/>
    <w:rsid w:val="490C7F41"/>
    <w:rsid w:val="492C244A"/>
    <w:rsid w:val="494D2A33"/>
    <w:rsid w:val="49641B2B"/>
    <w:rsid w:val="498E00DE"/>
    <w:rsid w:val="4A1C066B"/>
    <w:rsid w:val="4AB24681"/>
    <w:rsid w:val="4ABB04EC"/>
    <w:rsid w:val="4AC42904"/>
    <w:rsid w:val="4C625032"/>
    <w:rsid w:val="4C70382A"/>
    <w:rsid w:val="4D150064"/>
    <w:rsid w:val="4D5325E2"/>
    <w:rsid w:val="4D8E6C34"/>
    <w:rsid w:val="4DD252B5"/>
    <w:rsid w:val="4EED102A"/>
    <w:rsid w:val="4F1C718D"/>
    <w:rsid w:val="4F626B0C"/>
    <w:rsid w:val="4F786B55"/>
    <w:rsid w:val="50406E4E"/>
    <w:rsid w:val="511E6A63"/>
    <w:rsid w:val="5147420C"/>
    <w:rsid w:val="53066DB8"/>
    <w:rsid w:val="531F71EB"/>
    <w:rsid w:val="53873999"/>
    <w:rsid w:val="53980D4F"/>
    <w:rsid w:val="53A80A11"/>
    <w:rsid w:val="53D8739D"/>
    <w:rsid w:val="53F63159"/>
    <w:rsid w:val="543A1E06"/>
    <w:rsid w:val="54574766"/>
    <w:rsid w:val="547A2CC6"/>
    <w:rsid w:val="54E0475B"/>
    <w:rsid w:val="553E5926"/>
    <w:rsid w:val="565847C5"/>
    <w:rsid w:val="569A3030"/>
    <w:rsid w:val="578A30A4"/>
    <w:rsid w:val="57FA3D86"/>
    <w:rsid w:val="5815538E"/>
    <w:rsid w:val="58343859"/>
    <w:rsid w:val="584D2347"/>
    <w:rsid w:val="58B54151"/>
    <w:rsid w:val="59050C34"/>
    <w:rsid w:val="5A647BDD"/>
    <w:rsid w:val="5A9304C2"/>
    <w:rsid w:val="5CFD7E74"/>
    <w:rsid w:val="5D3B60DD"/>
    <w:rsid w:val="5D6D0B56"/>
    <w:rsid w:val="5E1B14BE"/>
    <w:rsid w:val="5E2901BD"/>
    <w:rsid w:val="5EBF1885"/>
    <w:rsid w:val="5EE72B8A"/>
    <w:rsid w:val="5FBE38EB"/>
    <w:rsid w:val="5FD2383A"/>
    <w:rsid w:val="601362FC"/>
    <w:rsid w:val="60151098"/>
    <w:rsid w:val="602B208C"/>
    <w:rsid w:val="60D3786A"/>
    <w:rsid w:val="619012B7"/>
    <w:rsid w:val="61BA60F4"/>
    <w:rsid w:val="62015D11"/>
    <w:rsid w:val="62CF5E0F"/>
    <w:rsid w:val="62FF465C"/>
    <w:rsid w:val="630261E5"/>
    <w:rsid w:val="63212B0F"/>
    <w:rsid w:val="64271C24"/>
    <w:rsid w:val="644161A9"/>
    <w:rsid w:val="64BA2CD3"/>
    <w:rsid w:val="64DD0CB7"/>
    <w:rsid w:val="652F2B95"/>
    <w:rsid w:val="65515201"/>
    <w:rsid w:val="65683A9A"/>
    <w:rsid w:val="65753CDB"/>
    <w:rsid w:val="65AF3532"/>
    <w:rsid w:val="65EB7404"/>
    <w:rsid w:val="65F362B8"/>
    <w:rsid w:val="670E0726"/>
    <w:rsid w:val="67B83316"/>
    <w:rsid w:val="689751E4"/>
    <w:rsid w:val="68AA3DCB"/>
    <w:rsid w:val="68FC521D"/>
    <w:rsid w:val="696E6889"/>
    <w:rsid w:val="69825989"/>
    <w:rsid w:val="6A4246B1"/>
    <w:rsid w:val="6A590DE0"/>
    <w:rsid w:val="6AC94DB7"/>
    <w:rsid w:val="6B19481B"/>
    <w:rsid w:val="6B357791"/>
    <w:rsid w:val="6C060AF4"/>
    <w:rsid w:val="6C2E004A"/>
    <w:rsid w:val="6C926196"/>
    <w:rsid w:val="6CA27A34"/>
    <w:rsid w:val="6D8A5754"/>
    <w:rsid w:val="6E677844"/>
    <w:rsid w:val="6E9308BF"/>
    <w:rsid w:val="6EA768C7"/>
    <w:rsid w:val="6ECF5BC7"/>
    <w:rsid w:val="6F347726"/>
    <w:rsid w:val="6F926B42"/>
    <w:rsid w:val="6FBA3333"/>
    <w:rsid w:val="70057B4E"/>
    <w:rsid w:val="708720A4"/>
    <w:rsid w:val="70F32E2C"/>
    <w:rsid w:val="711C66C3"/>
    <w:rsid w:val="71657EE6"/>
    <w:rsid w:val="71AA0173"/>
    <w:rsid w:val="73387E16"/>
    <w:rsid w:val="735369DB"/>
    <w:rsid w:val="73A17354"/>
    <w:rsid w:val="73EE20D2"/>
    <w:rsid w:val="74143C26"/>
    <w:rsid w:val="743A2A0E"/>
    <w:rsid w:val="74AD5D64"/>
    <w:rsid w:val="74E90FB2"/>
    <w:rsid w:val="74F00559"/>
    <w:rsid w:val="74F636CF"/>
    <w:rsid w:val="7524023C"/>
    <w:rsid w:val="76051E1C"/>
    <w:rsid w:val="7608766F"/>
    <w:rsid w:val="76487F5B"/>
    <w:rsid w:val="764F3097"/>
    <w:rsid w:val="770F2826"/>
    <w:rsid w:val="77DA1086"/>
    <w:rsid w:val="788D4F1D"/>
    <w:rsid w:val="78C015EB"/>
    <w:rsid w:val="78C55892"/>
    <w:rsid w:val="78D67A98"/>
    <w:rsid w:val="78FB7506"/>
    <w:rsid w:val="79047385"/>
    <w:rsid w:val="79A33E26"/>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6"/>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qFormat/>
    <w:uiPriority w:val="0"/>
    <w:rPr>
      <w:kern w:val="2"/>
      <w:sz w:val="21"/>
      <w:szCs w:val="24"/>
    </w:rPr>
  </w:style>
  <w:style w:type="character" w:customStyle="1" w:styleId="16">
    <w:name w:val="日期 Char"/>
    <w:link w:val="4"/>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qFormat/>
    <w:uiPriority w:val="0"/>
    <w:rPr>
      <w:b/>
      <w:bCs/>
      <w:kern w:val="2"/>
      <w:sz w:val="21"/>
      <w:szCs w:val="24"/>
    </w:rPr>
  </w:style>
  <w:style w:type="character" w:customStyle="1" w:styleId="19">
    <w:name w:val="high-light-bg4"/>
    <w:basedOn w:val="11"/>
    <w:uiPriority w:val="0"/>
  </w:style>
  <w:style w:type="character" w:customStyle="1" w:styleId="20">
    <w:name w:val="def"/>
    <w:basedOn w:val="11"/>
    <w:qFormat/>
    <w:uiPriority w:val="0"/>
  </w:style>
  <w:style w:type="paragraph" w:customStyle="1" w:styleId="21">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qFormat/>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qFormat/>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10</Pages>
  <Words>10774</Words>
  <Characters>12480</Characters>
  <Lines>26</Lines>
  <Paragraphs>7</Paragraphs>
  <TotalTime>373</TotalTime>
  <ScaleCrop>false</ScaleCrop>
  <LinksUpToDate>false</LinksUpToDate>
  <CharactersWithSpaces>12694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2022-12-17T04:40:21Z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D35582AAD533437B9BA4762D46151752</vt:lpwstr>
  </property>
</Properties>
</file>