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一种基于评价能力的概率模型同行评估技术</w:t>
      </w:r>
    </w:p>
    <w:p>
      <w:pPr>
        <w:ind w:right="565" w:rightChars="269"/>
        <w:rPr>
          <w:rFonts w:ascii="宋体" w:hAnsi="宋体"/>
          <w:color w:val="auto"/>
          <w:szCs w:val="21"/>
        </w:rPr>
      </w:pP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bookmarkStart w:id="21" w:name="_GoBack"/>
      <w:bookmarkEnd w:id="21"/>
    </w:p>
    <w:p>
      <w:pPr>
        <w:ind w:left="567" w:leftChars="270" w:right="565" w:rightChars="269"/>
        <w:rPr>
          <w:rFonts w:hint="eastAsia" w:ascii="宋体" w:hAnsi="宋体" w:eastAsia="宋体"/>
          <w:color w:val="auto"/>
          <w:szCs w:val="21"/>
          <w:lang w:eastAsia="zh-CN"/>
        </w:rPr>
      </w:pPr>
      <w:r>
        <w:rPr>
          <w:rFonts w:hint="eastAsia" w:ascii="黑体" w:hAnsi="黑体" w:eastAsia="黑体"/>
          <w:color w:val="auto"/>
          <w:szCs w:val="21"/>
        </w:rPr>
        <w:t>摘要：</w:t>
      </w:r>
      <w:r>
        <w:rPr>
          <w:rFonts w:hint="eastAsia" w:ascii="宋体" w:hAnsi="宋体"/>
          <w:color w:val="auto"/>
          <w:szCs w:val="21"/>
          <w:lang w:val="en-US" w:eastAsia="zh-CN"/>
        </w:rPr>
        <w:t>得益于</w:t>
      </w:r>
      <w:r>
        <w:rPr>
          <w:rFonts w:hint="default" w:ascii="Times New Roman" w:hAnsi="Times New Roman" w:cs="Times New Roman"/>
          <w:color w:val="auto"/>
          <w:szCs w:val="21"/>
        </w:rPr>
        <w:t>MOOCs</w:t>
      </w:r>
      <w:r>
        <w:rPr>
          <w:rFonts w:hint="eastAsia" w:ascii="宋体" w:hAnsi="宋体"/>
          <w:color w:val="auto"/>
          <w:szCs w:val="21"/>
        </w:rPr>
        <w:t>平台上</w:t>
      </w:r>
      <w:r>
        <w:rPr>
          <w:rFonts w:hint="eastAsia" w:ascii="宋体" w:hAnsi="宋体"/>
          <w:color w:val="auto"/>
          <w:szCs w:val="21"/>
          <w:lang w:val="en-US" w:eastAsia="zh-CN"/>
        </w:rPr>
        <w:t>的</w:t>
      </w:r>
      <w:r>
        <w:rPr>
          <w:rFonts w:hint="eastAsia" w:ascii="宋体" w:hAnsi="宋体"/>
          <w:color w:val="auto"/>
          <w:szCs w:val="21"/>
        </w:rPr>
        <w:t>大规模</w:t>
      </w:r>
      <w:r>
        <w:rPr>
          <w:rFonts w:hint="eastAsia" w:ascii="宋体" w:hAnsi="宋体"/>
          <w:color w:val="auto"/>
          <w:szCs w:val="21"/>
          <w:lang w:val="en-US" w:eastAsia="zh-CN"/>
        </w:rPr>
        <w:t>兴起，开放式</w:t>
      </w:r>
      <w:r>
        <w:rPr>
          <w:rFonts w:hint="eastAsia" w:ascii="宋体" w:hAnsi="宋体"/>
          <w:color w:val="auto"/>
          <w:szCs w:val="21"/>
        </w:rPr>
        <w:t>作业的同行互评</w:t>
      </w:r>
      <w:r>
        <w:rPr>
          <w:rFonts w:hint="eastAsia" w:ascii="宋体" w:hAnsi="宋体"/>
          <w:color w:val="auto"/>
          <w:szCs w:val="21"/>
          <w:lang w:val="en-US" w:eastAsia="zh-CN"/>
        </w:rPr>
        <w:t>分数汇总问题成为了教育领域研究的热点</w:t>
      </w:r>
      <w:r>
        <w:rPr>
          <w:rFonts w:hint="eastAsia" w:ascii="宋体" w:hAnsi="宋体"/>
          <w:color w:val="auto"/>
          <w:szCs w:val="21"/>
          <w:lang w:eastAsia="zh-CN"/>
        </w:rPr>
        <w:t>。</w:t>
      </w:r>
      <w:r>
        <w:rPr>
          <w:rFonts w:hint="eastAsia" w:ascii="宋体" w:hAnsi="宋体"/>
          <w:color w:val="auto"/>
          <w:szCs w:val="21"/>
          <w:lang w:val="en-US" w:eastAsia="zh-CN"/>
        </w:rPr>
        <w:t>为了提高同行互评汇总技术的准确性，本文提出了一种基于评价能力的同行互评汇总技术，提出一种方法来量化评价者的评价能力，并根据评价能力对评价</w:t>
      </w:r>
      <w:r>
        <w:rPr>
          <w:rFonts w:hint="eastAsia" w:ascii="宋体" w:hAnsi="宋体"/>
          <w:color w:val="auto"/>
          <w:szCs w:val="21"/>
        </w:rPr>
        <w:t>者的可靠性进行建模</w:t>
      </w:r>
      <w:r>
        <w:rPr>
          <w:rFonts w:hint="eastAsia" w:ascii="宋体" w:hAnsi="宋体"/>
          <w:color w:val="auto"/>
          <w:szCs w:val="21"/>
          <w:lang w:eastAsia="zh-CN"/>
        </w:rPr>
        <w:t>，</w:t>
      </w:r>
      <w:r>
        <w:rPr>
          <w:rFonts w:hint="eastAsia" w:ascii="宋体" w:hAnsi="宋体"/>
          <w:color w:val="auto"/>
          <w:szCs w:val="21"/>
        </w:rPr>
        <w:t>结合对评价者偏见的建模</w:t>
      </w:r>
      <w:r>
        <w:rPr>
          <w:rFonts w:hint="eastAsia" w:ascii="宋体" w:hAnsi="宋体"/>
          <w:color w:val="auto"/>
          <w:szCs w:val="21"/>
          <w:lang w:eastAsia="zh-CN"/>
        </w:rPr>
        <w:t>，</w:t>
      </w:r>
      <w:r>
        <w:rPr>
          <w:rFonts w:hint="eastAsia" w:ascii="宋体" w:hAnsi="宋体"/>
          <w:color w:val="auto"/>
          <w:szCs w:val="21"/>
          <w:lang w:val="en-US" w:eastAsia="zh-CN"/>
        </w:rPr>
        <w:t>更好估计出开放式作业的真实分数。</w:t>
      </w:r>
      <w:r>
        <w:rPr>
          <w:rFonts w:hint="eastAsia" w:ascii="宋体" w:hAnsi="宋体"/>
          <w:color w:val="auto"/>
          <w:szCs w:val="21"/>
        </w:rPr>
        <w:t>真实课堂实验</w:t>
      </w:r>
      <w:r>
        <w:rPr>
          <w:rFonts w:hint="eastAsia" w:ascii="宋体" w:hAnsi="宋体"/>
          <w:color w:val="auto"/>
          <w:szCs w:val="21"/>
          <w:lang w:val="en-US" w:eastAsia="zh-CN"/>
        </w:rPr>
        <w:t>数据表明</w:t>
      </w:r>
      <w:r>
        <w:rPr>
          <w:rFonts w:hint="eastAsia" w:ascii="宋体" w:hAnsi="宋体"/>
          <w:color w:val="auto"/>
          <w:szCs w:val="21"/>
        </w:rPr>
        <w:t>，在同行互评活动中，本文提出的同行互评技术对</w:t>
      </w:r>
      <w:r>
        <w:rPr>
          <w:rFonts w:hint="eastAsia" w:ascii="宋体" w:hAnsi="宋体"/>
          <w:color w:val="auto"/>
          <w:szCs w:val="21"/>
          <w:lang w:val="en-US" w:eastAsia="zh-CN"/>
        </w:rPr>
        <w:t>开放式</w:t>
      </w:r>
      <w:r>
        <w:rPr>
          <w:rFonts w:hint="eastAsia" w:ascii="宋体" w:hAnsi="宋体"/>
          <w:color w:val="auto"/>
          <w:szCs w:val="21"/>
        </w:rPr>
        <w:t>作业真实分数的估计</w:t>
      </w:r>
      <w:r>
        <w:rPr>
          <w:rFonts w:hint="eastAsia" w:ascii="宋体" w:hAnsi="宋体"/>
          <w:color w:val="auto"/>
          <w:szCs w:val="21"/>
          <w:lang w:val="en-US" w:eastAsia="zh-CN"/>
        </w:rPr>
        <w:t>优于现有</w:t>
      </w:r>
      <w:r>
        <w:rPr>
          <w:rFonts w:hint="eastAsia" w:ascii="宋体" w:hAnsi="宋体"/>
          <w:color w:val="auto"/>
          <w:szCs w:val="21"/>
        </w:rPr>
        <w:t>相关技术</w:t>
      </w:r>
      <w:r>
        <w:rPr>
          <w:rFonts w:hint="eastAsia" w:ascii="宋体" w:hAnsi="宋体"/>
          <w:color w:val="auto"/>
          <w:szCs w:val="21"/>
          <w:lang w:eastAsia="zh-CN"/>
        </w:rPr>
        <w:t>。</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rPr>
        <w:t>(选择能准确反映文章主要内容，能引起读者兴趣，并为大家熟知的专业词汇来作为关键词，以使文章能被准确检索。一般为</w:t>
      </w:r>
      <w:r>
        <w:rPr>
          <w:rFonts w:ascii="宋体" w:hAnsi="宋体"/>
          <w:color w:val="auto"/>
          <w:szCs w:val="21"/>
        </w:rPr>
        <w:t>5-8</w:t>
      </w:r>
      <w:r>
        <w:rPr>
          <w:rFonts w:hint="eastAsia" w:ascii="宋体" w:hAnsi="宋体"/>
          <w:color w:val="auto"/>
          <w:szCs w:val="21"/>
        </w:rPr>
        <w:t>个，中英文一一对应)</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ind w:left="567" w:leftChars="270" w:right="565" w:rightChars="269"/>
        <w:rPr>
          <w:rFonts w:hint="eastAsia"/>
          <w:color w:val="auto"/>
          <w:kern w:val="0"/>
          <w:szCs w:val="21"/>
        </w:rPr>
      </w:pPr>
      <w:r>
        <w:rPr>
          <w:rFonts w:hint="eastAsia" w:hAnsi="宋体"/>
          <w:color w:val="auto"/>
          <w:sz w:val="18"/>
          <w:szCs w:val="18"/>
        </w:rPr>
        <w:t>姓名 (出生年—)，性别，职称（需</w:t>
      </w:r>
      <w:r>
        <w:rPr>
          <w:rFonts w:hAnsi="宋体"/>
          <w:color w:val="auto"/>
          <w:sz w:val="18"/>
          <w:szCs w:val="18"/>
        </w:rPr>
        <w:t>与第一作者同级或更高</w:t>
      </w:r>
      <w:r>
        <w:rPr>
          <w:rFonts w:hint="eastAsia" w:hAnsi="宋体"/>
          <w:color w:val="auto"/>
          <w:sz w:val="18"/>
          <w:szCs w:val="18"/>
        </w:rPr>
        <w:t>），主要从事研究方向，E-mail：</w:t>
      </w:r>
    </w:p>
    <w:p>
      <w:pPr>
        <w:pStyle w:val="23"/>
        <w:spacing w:line="360" w:lineRule="auto"/>
        <w:ind w:firstLine="0" w:firstLineChars="0"/>
        <w:rPr>
          <w:rFonts w:ascii="Times New Roman" w:hAnsi="Times New Roman"/>
          <w:b/>
          <w:color w:val="auto"/>
          <w:sz w:val="28"/>
          <w:szCs w:val="28"/>
        </w:rPr>
      </w:pPr>
    </w:p>
    <w:p>
      <w:pPr>
        <w:pStyle w:val="23"/>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3"/>
        <w:rPr>
          <w:rFonts w:hint="eastAsia" w:ascii="宋体" w:hAnsi="宋体"/>
          <w:color w:val="auto"/>
          <w:szCs w:val="21"/>
        </w:rPr>
        <w:sectPr>
          <w:footerReference r:id="rId3" w:type="default"/>
          <w:footerReference r:id="rId4" w:type="even"/>
          <w:pgSz w:w="11906" w:h="16838"/>
          <w:pgMar w:top="1440" w:right="1416" w:bottom="1440" w:left="1560" w:header="851" w:footer="992" w:gutter="0"/>
          <w:cols w:space="720" w:num="1"/>
          <w:docGrid w:type="lines" w:linePitch="312" w:charSpace="0"/>
        </w:sectPr>
      </w:pPr>
    </w:p>
    <w:p>
      <w:pPr>
        <w:pStyle w:val="23"/>
        <w:rPr>
          <w:rFonts w:hint="default" w:ascii="宋体" w:hAnsi="宋体"/>
          <w:color w:val="auto"/>
          <w:szCs w:val="21"/>
          <w:lang w:val="en-US" w:eastAsia="zh-CN"/>
        </w:rPr>
      </w:pPr>
      <w:r>
        <w:rPr>
          <w:rFonts w:hint="eastAsia" w:ascii="宋体" w:hAnsi="宋体"/>
          <w:color w:val="auto"/>
          <w:szCs w:val="21"/>
          <w:lang w:val="en-US" w:eastAsia="zh-CN"/>
        </w:rPr>
        <w:t>随着大规模的开放在线课程（</w:t>
      </w:r>
      <w:r>
        <w:rPr>
          <w:rFonts w:hint="default" w:ascii="Times New Roman" w:hAnsi="Times New Roman" w:cs="Times New Roman"/>
          <w:color w:val="auto"/>
          <w:szCs w:val="21"/>
          <w:lang w:val="en-US" w:eastAsia="zh-CN"/>
        </w:rPr>
        <w:t>MOOC</w:t>
      </w:r>
      <w:r>
        <w:rPr>
          <w:rFonts w:hint="eastAsia" w:ascii="宋体" w:hAnsi="宋体"/>
          <w:color w:val="auto"/>
          <w:szCs w:val="21"/>
          <w:lang w:val="en-US" w:eastAsia="zh-CN"/>
        </w:rPr>
        <w:t>）等在线教育平台逐渐兴起，越来越多的学生加入了这些平台，利用其提供的高质量免费教育资源完成学业。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_Ref29648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[1]</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。考虑到开放式作业对提高学生创新思维能力和语言组织能力至关重要</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_Ref29681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[2]</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w:t>
      </w:r>
      <w:r>
        <w:rPr>
          <w:rFonts w:hint="eastAsia" w:ascii="Times New Roman" w:hAnsi="Times New Roman"/>
          <w:color w:val="auto"/>
          <w:szCs w:val="21"/>
          <w:lang w:val="en-US" w:eastAsia="zh-CN"/>
        </w:rPr>
        <w:t>目前主流的MOOC平台，包括</w:t>
      </w:r>
      <w:r>
        <w:rPr>
          <w:rFonts w:hint="default" w:ascii="Times New Roman" w:hAnsi="Times New Roman" w:cs="Times New Roman"/>
          <w:color w:val="auto"/>
          <w:szCs w:val="21"/>
          <w:lang w:val="en-US" w:eastAsia="zh-CN"/>
        </w:rPr>
        <w:t>Coursera1、edX2和ICourse3</w:t>
      </w:r>
      <w:r>
        <w:rPr>
          <w:rFonts w:hint="eastAsia" w:ascii="Times New Roman" w:hAnsi="Times New Roman"/>
          <w:color w:val="auto"/>
          <w:szCs w:val="21"/>
          <w:lang w:val="en-US" w:eastAsia="zh-CN"/>
        </w:rPr>
        <w:t>，都采用同行互评的方法来帮助教师评估学生提交的开放式作业。</w:t>
      </w:r>
      <w:r>
        <w:rPr>
          <w:rFonts w:hint="eastAsia" w:ascii="宋体" w:hAnsi="宋体"/>
          <w:color w:val="auto"/>
          <w:szCs w:val="21"/>
          <w:lang w:val="en-US" w:eastAsia="zh-CN"/>
        </w:rPr>
        <w:t>同行互评与众包类似，它要求所有提交作业的学生扮演同行评价者，根据教师提供的评分细则，以匿名的方式对所有提交的作业进行评价。最后将每份作业的所有评价结果进行汇总，得到每份作业最终评价。其中，使用最为广泛的同行互评技术是基数估计技术，即同行评价者必须给每份评价作业一个数值型的分数。除了能够减少教师的工作量之外，同行互评还可以带来其他的教育价值，可以激发学生的学习兴趣</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_Ref29903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[3]</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，加强学生的课程参与</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_Ref29932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[4]</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，提高学生的责任感</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_Ref29952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[5]</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olor w:val="auto"/>
          <w:szCs w:val="21"/>
          <w:lang w:val="en-US" w:eastAsia="zh-CN"/>
        </w:rPr>
        <w:t>同行互评的</w:t>
      </w:r>
      <w:r>
        <w:rPr>
          <w:rFonts w:hint="eastAsia" w:ascii="Times New Roman" w:hAnsi="Times New Roman"/>
          <w:color w:val="auto"/>
          <w:szCs w:val="21"/>
          <w:lang w:val="en-US" w:eastAsia="zh-CN"/>
        </w:rPr>
        <w:t>最主要的研究问题</w:t>
      </w:r>
      <w:r>
        <w:rPr>
          <w:rFonts w:hint="eastAsia" w:ascii="宋体" w:hAnsi="宋体"/>
          <w:color w:val="auto"/>
          <w:szCs w:val="21"/>
          <w:lang w:val="en-US" w:eastAsia="zh-CN"/>
        </w:rPr>
        <w:t>之一是同行互评的分数汇总方式，即根据同行评价者的对作业评分集合得到尽可能接近该作业的真实分数的结果。目前，大多数的</w:t>
      </w:r>
      <w:r>
        <w:rPr>
          <w:rFonts w:hint="default" w:ascii="Times New Roman" w:hAnsi="Times New Roman" w:cs="Times New Roman"/>
          <w:color w:val="auto"/>
          <w:szCs w:val="21"/>
          <w:lang w:val="en-US" w:eastAsia="zh-CN"/>
        </w:rPr>
        <w:t>MOOC</w:t>
      </w:r>
      <w:r>
        <w:rPr>
          <w:rFonts w:hint="eastAsia" w:ascii="宋体" w:hAnsi="宋体"/>
          <w:color w:val="auto"/>
          <w:szCs w:val="21"/>
          <w:lang w:val="en-US" w:eastAsia="zh-CN"/>
        </w:rPr>
        <w:t>平台</w:t>
      </w:r>
      <w:r>
        <w:rPr>
          <w:rFonts w:hint="eastAsia" w:ascii="宋体" w:hAnsi="宋体" w:eastAsia="宋体" w:cs="Times New Roman"/>
          <w:color w:val="auto"/>
          <w:kern w:val="2"/>
          <w:sz w:val="21"/>
          <w:szCs w:val="21"/>
          <w:lang w:val="en-US" w:eastAsia="zh-CN" w:bidi="ar-SA"/>
        </w:rPr>
        <w:t>（例如</w:t>
      </w:r>
      <w:r>
        <w:rPr>
          <w:rFonts w:hint="default" w:ascii="Times New Roman" w:hAnsi="Times New Roman"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Times New Roman" w:hAnsi="Times New Roman" w:eastAsia="宋体" w:cs="Times New Roman"/>
          <w:color w:val="auto"/>
          <w:kern w:val="2"/>
          <w:sz w:val="21"/>
          <w:szCs w:val="21"/>
          <w:lang w:val="en-US" w:eastAsia="zh-CN" w:bidi="ar-SA"/>
        </w:rPr>
        <w:t>M</w:t>
      </w:r>
      <w:r>
        <w:rPr>
          <w:rFonts w:hint="eastAsia" w:cs="Times New Roman"/>
          <w:color w:val="auto"/>
          <w:kern w:val="2"/>
          <w:sz w:val="21"/>
          <w:szCs w:val="21"/>
          <w:lang w:val="en-US" w:eastAsia="zh-CN" w:bidi="ar-SA"/>
        </w:rPr>
        <w:t>OO</w:t>
      </w:r>
      <w:r>
        <w:rPr>
          <w:rFonts w:hint="default" w:ascii="Times New Roman" w:hAnsi="Times New Roman" w:eastAsia="宋体" w:cs="Times New Roman"/>
          <w:color w:val="auto"/>
          <w:kern w:val="2"/>
          <w:sz w:val="21"/>
          <w:szCs w:val="21"/>
          <w:lang w:val="en-US" w:eastAsia="zh-CN" w:bidi="ar-SA"/>
        </w:rPr>
        <w:t>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的汇总方式只是简单地计算作业所有评分的均值和中位数，作为该作业的最终分数。然而，同行评价者的评分质量乘次不齐，受到其可靠性、偏见等因素的影响</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_Ref29978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[6]</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，其中，偏见意味着同行评价者的评分有放大或缩小的习惯性倾向，而可靠性表示了同行评价者的评分与真实分数之间的随机偏差。因此用均值和中位数来作为最终评分并不准确</w:t>
      </w:r>
      <w:r>
        <w:rPr>
          <w:rFonts w:hint="eastAsia" w:ascii="宋体" w:hAnsi="宋体"/>
          <w:color w:val="auto"/>
          <w:szCs w:val="21"/>
          <w:vertAlign w:val="superscript"/>
          <w:lang w:val="en-US" w:eastAsia="zh-CN"/>
        </w:rPr>
        <w:fldChar w:fldCharType="begin"/>
      </w:r>
      <w:r>
        <w:rPr>
          <w:rFonts w:hint="eastAsia" w:ascii="宋体" w:hAnsi="宋体"/>
          <w:color w:val="auto"/>
          <w:szCs w:val="21"/>
          <w:vertAlign w:val="superscript"/>
          <w:lang w:val="en-US" w:eastAsia="zh-CN"/>
        </w:rPr>
        <w:instrText xml:space="preserve"> REF _Ref30001 \r \h </w:instrText>
      </w:r>
      <w:r>
        <w:rPr>
          <w:rFonts w:hint="eastAsia" w:ascii="宋体" w:hAnsi="宋体"/>
          <w:color w:val="auto"/>
          <w:szCs w:val="21"/>
          <w:vertAlign w:val="superscript"/>
          <w:lang w:val="en-US" w:eastAsia="zh-CN"/>
        </w:rPr>
        <w:fldChar w:fldCharType="separate"/>
      </w:r>
      <w:r>
        <w:rPr>
          <w:rFonts w:hint="eastAsia" w:ascii="宋体" w:hAnsi="宋体"/>
          <w:color w:val="auto"/>
          <w:szCs w:val="21"/>
          <w:vertAlign w:val="superscript"/>
          <w:lang w:val="en-US" w:eastAsia="zh-CN"/>
        </w:rPr>
        <w:t>[7]</w:t>
      </w:r>
      <w:r>
        <w:rPr>
          <w:rFonts w:hint="eastAsia" w:ascii="宋体" w:hAnsi="宋体"/>
          <w:color w:val="auto"/>
          <w:szCs w:val="21"/>
          <w:vertAlign w:val="superscript"/>
          <w:lang w:val="en-US" w:eastAsia="zh-CN"/>
        </w:rPr>
        <w:fldChar w:fldCharType="end"/>
      </w:r>
      <w:r>
        <w:rPr>
          <w:rFonts w:hint="eastAsia" w:ascii="宋体" w:hAnsi="宋体"/>
          <w:color w:val="auto"/>
          <w:szCs w:val="21"/>
          <w:lang w:val="en-US" w:eastAsia="zh-CN"/>
        </w:rPr>
        <w:t>。目前，一些研究者提出一系列的概率模型，将同行评价者的评分可靠性和偏见设置成了随机变量，通过变量之间的依赖关系来更加准确地估计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w:t>
      </w:r>
      <w:r>
        <w:rPr>
          <w:rFonts w:hint="eastAsia" w:ascii="宋体" w:hAnsi="宋体" w:cs="Times New Roman"/>
          <w:color w:val="auto"/>
          <w:szCs w:val="21"/>
          <w:lang w:val="en-US" w:eastAsia="zh-CN"/>
        </w:rPr>
        <w:t>考虑了在本次作业上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最终分数（因为评价者也提交了作业）</w:t>
      </w:r>
      <w:r>
        <w:rPr>
          <w:rFonts w:hint="eastAsia" w:ascii="宋体" w:hAnsi="宋体" w:eastAsia="宋体" w:cs="Times New Roman"/>
          <w:color w:val="auto"/>
          <w:szCs w:val="21"/>
          <w:lang w:val="en-US" w:eastAsia="zh-CN"/>
        </w:rPr>
        <w:t>。虽然学生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w:t>
      </w:r>
      <w:r>
        <w:rPr>
          <w:rFonts w:hint="eastAsia" w:ascii="宋体" w:hAnsi="宋体" w:cs="Times New Roman"/>
          <w:color w:val="auto"/>
          <w:szCs w:val="21"/>
          <w:vertAlign w:val="superscript"/>
          <w:lang w:val="en-US" w:eastAsia="zh-CN"/>
        </w:rPr>
        <w:fldChar w:fldCharType="begin"/>
      </w:r>
      <w:r>
        <w:rPr>
          <w:rFonts w:hint="eastAsia" w:ascii="宋体" w:hAnsi="宋体" w:cs="Times New Roman"/>
          <w:color w:val="auto"/>
          <w:szCs w:val="21"/>
          <w:vertAlign w:val="superscript"/>
          <w:lang w:val="en-US" w:eastAsia="zh-CN"/>
        </w:rPr>
        <w:instrText xml:space="preserve"> REF _Ref30366 \r \h </w:instrText>
      </w:r>
      <w:r>
        <w:rPr>
          <w:rFonts w:hint="eastAsia" w:ascii="宋体" w:hAnsi="宋体" w:cs="Times New Roman"/>
          <w:color w:val="auto"/>
          <w:szCs w:val="21"/>
          <w:vertAlign w:val="superscript"/>
          <w:lang w:val="en-US" w:eastAsia="zh-CN"/>
        </w:rPr>
        <w:fldChar w:fldCharType="separate"/>
      </w:r>
      <w:r>
        <w:rPr>
          <w:rFonts w:hint="eastAsia" w:ascii="宋体" w:hAnsi="宋体" w:cs="Times New Roman"/>
          <w:color w:val="auto"/>
          <w:szCs w:val="21"/>
          <w:vertAlign w:val="superscript"/>
          <w:lang w:val="en-US" w:eastAsia="zh-CN"/>
        </w:rPr>
        <w:t>[20]</w:t>
      </w:r>
      <w:r>
        <w:rPr>
          <w:rFonts w:hint="eastAsia" w:ascii="宋体" w:hAnsi="宋体" w:cs="Times New Roman"/>
          <w:color w:val="auto"/>
          <w:szCs w:val="21"/>
          <w:vertAlign w:val="superscript"/>
          <w:lang w:val="en-US" w:eastAsia="zh-CN"/>
        </w:rPr>
        <w:fldChar w:fldCharType="end"/>
      </w:r>
      <w:r>
        <w:rPr>
          <w:rFonts w:hint="eastAsia" w:ascii="宋体" w:hAnsi="宋体" w:cs="Times New Roman"/>
          <w:color w:val="auto"/>
          <w:szCs w:val="21"/>
          <w:lang w:val="en-US" w:eastAsia="zh-CN"/>
        </w:rPr>
        <w:t>。例如，一个成绩很好的学生不喜欢批改其他人的作业，因此在互评中批改的并不仔细，导致其同行评分与真实分数仍存在较大的差距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r>
        <w:rPr>
          <w:rFonts w:hint="eastAsia" w:ascii="宋体" w:hAnsi="宋体" w:cs="Times New Roman"/>
          <w:color w:val="auto"/>
          <w:szCs w:val="21"/>
          <w:vertAlign w:val="superscript"/>
          <w:lang w:val="en-US" w:eastAsia="zh-CN"/>
        </w:rPr>
        <w:fldChar w:fldCharType="begin"/>
      </w:r>
      <w:r>
        <w:rPr>
          <w:rFonts w:hint="eastAsia" w:ascii="宋体" w:hAnsi="宋体" w:cs="Times New Roman"/>
          <w:color w:val="auto"/>
          <w:szCs w:val="21"/>
          <w:vertAlign w:val="superscript"/>
          <w:lang w:val="en-US" w:eastAsia="zh-CN"/>
        </w:rPr>
        <w:instrText xml:space="preserve"> REF _Ref31232 \r \h </w:instrText>
      </w:r>
      <w:r>
        <w:rPr>
          <w:rFonts w:hint="eastAsia" w:ascii="宋体" w:hAnsi="宋体" w:cs="Times New Roman"/>
          <w:color w:val="auto"/>
          <w:szCs w:val="21"/>
          <w:vertAlign w:val="superscript"/>
          <w:lang w:val="en-US" w:eastAsia="zh-CN"/>
        </w:rPr>
        <w:fldChar w:fldCharType="separate"/>
      </w:r>
      <w:r>
        <w:rPr>
          <w:rFonts w:hint="eastAsia" w:ascii="宋体" w:hAnsi="宋体" w:cs="Times New Roman"/>
          <w:color w:val="auto"/>
          <w:szCs w:val="21"/>
          <w:vertAlign w:val="superscript"/>
          <w:lang w:val="en-US" w:eastAsia="zh-CN"/>
        </w:rPr>
        <w:t>[21]</w:t>
      </w:r>
      <w:r>
        <w:rPr>
          <w:rFonts w:hint="eastAsia" w:ascii="宋体" w:hAnsi="宋体" w:cs="Times New Roman"/>
          <w:color w:val="auto"/>
          <w:szCs w:val="21"/>
          <w:vertAlign w:val="superscript"/>
          <w:lang w:val="en-US" w:eastAsia="zh-CN"/>
        </w:rPr>
        <w:fldChar w:fldCharType="end"/>
      </w:r>
      <w:r>
        <w:rPr>
          <w:rFonts w:hint="eastAsia" w:ascii="宋体" w:hAnsi="宋体" w:cs="Times New Roman"/>
          <w:color w:val="auto"/>
          <w:szCs w:val="21"/>
          <w:lang w:val="en-US" w:eastAsia="zh-CN"/>
        </w:rPr>
        <w:t>。</w:t>
      </w:r>
    </w:p>
    <w:p>
      <w:pPr>
        <w:pStyle w:val="23"/>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的区别在于，</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假设评价者可靠性服从伽马分布，而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假设评价者可靠性服从正态分布。</w:t>
      </w:r>
      <w:r>
        <w:rPr>
          <w:rFonts w:hint="eastAsia" w:ascii="宋体" w:hAnsi="宋体" w:cs="Times New Roman"/>
          <w:color w:val="auto"/>
          <w:szCs w:val="21"/>
          <w:lang w:val="en-US" w:eastAsia="zh-CN"/>
        </w:rPr>
        <w:t>为了能够更准确的得到评价能力，</w:t>
      </w:r>
      <w:r>
        <w:rPr>
          <w:rFonts w:hint="eastAsia" w:ascii="宋体" w:hAnsi="宋体" w:eastAsia="宋体" w:cs="Times New Roman"/>
          <w:color w:val="auto"/>
          <w:szCs w:val="21"/>
          <w:lang w:val="en-US" w:eastAsia="zh-CN"/>
        </w:rPr>
        <w:t>我们还</w:t>
      </w:r>
      <w:r>
        <w:rPr>
          <w:rFonts w:hint="eastAsia" w:ascii="宋体" w:hAnsi="宋体" w:cs="Times New Roman"/>
          <w:color w:val="auto"/>
          <w:szCs w:val="21"/>
          <w:lang w:val="en-US" w:eastAsia="zh-CN"/>
        </w:rPr>
        <w:t>结合了教师抽查的方式</w:t>
      </w:r>
      <w:r>
        <w:rPr>
          <w:rFonts w:hint="eastAsia" w:ascii="宋体" w:hAnsi="宋体" w:eastAsia="宋体" w:cs="Times New Roman"/>
          <w:color w:val="auto"/>
          <w:szCs w:val="21"/>
          <w:lang w:val="en-US" w:eastAsia="zh-CN"/>
        </w:rPr>
        <w:t>来</w:t>
      </w:r>
      <w:r>
        <w:rPr>
          <w:rFonts w:hint="eastAsia" w:ascii="宋体" w:hAnsi="宋体" w:cs="Times New Roman"/>
          <w:color w:val="auto"/>
          <w:szCs w:val="21"/>
          <w:lang w:val="en-US" w:eastAsia="zh-CN"/>
        </w:rPr>
        <w:t>更好量化</w:t>
      </w:r>
      <w:r>
        <w:rPr>
          <w:rFonts w:hint="eastAsia" w:ascii="宋体" w:hAnsi="宋体" w:eastAsia="宋体" w:cs="Times New Roman"/>
          <w:color w:val="auto"/>
          <w:szCs w:val="21"/>
          <w:lang w:val="en-US" w:eastAsia="zh-CN"/>
        </w:rPr>
        <w:t>学生的评价能力，最后通过真实数据集与传统的概率模型进行了对比，验证了该模型的有效性。</w:t>
      </w:r>
    </w:p>
    <w:p>
      <w:pPr>
        <w:pStyle w:val="23"/>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3"/>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根据同行评价者反馈的内容进行分类，可以将开放式作业的同行互评的汇总估计技术分为序数估计技术和基数估计技术。</w:t>
      </w:r>
    </w:p>
    <w:p>
      <w:pPr>
        <w:pStyle w:val="23"/>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序数估计技术</w:t>
      </w:r>
    </w:p>
    <w:p>
      <w:pPr>
        <w:pStyle w:val="23"/>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技术要求每个同行评价者给出其评价作业的优劣排序，最后将所有同行评价者的部分作业排序进行汇总，得到所有作业的最终排名。序数估计的主要研究点在于将多个部分的排序序列整合，推断出整体序列。Shah等人在Bradley-Terry(BT)模型</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_Ref30030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[8]</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的基础上，提出了RBTL模型</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_Ref31702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[9]</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，将每个从学生那里收集的有序比较对，看做是两两比较的成对偏好分布，通过两两间的关系推导出最终的排名。而Raman</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_Ref31735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[10]</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等人将一些传统的排序聚合模型（包括BT</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_Ref30030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[8]</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、MAL</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_Ref31767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[11]</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、Thurstone</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_Ref31787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[12]</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、PL</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_Ref31970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[13]</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）应用到了序数估计模型中，并且引入了同行评价者的评分可靠性变量，有效提升了序数估计模型对作业真实分数估计的准确性。Nicola等人则基于模糊数学理论定义了一个有序同行评价模型FOPA</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_Ref31924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[14]</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，与只有“大于”、“小于”传统的序数估计不同，FOPA模型映入更多的关系符号，例如“远远大于”、“大于等于”、“约等于”等，以此提高序数估计的准确性。</w:t>
      </w:r>
    </w:p>
    <w:p>
      <w:pPr>
        <w:pStyle w:val="23"/>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序数估计技术将评审活动转化为了一项简单的比较任务，降低了互评的难度。但是，同行互评还存在一些的问题：对于一些水平相近的作业，序数估计在对其量化时会扩大它们的实际差距。</w:t>
      </w:r>
      <w:r>
        <w:rPr>
          <w:rFonts w:hint="eastAsia" w:ascii="Times New Roman" w:hAnsi="Times New Roman" w:eastAsia="宋体" w:cs="Times New Roman"/>
          <w:color w:val="auto"/>
          <w:szCs w:val="21"/>
          <w:lang w:val="en-US" w:eastAsia="zh-CN"/>
        </w:rPr>
        <w:t>此外</w:t>
      </w:r>
      <w:r>
        <w:rPr>
          <w:rFonts w:hint="eastAsia" w:ascii="Times New Roman" w:hAnsi="Times New Roman" w:cs="Times New Roman"/>
          <w:color w:val="auto"/>
          <w:szCs w:val="21"/>
          <w:lang w:val="en-US" w:eastAsia="zh-CN"/>
        </w:rPr>
        <w:t>，学生提交的比较对也可以</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直接打分</w:t>
      </w:r>
      <w:r>
        <w:rPr>
          <w:rFonts w:hint="eastAsia" w:ascii="Times New Roman" w:hAnsi="Times New Roman" w:eastAsia="宋体" w:cs="Times New Roman"/>
          <w:color w:val="auto"/>
          <w:szCs w:val="21"/>
          <w:lang w:val="en-US" w:eastAsia="zh-CN"/>
        </w:rPr>
        <w:t>的方式排序得到，</w:t>
      </w:r>
      <w:r>
        <w:rPr>
          <w:rFonts w:hint="eastAsia" w:ascii="Times New Roman" w:hAnsi="Times New Roman" w:cs="Times New Roman"/>
          <w:color w:val="auto"/>
          <w:szCs w:val="21"/>
          <w:lang w:val="en-US" w:eastAsia="zh-CN"/>
        </w:rPr>
        <w:t>这说明和</w:t>
      </w:r>
      <w:r>
        <w:rPr>
          <w:rFonts w:hint="eastAsia" w:ascii="Times New Roman" w:hAnsi="Times New Roman" w:eastAsia="宋体" w:cs="Times New Roman"/>
          <w:color w:val="auto"/>
          <w:szCs w:val="21"/>
          <w:lang w:val="en-US" w:eastAsia="zh-CN"/>
        </w:rPr>
        <w:t>直接打分</w:t>
      </w:r>
      <w:r>
        <w:rPr>
          <w:rFonts w:hint="eastAsia" w:ascii="Times New Roman" w:hAnsi="Times New Roman" w:cs="Times New Roman"/>
          <w:color w:val="auto"/>
          <w:szCs w:val="21"/>
          <w:lang w:val="en-US" w:eastAsia="zh-CN"/>
        </w:rPr>
        <w:t>相比</w:t>
      </w:r>
      <w:r>
        <w:rPr>
          <w:rFonts w:hint="eastAsia" w:ascii="Times New Roman" w:hAnsi="Times New Roman" w:eastAsia="宋体" w:cs="Times New Roman"/>
          <w:color w:val="auto"/>
          <w:szCs w:val="21"/>
          <w:lang w:val="en-US" w:eastAsia="zh-CN"/>
        </w:rPr>
        <w:t>，序数估计</w:t>
      </w:r>
      <w:r>
        <w:rPr>
          <w:rFonts w:hint="eastAsia" w:ascii="Times New Roman" w:hAnsi="Times New Roman" w:cs="Times New Roman"/>
          <w:color w:val="auto"/>
          <w:szCs w:val="21"/>
          <w:lang w:val="en-US" w:eastAsia="zh-CN"/>
        </w:rPr>
        <w:t>包含了更少的信息</w:t>
      </w:r>
      <w:r>
        <w:rPr>
          <w:rFonts w:hint="eastAsia" w:ascii="Times New Roman" w:hAnsi="Times New Roman" w:eastAsia="宋体" w:cs="Times New Roman"/>
          <w:color w:val="auto"/>
          <w:szCs w:val="21"/>
          <w:lang w:val="en-US" w:eastAsia="zh-CN"/>
        </w:rPr>
        <w:t>。</w:t>
      </w:r>
    </w:p>
    <w:p>
      <w:pPr>
        <w:pStyle w:val="23"/>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2 基数估计技术</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color w:val="auto"/>
          <w:szCs w:val="21"/>
        </w:rPr>
      </w:pPr>
      <w:r>
        <w:rPr>
          <w:rFonts w:hint="eastAsia" w:ascii="Times New Roman" w:hAnsi="Times New Roman"/>
          <w:color w:val="auto"/>
          <w:szCs w:val="21"/>
          <w:lang w:val="en-US" w:eastAsia="zh-CN"/>
        </w:rPr>
        <w:t>基数估计技术要求每个同行评价者根据评分准则，给评价的作业一个数字评分。之后通过一些方式汇总每份作业获得的所有评分，得到最终分数。</w:t>
      </w:r>
      <w:r>
        <w:rPr>
          <w:rFonts w:hint="eastAsia" w:ascii="Times New Roman" w:hAnsi="Times New Roman" w:eastAsia="宋体" w:cs="Times New Roman"/>
          <w:color w:val="auto"/>
          <w:szCs w:val="21"/>
          <w:lang w:val="en-US" w:eastAsia="zh-CN"/>
        </w:rPr>
        <w:t>目前基数估计是</w:t>
      </w:r>
      <w:r>
        <w:rPr>
          <w:rFonts w:hint="eastAsia" w:ascii="Times New Roman" w:hAnsi="Times New Roman" w:cs="Times New Roman"/>
          <w:color w:val="auto"/>
          <w:szCs w:val="21"/>
          <w:lang w:val="en-US" w:eastAsia="zh-CN"/>
        </w:rPr>
        <w:t>主流</w:t>
      </w:r>
      <w:r>
        <w:rPr>
          <w:rFonts w:hint="eastAsia" w:ascii="Times New Roman" w:hAnsi="Times New Roman" w:eastAsia="宋体" w:cs="Times New Roman"/>
          <w:color w:val="auto"/>
          <w:szCs w:val="21"/>
          <w:lang w:val="en-US" w:eastAsia="zh-CN"/>
        </w:rPr>
        <w:t>MOOC平台采用的同行互评的评判方法</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w:t>
      </w:r>
      <w:r>
        <w:rPr>
          <w:rFonts w:hint="eastAsia" w:ascii="Times New Roman" w:hAnsi="Times New Roman" w:cs="Times New Roman"/>
          <w:color w:val="auto"/>
          <w:szCs w:val="21"/>
          <w:lang w:val="en-US" w:eastAsia="zh-CN"/>
        </w:rPr>
        <w:t>将同行评价者的评分</w:t>
      </w:r>
      <w:r>
        <w:rPr>
          <w:rFonts w:hint="eastAsia" w:ascii="Times New Roman" w:hAnsi="Times New Roman" w:eastAsia="宋体" w:cs="Times New Roman"/>
          <w:color w:val="auto"/>
          <w:szCs w:val="21"/>
          <w:lang w:val="en-US" w:eastAsia="zh-CN"/>
        </w:rPr>
        <w:t>加权聚合</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得到作业的真实分数。</w:t>
      </w:r>
      <w:r>
        <w:rPr>
          <w:rFonts w:hint="eastAsia" w:ascii="Times New Roman" w:hAnsi="Times New Roman" w:cs="Times New Roman"/>
          <w:color w:val="auto"/>
          <w:szCs w:val="21"/>
          <w:lang w:val="en-US" w:eastAsia="zh-CN"/>
        </w:rPr>
        <w:t>Fang等人</w:t>
      </w:r>
      <w:r>
        <w:rPr>
          <w:rFonts w:hint="eastAsia" w:ascii="Times New Roman" w:hAnsi="Times New Roman" w:eastAsia="宋体" w:cs="Times New Roman"/>
          <w:color w:val="auto"/>
          <w:szCs w:val="21"/>
          <w:lang w:val="en-US" w:eastAsia="zh-CN"/>
        </w:rPr>
        <w:t>提出了RankwithTA</w:t>
      </w:r>
      <w:r>
        <w:rPr>
          <w:rFonts w:hint="eastAsia" w:ascii="Times New Roman" w:hAnsi="Times New Roman" w:cs="Times New Roman"/>
          <w:color w:val="auto"/>
          <w:szCs w:val="21"/>
          <w:lang w:val="en-US" w:eastAsia="zh-CN"/>
        </w:rPr>
        <w:t>模型</w:t>
      </w:r>
      <w:r>
        <w:rPr>
          <w:rFonts w:hint="eastAsia" w:ascii="Times New Roman" w:hAnsi="Times New Roman" w:cs="Times New Roman"/>
          <w:color w:val="auto"/>
          <w:szCs w:val="21"/>
          <w:vertAlign w:val="superscript"/>
          <w:lang w:val="en-US" w:eastAsia="zh-CN"/>
        </w:rPr>
        <w:fldChar w:fldCharType="begin"/>
      </w:r>
      <w:r>
        <w:rPr>
          <w:rFonts w:hint="eastAsia" w:ascii="Times New Roman" w:hAnsi="Times New Roman" w:cs="Times New Roman"/>
          <w:color w:val="auto"/>
          <w:szCs w:val="21"/>
          <w:vertAlign w:val="superscript"/>
          <w:lang w:val="en-US" w:eastAsia="zh-CN"/>
        </w:rPr>
        <w:instrText xml:space="preserve"> REF _Ref32218 \r \h </w:instrText>
      </w:r>
      <w:r>
        <w:rPr>
          <w:rFonts w:hint="eastAsia" w:ascii="Times New Roman" w:hAnsi="Times New Roman" w:cs="Times New Roman"/>
          <w:color w:val="auto"/>
          <w:szCs w:val="21"/>
          <w:vertAlign w:val="superscript"/>
          <w:lang w:val="en-US" w:eastAsia="zh-CN"/>
        </w:rPr>
        <w:fldChar w:fldCharType="separate"/>
      </w:r>
      <w:r>
        <w:rPr>
          <w:rFonts w:hint="eastAsia" w:ascii="Times New Roman" w:hAnsi="Times New Roman" w:cs="Times New Roman"/>
          <w:color w:val="auto"/>
          <w:szCs w:val="21"/>
          <w:vertAlign w:val="superscript"/>
          <w:lang w:val="en-US" w:eastAsia="zh-CN"/>
        </w:rPr>
        <w:t>[15]</w:t>
      </w:r>
      <w:r>
        <w:rPr>
          <w:rFonts w:hint="eastAsia" w:ascii="Times New Roman" w:hAnsi="Times New Roman" w:cs="Times New Roman"/>
          <w:color w:val="auto"/>
          <w:szCs w:val="21"/>
          <w:vertAlign w:val="superscript"/>
          <w:lang w:val="en-US" w:eastAsia="zh-CN"/>
        </w:rPr>
        <w:fldChar w:fldCharType="end"/>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教师</w:t>
      </w:r>
      <w:r>
        <w:rPr>
          <w:rFonts w:hint="eastAsia" w:ascii="Times New Roman" w:hAnsi="Times New Roman" w:eastAsia="宋体" w:cs="Times New Roman"/>
          <w:color w:val="auto"/>
          <w:szCs w:val="21"/>
          <w:lang w:val="en-US" w:eastAsia="zh-CN"/>
        </w:rPr>
        <w:t>半监督</w:t>
      </w:r>
      <w:r>
        <w:rPr>
          <w:rFonts w:hint="eastAsia" w:ascii="Times New Roman" w:hAnsi="Times New Roman" w:cs="Times New Roman"/>
          <w:color w:val="auto"/>
          <w:szCs w:val="21"/>
          <w:lang w:val="en-US" w:eastAsia="zh-CN"/>
        </w:rPr>
        <w:t>抽查</w:t>
      </w:r>
      <w:r>
        <w:rPr>
          <w:rFonts w:hint="eastAsia" w:ascii="Times New Roman" w:hAnsi="Times New Roman" w:eastAsia="宋体" w:cs="Times New Roman"/>
          <w:color w:val="auto"/>
          <w:szCs w:val="21"/>
          <w:lang w:val="en-US" w:eastAsia="zh-CN"/>
        </w:rPr>
        <w:t>的方式</w:t>
      </w:r>
      <w:r>
        <w:rPr>
          <w:rFonts w:hint="eastAsia" w:ascii="Times New Roman" w:hAnsi="Times New Roman" w:cs="Times New Roman"/>
          <w:color w:val="auto"/>
          <w:szCs w:val="21"/>
          <w:lang w:val="en-US" w:eastAsia="zh-CN"/>
        </w:rPr>
        <w:t>确定</w:t>
      </w:r>
      <w:r>
        <w:rPr>
          <w:rFonts w:hint="eastAsia" w:ascii="Times New Roman" w:hAnsi="Times New Roman" w:eastAsia="宋体" w:cs="Times New Roman"/>
          <w:color w:val="auto"/>
          <w:szCs w:val="21"/>
          <w:lang w:val="en-US" w:eastAsia="zh-CN"/>
        </w:rPr>
        <w:t>每个同行评价者的评分准确性</w:t>
      </w:r>
      <w:r>
        <w:rPr>
          <w:rFonts w:hint="eastAsia" w:ascii="Times New Roman" w:hAnsi="Times New Roman" w:cs="Times New Roman"/>
          <w:color w:val="auto"/>
          <w:szCs w:val="21"/>
          <w:lang w:val="en-US" w:eastAsia="zh-CN"/>
        </w:rPr>
        <w:t>。在该模型中，</w:t>
      </w:r>
      <w:r>
        <w:rPr>
          <w:rFonts w:hint="eastAsia" w:ascii="Times New Roman" w:hAnsi="Times New Roman" w:eastAsia="宋体" w:cs="Times New Roman"/>
          <w:color w:val="auto"/>
          <w:szCs w:val="21"/>
          <w:lang w:val="en-US" w:eastAsia="zh-CN"/>
        </w:rPr>
        <w:t>教师</w:t>
      </w:r>
      <w:r>
        <w:rPr>
          <w:rFonts w:hint="eastAsia" w:ascii="Times New Roman" w:hAnsi="Times New Roman" w:cs="Times New Roman"/>
          <w:color w:val="auto"/>
          <w:szCs w:val="21"/>
          <w:lang w:val="en-US" w:eastAsia="zh-CN"/>
        </w:rPr>
        <w:t>将抽查</w:t>
      </w:r>
      <w:r>
        <w:rPr>
          <w:rFonts w:hint="eastAsia" w:ascii="Times New Roman" w:hAnsi="Times New Roman" w:eastAsia="宋体" w:cs="Times New Roman"/>
          <w:color w:val="auto"/>
          <w:szCs w:val="21"/>
          <w:lang w:val="en-US" w:eastAsia="zh-CN"/>
        </w:rPr>
        <w:t>部分学生的作业打分，</w:t>
      </w:r>
      <w:r>
        <w:rPr>
          <w:rFonts w:hint="eastAsia" w:ascii="Times New Roman" w:hAnsi="Times New Roman" w:cs="Times New Roman"/>
          <w:color w:val="auto"/>
          <w:szCs w:val="21"/>
          <w:lang w:val="en-US" w:eastAsia="zh-CN"/>
        </w:rPr>
        <w:t>以教师的评分作为学生的权重，并通过这部分学生与其他学生间的评价交集得到所有学生的权重</w:t>
      </w:r>
      <w:r>
        <w:rPr>
          <w:rFonts w:hint="eastAsia" w:ascii="Times New Roman" w:hAnsi="Times New Roman" w:eastAsia="宋体" w:cs="Times New Roman"/>
          <w:color w:val="auto"/>
          <w:szCs w:val="21"/>
          <w:lang w:val="en-US" w:eastAsia="zh-CN"/>
        </w:rPr>
        <w:t>。而</w:t>
      </w:r>
      <w:r>
        <w:rPr>
          <w:rFonts w:hint="eastAsia" w:ascii="Times New Roman" w:hAnsi="Times New Roman" w:cs="Times New Roman"/>
          <w:color w:val="auto"/>
          <w:szCs w:val="21"/>
          <w:lang w:val="en-US" w:eastAsia="zh-CN"/>
        </w:rPr>
        <w:t>Wang</w:t>
      </w:r>
      <w:r>
        <w:rPr>
          <w:rFonts w:hint="eastAsia" w:ascii="Times New Roman" w:hAnsi="Times New Roman" w:eastAsia="宋体" w:cs="Times New Roman"/>
          <w:color w:val="auto"/>
          <w:szCs w:val="21"/>
          <w:lang w:val="en-US" w:eastAsia="zh-CN"/>
        </w:rPr>
        <w:t>认为将学生的作业成绩等价为评审能力是不全面的</w:t>
      </w:r>
      <w:r>
        <w:rPr>
          <w:rFonts w:hint="eastAsia" w:ascii="Times New Roman" w:hAnsi="Times New Roman" w:cs="Times New Roman"/>
          <w:color w:val="auto"/>
          <w:szCs w:val="21"/>
          <w:lang w:val="en-US" w:eastAsia="zh-CN"/>
        </w:rPr>
        <w:t>，于是在此基础上</w:t>
      </w:r>
      <w:r>
        <w:rPr>
          <w:rFonts w:hint="eastAsia" w:ascii="Times New Roman" w:hAnsi="Times New Roman" w:eastAsia="宋体" w:cs="Times New Roman"/>
          <w:color w:val="auto"/>
          <w:szCs w:val="21"/>
          <w:lang w:val="en-US" w:eastAsia="zh-CN"/>
        </w:rPr>
        <w:t>提出了SSPA模型</w:t>
      </w:r>
      <w:r>
        <w:rPr>
          <w:rFonts w:hint="eastAsia" w:ascii="Times New Roman" w:hAnsi="Times New Roman" w:cs="Times New Roman"/>
          <w:color w:val="auto"/>
          <w:szCs w:val="21"/>
          <w:vertAlign w:val="superscript"/>
          <w:lang w:val="en-US" w:eastAsia="zh-CN"/>
        </w:rPr>
        <w:fldChar w:fldCharType="begin"/>
      </w:r>
      <w:r>
        <w:rPr>
          <w:rFonts w:hint="eastAsia" w:ascii="Times New Roman" w:hAnsi="Times New Roman" w:cs="Times New Roman"/>
          <w:color w:val="auto"/>
          <w:szCs w:val="21"/>
          <w:vertAlign w:val="superscript"/>
          <w:lang w:val="en-US" w:eastAsia="zh-CN"/>
        </w:rPr>
        <w:instrText xml:space="preserve"> REF _Ref32244 \r \h </w:instrText>
      </w:r>
      <w:r>
        <w:rPr>
          <w:rFonts w:hint="eastAsia" w:ascii="Times New Roman" w:hAnsi="Times New Roman" w:cs="Times New Roman"/>
          <w:color w:val="auto"/>
          <w:szCs w:val="21"/>
          <w:vertAlign w:val="superscript"/>
          <w:lang w:val="en-US" w:eastAsia="zh-CN"/>
        </w:rPr>
        <w:fldChar w:fldCharType="separate"/>
      </w:r>
      <w:r>
        <w:rPr>
          <w:rFonts w:hint="eastAsia" w:ascii="Times New Roman" w:hAnsi="Times New Roman" w:cs="Times New Roman"/>
          <w:color w:val="auto"/>
          <w:szCs w:val="21"/>
          <w:vertAlign w:val="superscript"/>
          <w:lang w:val="en-US" w:eastAsia="zh-CN"/>
        </w:rPr>
        <w:t>[16]</w:t>
      </w:r>
      <w:r>
        <w:rPr>
          <w:rFonts w:hint="eastAsia" w:ascii="Times New Roman" w:hAnsi="Times New Roman" w:cs="Times New Roman"/>
          <w:color w:val="auto"/>
          <w:szCs w:val="21"/>
          <w:vertAlign w:val="superscript"/>
          <w:lang w:val="en-US" w:eastAsia="zh-CN"/>
        </w:rPr>
        <w:fldChar w:fldCharType="end"/>
      </w:r>
      <w:r>
        <w:rPr>
          <w:rFonts w:hint="eastAsia" w:ascii="Times New Roman" w:hAnsi="Times New Roman" w:cs="Times New Roman"/>
          <w:color w:val="auto"/>
          <w:szCs w:val="21"/>
          <w:lang w:val="en-US" w:eastAsia="zh-CN"/>
        </w:rPr>
        <w:t>。SSPA</w:t>
      </w:r>
      <w:r>
        <w:rPr>
          <w:rFonts w:hint="eastAsia" w:ascii="Times New Roman" w:hAnsi="Times New Roman" w:eastAsia="宋体" w:cs="Times New Roman"/>
          <w:color w:val="auto"/>
          <w:szCs w:val="21"/>
          <w:lang w:val="en-US" w:eastAsia="zh-CN"/>
        </w:rPr>
        <w:t>在构建同行评价者的准确性时，将同行评价者与教师评分的差距也作为其影响因素，结合学生的作业成绩来共同决定学生的准确性，进而加权聚合得到学生的真实分数。</w:t>
      </w:r>
      <w:r>
        <w:rPr>
          <w:rFonts w:hint="eastAsia" w:ascii="Times New Roman" w:hAnsi="Times New Roman" w:cs="Times New Roman"/>
          <w:color w:val="auto"/>
          <w:szCs w:val="21"/>
          <w:lang w:val="en-US" w:eastAsia="zh-CN"/>
        </w:rPr>
        <w:t>虽然加权聚合模型比起均值、中位数更加准确，但是它还是没有很好的量化同行评价者之间的个体差异。而</w:t>
      </w:r>
      <w:r>
        <w:rPr>
          <w:rFonts w:hint="eastAsia" w:ascii="Times New Roman" w:hAnsi="Times New Roman" w:eastAsia="宋体" w:cs="Times New Roman"/>
          <w:color w:val="auto"/>
          <w:szCs w:val="21"/>
          <w:lang w:val="en-US" w:eastAsia="zh-CN"/>
        </w:rPr>
        <w:t>生成概率模型则是将学生作业的真实分数</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同行评价者的</w:t>
      </w:r>
      <w:r>
        <w:rPr>
          <w:rFonts w:hint="eastAsia" w:cs="Times New Roman"/>
          <w:color w:val="auto"/>
          <w:szCs w:val="21"/>
          <w:lang w:val="en-US" w:eastAsia="zh-CN"/>
        </w:rPr>
        <w:t>可靠性和偏见</w:t>
      </w:r>
      <w:r>
        <w:rPr>
          <w:rFonts w:hint="eastAsia" w:ascii="Times New Roman" w:hAnsi="Times New Roman" w:eastAsia="宋体" w:cs="Times New Roman"/>
          <w:color w:val="auto"/>
          <w:szCs w:val="21"/>
          <w:lang w:val="en-US" w:eastAsia="zh-CN"/>
        </w:rPr>
        <w:t>建模为隐变量概率分布模型，然后通过可观测的</w:t>
      </w:r>
      <w:r>
        <w:rPr>
          <w:rFonts w:hint="eastAsia" w:cs="Times New Roman"/>
          <w:color w:val="auto"/>
          <w:szCs w:val="21"/>
          <w:lang w:val="en-US" w:eastAsia="zh-CN"/>
        </w:rPr>
        <w:t>互评分数</w:t>
      </w:r>
      <w:r>
        <w:rPr>
          <w:rFonts w:hint="eastAsia" w:ascii="Times New Roman" w:hAnsi="Times New Roman" w:eastAsia="宋体" w:cs="Times New Roman"/>
          <w:color w:val="auto"/>
          <w:szCs w:val="21"/>
          <w:lang w:val="en-US" w:eastAsia="zh-CN"/>
        </w:rPr>
        <w:t>推演隐变量</w:t>
      </w:r>
      <w:r>
        <w:rPr>
          <w:rFonts w:hint="eastAsia" w:cs="Times New Roman"/>
          <w:color w:val="auto"/>
          <w:szCs w:val="21"/>
          <w:lang w:val="en-US" w:eastAsia="zh-CN"/>
        </w:rPr>
        <w:t>，即真实分数的值</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同行互评的</w:t>
      </w:r>
      <w:r>
        <w:rPr>
          <w:rFonts w:hint="eastAsia" w:ascii="Times New Roman" w:hAnsi="Times New Roman" w:eastAsia="宋体" w:cs="Times New Roman"/>
          <w:color w:val="auto"/>
          <w:szCs w:val="21"/>
          <w:lang w:val="en-US" w:eastAsia="zh-CN"/>
        </w:rPr>
        <w:t>生成概率模型最早由Piech</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提出，他们</w:t>
      </w:r>
      <w:r>
        <w:rPr>
          <w:rFonts w:hint="eastAsia" w:cs="Times New Roman"/>
          <w:color w:val="auto"/>
          <w:szCs w:val="21"/>
          <w:lang w:val="en-US" w:eastAsia="zh-CN"/>
        </w:rPr>
        <w:t>一共</w:t>
      </w:r>
      <w:r>
        <w:rPr>
          <w:rFonts w:hint="eastAsia" w:ascii="Times New Roman" w:hAnsi="Times New Roman" w:eastAsia="宋体" w:cs="Times New Roman"/>
          <w:color w:val="auto"/>
          <w:szCs w:val="21"/>
          <w:lang w:val="en-US" w:eastAsia="zh-CN"/>
        </w:rPr>
        <w:t>提出了三种概率模型</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1</w:t>
      </w:r>
      <w:r>
        <w:rPr>
          <w:rFonts w:hint="eastAsia" w:ascii="Times New Roman" w:hAnsi="Times New Roman" w:eastAsia="宋体" w:cs="Times New Roman"/>
          <w:color w:val="auto"/>
          <w:szCs w:val="21"/>
          <w:lang w:val="en-US" w:eastAsia="zh-CN"/>
        </w:rPr>
        <w:t>，</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2</w:t>
      </w:r>
      <w:r>
        <w:rPr>
          <w:rFonts w:hint="eastAsia" w:ascii="Times New Roman" w:hAnsi="Times New Roman" w:eastAsia="宋体" w:cs="Times New Roman"/>
          <w:color w:val="auto"/>
          <w:szCs w:val="21"/>
          <w:lang w:val="en-US" w:eastAsia="zh-CN"/>
        </w:rPr>
        <w:t>，</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vertAlign w:val="superscript"/>
          <w:lang w:val="en-US" w:eastAsia="zh-CN"/>
        </w:rPr>
        <w:fldChar w:fldCharType="begin"/>
      </w:r>
      <w:r>
        <w:rPr>
          <w:rFonts w:hint="eastAsia" w:ascii="Times New Roman" w:hAnsi="Times New Roman" w:eastAsia="宋体" w:cs="Times New Roman"/>
          <w:color w:val="auto"/>
          <w:szCs w:val="21"/>
          <w:vertAlign w:val="superscript"/>
          <w:lang w:val="en-US" w:eastAsia="zh-CN"/>
        </w:rPr>
        <w:instrText xml:space="preserve"> REF _Ref32319 \r \h </w:instrText>
      </w:r>
      <w:r>
        <w:rPr>
          <w:rFonts w:hint="eastAsia" w:ascii="Times New Roman" w:hAnsi="Times New Roman" w:eastAsia="宋体" w:cs="Times New Roman"/>
          <w:color w:val="auto"/>
          <w:szCs w:val="21"/>
          <w:vertAlign w:val="superscript"/>
          <w:lang w:val="en-US" w:eastAsia="zh-CN"/>
        </w:rPr>
        <w:fldChar w:fldCharType="separate"/>
      </w:r>
      <w:r>
        <w:rPr>
          <w:rFonts w:hint="eastAsia" w:ascii="Times New Roman" w:hAnsi="Times New Roman" w:eastAsia="宋体" w:cs="Times New Roman"/>
          <w:color w:val="auto"/>
          <w:szCs w:val="21"/>
          <w:vertAlign w:val="superscript"/>
          <w:lang w:val="en-US" w:eastAsia="zh-CN"/>
        </w:rPr>
        <w:t>[17]</w:t>
      </w:r>
      <w:r>
        <w:rPr>
          <w:rFonts w:hint="eastAsia" w:ascii="Times New Roman" w:hAnsi="Times New Roman" w:eastAsia="宋体" w:cs="Times New Roman"/>
          <w:color w:val="auto"/>
          <w:szCs w:val="21"/>
          <w:vertAlign w:val="superscript"/>
          <w:lang w:val="en-US" w:eastAsia="zh-CN"/>
        </w:rPr>
        <w:fldChar w:fldCharType="end"/>
      </w:r>
      <w:r>
        <w:rPr>
          <w:rFonts w:hint="eastAsia" w:ascii="Times New Roman" w:hAnsi="Times New Roman" w:eastAsia="宋体" w:cs="Times New Roman"/>
          <w:color w:val="auto"/>
          <w:szCs w:val="21"/>
          <w:lang w:val="en-US" w:eastAsia="zh-CN"/>
        </w:rPr>
        <w:t>。其中效果最好的</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认为同行评价者的可靠性与其作业的真实分数之间存在联系，于是在两者之间建立了线性关系进行转化，在实验的数据中，</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的预测分数的准确性在三个模型中是最好的。而Mi</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认为，</w:t>
      </w:r>
      <w:r>
        <w:rPr>
          <w:rFonts w:hint="eastAsia" w:cs="Times New Roman"/>
          <w:color w:val="auto"/>
          <w:szCs w:val="21"/>
          <w:lang w:val="en-US" w:eastAsia="zh-CN"/>
        </w:rPr>
        <w:t>线性关系</w:t>
      </w:r>
      <w:r>
        <w:rPr>
          <w:rFonts w:hint="eastAsia" w:ascii="Times New Roman" w:hAnsi="Times New Roman" w:eastAsia="宋体" w:cs="Times New Roman"/>
          <w:color w:val="auto"/>
          <w:szCs w:val="21"/>
          <w:lang w:val="en-US" w:eastAsia="zh-CN"/>
        </w:rPr>
        <w:t>不能准确的</w:t>
      </w:r>
      <w:r>
        <w:rPr>
          <w:rFonts w:hint="eastAsia" w:cs="Times New Roman"/>
          <w:color w:val="auto"/>
          <w:szCs w:val="21"/>
          <w:lang w:val="en-US" w:eastAsia="zh-CN"/>
        </w:rPr>
        <w:t>概括真实分数与可靠性</w:t>
      </w:r>
      <w:r>
        <w:rPr>
          <w:rFonts w:hint="eastAsia" w:ascii="Times New Roman" w:hAnsi="Times New Roman" w:eastAsia="宋体" w:cs="Times New Roman"/>
          <w:color w:val="auto"/>
          <w:szCs w:val="21"/>
          <w:lang w:val="en-US" w:eastAsia="zh-CN"/>
        </w:rPr>
        <w:t>的</w:t>
      </w:r>
      <w:r>
        <w:rPr>
          <w:rFonts w:hint="eastAsia" w:cs="Times New Roman"/>
          <w:color w:val="auto"/>
          <w:szCs w:val="21"/>
          <w:lang w:val="en-US" w:eastAsia="zh-CN"/>
        </w:rPr>
        <w:t>联系</w:t>
      </w:r>
      <w:r>
        <w:rPr>
          <w:rFonts w:hint="eastAsia" w:ascii="Times New Roman" w:hAnsi="Times New Roman" w:eastAsia="宋体" w:cs="Times New Roman"/>
          <w:color w:val="auto"/>
          <w:szCs w:val="21"/>
          <w:lang w:val="en-US" w:eastAsia="zh-CN"/>
        </w:rPr>
        <w:t>，所以</w:t>
      </w:r>
      <w:r>
        <w:rPr>
          <w:rFonts w:hint="eastAsia" w:cs="Times New Roman"/>
          <w:color w:val="auto"/>
          <w:szCs w:val="21"/>
          <w:lang w:val="en-US" w:eastAsia="zh-CN"/>
        </w:rPr>
        <w:t>他们</w:t>
      </w:r>
      <w:r>
        <w:rPr>
          <w:rFonts w:hint="eastAsia" w:ascii="Times New Roman" w:hAnsi="Times New Roman" w:eastAsia="宋体" w:cs="Times New Roman"/>
          <w:color w:val="auto"/>
          <w:szCs w:val="21"/>
          <w:lang w:val="en-US" w:eastAsia="zh-CN"/>
        </w:rPr>
        <w:t>在</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的基础上，将同行评价者的可靠性建模为均值为真实分数的概率分布模型，提出了</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5</w:t>
      </w:r>
      <w:r>
        <w:rPr>
          <w:rFonts w:hint="eastAsia" w:cs="Times New Roman"/>
          <w:color w:val="auto"/>
          <w:szCs w:val="21"/>
          <w:vertAlign w:val="superscript"/>
          <w:lang w:val="en-US" w:eastAsia="zh-CN"/>
        </w:rPr>
        <w:fldChar w:fldCharType="begin"/>
      </w:r>
      <w:r>
        <w:rPr>
          <w:rFonts w:hint="eastAsia" w:cs="Times New Roman"/>
          <w:color w:val="auto"/>
          <w:szCs w:val="21"/>
          <w:vertAlign w:val="superscript"/>
          <w:lang w:val="en-US" w:eastAsia="zh-CN"/>
        </w:rPr>
        <w:instrText xml:space="preserve"> REF _Ref32424 \r \h </w:instrText>
      </w:r>
      <w:r>
        <w:rPr>
          <w:rFonts w:hint="eastAsia" w:cs="Times New Roman"/>
          <w:color w:val="auto"/>
          <w:szCs w:val="21"/>
          <w:vertAlign w:val="superscript"/>
          <w:lang w:val="en-US" w:eastAsia="zh-CN"/>
        </w:rPr>
        <w:fldChar w:fldCharType="separate"/>
      </w:r>
      <w:r>
        <w:rPr>
          <w:rFonts w:hint="eastAsia" w:cs="Times New Roman"/>
          <w:color w:val="auto"/>
          <w:szCs w:val="21"/>
          <w:vertAlign w:val="superscript"/>
          <w:lang w:val="en-US" w:eastAsia="zh-CN"/>
        </w:rPr>
        <w:t>[18]</w:t>
      </w:r>
      <w:r>
        <w:rPr>
          <w:rFonts w:hint="eastAsia" w:cs="Times New Roman"/>
          <w:color w:val="auto"/>
          <w:szCs w:val="21"/>
          <w:vertAlign w:val="superscript"/>
          <w:lang w:val="en-US" w:eastAsia="zh-CN"/>
        </w:rPr>
        <w:fldChar w:fldCharType="end"/>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以此提高了预测最终分数的准确性</w:t>
      </w:r>
      <w:r>
        <w:rPr>
          <w:rFonts w:hint="eastAsia" w:ascii="Times New Roman" w:hAnsi="Times New Roman" w:eastAsia="宋体" w:cs="Times New Roman"/>
          <w:color w:val="auto"/>
          <w:szCs w:val="21"/>
          <w:lang w:val="en-US" w:eastAsia="zh-CN"/>
        </w:rPr>
        <w:t>。其中</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服从伽马分布，而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5</w:t>
      </w:r>
      <w:r>
        <w:rPr>
          <w:rFonts w:hint="eastAsia" w:ascii="Times New Roman" w:hAnsi="Times New Roman" w:eastAsia="宋体" w:cs="Times New Roman"/>
          <w:color w:val="auto"/>
          <w:szCs w:val="21"/>
          <w:lang w:val="en-US" w:eastAsia="zh-CN"/>
        </w:rPr>
        <w:t>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服从高斯分布。然而，上诉模型都只依靠互评</w:t>
      </w:r>
      <w:r>
        <w:rPr>
          <w:rFonts w:hint="eastAsia" w:cs="Times New Roman"/>
          <w:color w:val="auto"/>
          <w:szCs w:val="21"/>
          <w:lang w:val="en-US" w:eastAsia="zh-CN"/>
        </w:rPr>
        <w:t>分数</w:t>
      </w:r>
      <w:r>
        <w:rPr>
          <w:rFonts w:hint="eastAsia" w:ascii="Times New Roman" w:hAnsi="Times New Roman" w:eastAsia="宋体" w:cs="Times New Roman"/>
          <w:color w:val="auto"/>
          <w:szCs w:val="21"/>
          <w:lang w:val="en-US" w:eastAsia="zh-CN"/>
        </w:rPr>
        <w:t>这一个可观测的变量，使得预测模型存在数据稀疏的缺陷。因此，Wang在</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i w:val="0"/>
          <w:iCs w:val="0"/>
          <w:color w:val="auto"/>
          <w:szCs w:val="21"/>
          <w:vertAlign w:val="subscript"/>
          <w:lang w:val="en-US" w:eastAsia="zh-CN"/>
        </w:rPr>
        <w:t>5</w:t>
      </w:r>
      <w:r>
        <w:rPr>
          <w:rFonts w:hint="eastAsia" w:ascii="Times New Roman" w:hAnsi="Times New Roman" w:eastAsia="宋体" w:cs="Times New Roman"/>
          <w:color w:val="auto"/>
          <w:szCs w:val="21"/>
          <w:lang w:val="en-US" w:eastAsia="zh-CN"/>
        </w:rPr>
        <w:t>上加入了相对分数等级，即同一评分者不同提交成绩的绝对同伴等级的差异，构成了</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6</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7</w:t>
      </w:r>
      <w:r>
        <w:rPr>
          <w:rFonts w:hint="eastAsia" w:cs="Times New Roman"/>
          <w:color w:val="auto"/>
          <w:szCs w:val="21"/>
          <w:vertAlign w:val="superscript"/>
          <w:lang w:val="en-US" w:eastAsia="zh-CN"/>
        </w:rPr>
        <w:fldChar w:fldCharType="begin"/>
      </w:r>
      <w:r>
        <w:rPr>
          <w:rFonts w:hint="eastAsia" w:cs="Times New Roman"/>
          <w:color w:val="auto"/>
          <w:szCs w:val="21"/>
          <w:vertAlign w:val="superscript"/>
          <w:lang w:val="en-US" w:eastAsia="zh-CN"/>
        </w:rPr>
        <w:instrText xml:space="preserve"> REF _Ref32515 \r \h </w:instrText>
      </w:r>
      <w:r>
        <w:rPr>
          <w:rFonts w:hint="eastAsia" w:cs="Times New Roman"/>
          <w:color w:val="auto"/>
          <w:szCs w:val="21"/>
          <w:vertAlign w:val="superscript"/>
          <w:lang w:val="en-US" w:eastAsia="zh-CN"/>
        </w:rPr>
        <w:fldChar w:fldCharType="separate"/>
      </w:r>
      <w:r>
        <w:rPr>
          <w:rFonts w:hint="eastAsia" w:cs="Times New Roman"/>
          <w:color w:val="auto"/>
          <w:szCs w:val="21"/>
          <w:vertAlign w:val="superscript"/>
          <w:lang w:val="en-US" w:eastAsia="zh-CN"/>
        </w:rPr>
        <w:t>[19]</w:t>
      </w:r>
      <w:r>
        <w:rPr>
          <w:rFonts w:hint="eastAsia" w:cs="Times New Roman"/>
          <w:color w:val="auto"/>
          <w:szCs w:val="21"/>
          <w:vertAlign w:val="superscript"/>
          <w:lang w:val="en-US" w:eastAsia="zh-CN"/>
        </w:rPr>
        <w:fldChar w:fldCharType="end"/>
      </w:r>
      <w:r>
        <w:rPr>
          <w:rFonts w:hint="eastAsia" w:cs="Times New Roman"/>
          <w:color w:val="auto"/>
          <w:szCs w:val="21"/>
          <w:lang w:val="en-US" w:eastAsia="zh-CN"/>
        </w:rPr>
        <w:t>。两者在原有的模型基础上，加入了一个相对分数这一可观测变量，</w:t>
      </w:r>
      <w:r>
        <w:rPr>
          <w:rFonts w:hint="eastAsia" w:ascii="Times New Roman" w:hAnsi="Times New Roman" w:eastAsia="宋体" w:cs="Times New Roman"/>
          <w:color w:val="auto"/>
          <w:szCs w:val="21"/>
          <w:lang w:val="en-US" w:eastAsia="zh-CN"/>
        </w:rPr>
        <w:t>有效地解决了数据稀疏性带来的问题。</w:t>
      </w:r>
      <w:r>
        <w:rPr>
          <w:rFonts w:hint="eastAsia" w:cs="Times New Roman"/>
          <w:color w:val="auto"/>
          <w:szCs w:val="21"/>
          <w:lang w:val="en-US" w:eastAsia="zh-CN"/>
        </w:rPr>
        <w:t>我们在之前的工作中，将学生在互评时的行为数据引入了可靠性建模中，提出了</w:t>
      </w:r>
      <w:r>
        <w:rPr>
          <w:rFonts w:hint="eastAsia" w:cs="Times New Roman"/>
          <w:i/>
          <w:iCs/>
          <w:color w:val="auto"/>
          <w:szCs w:val="21"/>
          <w:lang w:val="en-US" w:eastAsia="zh-CN"/>
        </w:rPr>
        <w:t>B</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6</w:t>
      </w:r>
      <w:r>
        <w:rPr>
          <w:rFonts w:hint="eastAsia" w:ascii="Times New Roman" w:hAnsi="Times New Roman" w:eastAsia="宋体" w:cs="Times New Roman"/>
          <w:color w:val="auto"/>
          <w:szCs w:val="21"/>
          <w:lang w:val="en-US" w:eastAsia="zh-CN"/>
        </w:rPr>
        <w:t>和</w:t>
      </w:r>
      <w:r>
        <w:rPr>
          <w:rFonts w:hint="eastAsia" w:cs="Times New Roman"/>
          <w:i/>
          <w:iCs/>
          <w:color w:val="auto"/>
          <w:szCs w:val="21"/>
          <w:lang w:val="en-US" w:eastAsia="zh-CN"/>
        </w:rPr>
        <w:t>B</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7</w:t>
      </w:r>
      <w:r>
        <w:rPr>
          <w:rFonts w:hint="eastAsia" w:cs="Times New Roman"/>
          <w:color w:val="auto"/>
          <w:szCs w:val="21"/>
          <w:vertAlign w:val="superscript"/>
          <w:lang w:val="en-US" w:eastAsia="zh-CN"/>
        </w:rPr>
        <w:fldChar w:fldCharType="begin"/>
      </w:r>
      <w:r>
        <w:rPr>
          <w:rFonts w:hint="eastAsia" w:cs="Times New Roman"/>
          <w:color w:val="auto"/>
          <w:szCs w:val="21"/>
          <w:vertAlign w:val="superscript"/>
          <w:lang w:val="en-US" w:eastAsia="zh-CN"/>
        </w:rPr>
        <w:instrText xml:space="preserve"> REF _Ref30366 \r \h </w:instrText>
      </w:r>
      <w:r>
        <w:rPr>
          <w:rFonts w:hint="eastAsia" w:cs="Times New Roman"/>
          <w:color w:val="auto"/>
          <w:szCs w:val="21"/>
          <w:vertAlign w:val="superscript"/>
          <w:lang w:val="en-US" w:eastAsia="zh-CN"/>
        </w:rPr>
        <w:fldChar w:fldCharType="separate"/>
      </w:r>
      <w:r>
        <w:rPr>
          <w:rFonts w:hint="eastAsia" w:cs="Times New Roman"/>
          <w:color w:val="auto"/>
          <w:szCs w:val="21"/>
          <w:vertAlign w:val="superscript"/>
          <w:lang w:val="en-US" w:eastAsia="zh-CN"/>
        </w:rPr>
        <w:t>[20]</w:t>
      </w:r>
      <w:r>
        <w:rPr>
          <w:rFonts w:hint="eastAsia" w:cs="Times New Roman"/>
          <w:color w:val="auto"/>
          <w:szCs w:val="21"/>
          <w:vertAlign w:val="superscript"/>
          <w:lang w:val="en-US" w:eastAsia="zh-CN"/>
        </w:rPr>
        <w:fldChar w:fldCharType="end"/>
      </w:r>
      <w:r>
        <w:rPr>
          <w:rFonts w:hint="eastAsia" w:cs="Times New Roman"/>
          <w:color w:val="auto"/>
          <w:szCs w:val="21"/>
          <w:vertAlign w:val="baseline"/>
          <w:lang w:val="en-US" w:eastAsia="zh-CN"/>
        </w:rPr>
        <w:t>，取得了更加准确的估计分数。</w:t>
      </w:r>
      <w:r>
        <w:rPr>
          <w:rFonts w:hint="eastAsia" w:ascii="Times New Roman" w:hAnsi="Times New Roman" w:eastAsia="宋体" w:cs="Times New Roman"/>
          <w:color w:val="auto"/>
          <w:szCs w:val="21"/>
          <w:lang w:val="en-US" w:eastAsia="zh-CN"/>
        </w:rPr>
        <w:t>然而，现有的概率生成模型在对学生的可靠性建模时，将学生作业的真实分数作为</w:t>
      </w:r>
      <w:r>
        <w:rPr>
          <w:rFonts w:hint="eastAsia" w:cs="Times New Roman"/>
          <w:color w:val="auto"/>
          <w:szCs w:val="21"/>
          <w:lang w:val="en-US" w:eastAsia="zh-CN"/>
        </w:rPr>
        <w:t>其</w:t>
      </w:r>
      <w:r>
        <w:rPr>
          <w:rFonts w:hint="eastAsia" w:ascii="Times New Roman" w:hAnsi="Times New Roman" w:eastAsia="宋体" w:cs="Times New Roman"/>
          <w:color w:val="auto"/>
          <w:szCs w:val="21"/>
          <w:lang w:val="en-US" w:eastAsia="zh-CN"/>
        </w:rPr>
        <w:t>主要的影响因素</w:t>
      </w:r>
      <w:r>
        <w:rPr>
          <w:rFonts w:hint="eastAsia" w:cs="Times New Roman"/>
          <w:color w:val="auto"/>
          <w:szCs w:val="21"/>
          <w:lang w:val="en-US" w:eastAsia="zh-CN"/>
        </w:rPr>
        <w:t>。然而</w:t>
      </w:r>
      <w:r>
        <w:rPr>
          <w:rFonts w:hint="eastAsia" w:ascii="Times New Roman" w:hAnsi="Times New Roman" w:eastAsia="宋体" w:cs="Times New Roman"/>
          <w:color w:val="auto"/>
          <w:szCs w:val="21"/>
          <w:lang w:val="en-US" w:eastAsia="zh-CN"/>
        </w:rPr>
        <w:t>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w:t>
      </w:r>
      <w:r>
        <w:rPr>
          <w:rFonts w:hint="eastAsia" w:cs="Times New Roman"/>
          <w:color w:val="auto"/>
          <w:szCs w:val="21"/>
          <w:lang w:val="en-US" w:eastAsia="zh-CN"/>
        </w:rPr>
        <w:t>定义</w:t>
      </w:r>
      <w:r>
        <w:rPr>
          <w:rFonts w:hint="eastAsia" w:ascii="Times New Roman" w:hAnsi="Times New Roman" w:eastAsia="宋体" w:cs="Times New Roman"/>
          <w:color w:val="auto"/>
          <w:szCs w:val="21"/>
          <w:lang w:val="en-US" w:eastAsia="zh-CN"/>
        </w:rPr>
        <w:t>学生的评价</w:t>
      </w:r>
      <w:r>
        <w:rPr>
          <w:rFonts w:hint="eastAsia" w:cs="Times New Roman"/>
          <w:color w:val="auto"/>
          <w:szCs w:val="21"/>
          <w:lang w:val="en-US" w:eastAsia="zh-CN"/>
        </w:rPr>
        <w:t>能力</w:t>
      </w:r>
      <w:r>
        <w:rPr>
          <w:rFonts w:hint="eastAsia" w:ascii="Times New Roman" w:hAnsi="Times New Roman" w:eastAsia="宋体" w:cs="Times New Roman"/>
          <w:color w:val="auto"/>
          <w:szCs w:val="21"/>
          <w:lang w:val="en-US" w:eastAsia="zh-CN"/>
        </w:rPr>
        <w:t>的方法，将其</w:t>
      </w:r>
      <w:r>
        <w:rPr>
          <w:rFonts w:hint="eastAsia" w:cs="Times New Roman"/>
          <w:color w:val="auto"/>
          <w:szCs w:val="21"/>
          <w:lang w:val="en-US" w:eastAsia="zh-CN"/>
        </w:rPr>
        <w:t>作为</w:t>
      </w:r>
      <w:r>
        <w:rPr>
          <w:rFonts w:hint="eastAsia" w:ascii="Times New Roman" w:hAnsi="Times New Roman" w:eastAsia="宋体" w:cs="Times New Roman"/>
          <w:color w:val="auto"/>
          <w:szCs w:val="21"/>
          <w:lang w:val="en-US" w:eastAsia="zh-CN"/>
        </w:rPr>
        <w:t>可靠性的</w:t>
      </w:r>
      <w:r>
        <w:rPr>
          <w:rFonts w:hint="eastAsia" w:cs="Times New Roman"/>
          <w:color w:val="auto"/>
          <w:szCs w:val="21"/>
          <w:lang w:val="en-US" w:eastAsia="zh-CN"/>
        </w:rPr>
        <w:t>参数</w:t>
      </w:r>
      <w:r>
        <w:rPr>
          <w:rFonts w:hint="eastAsia" w:ascii="Times New Roman" w:hAnsi="Times New Roman" w:eastAsia="宋体" w:cs="Times New Roman"/>
          <w:color w:val="auto"/>
          <w:szCs w:val="21"/>
          <w:lang w:val="en-US" w:eastAsia="zh-CN"/>
        </w:rPr>
        <w:t>。评价</w:t>
      </w:r>
      <w:r>
        <w:rPr>
          <w:rFonts w:hint="eastAsia" w:cs="Times New Roman"/>
          <w:color w:val="auto"/>
          <w:szCs w:val="21"/>
          <w:lang w:val="en-US" w:eastAsia="zh-CN"/>
        </w:rPr>
        <w:t>能力可以</w:t>
      </w:r>
      <w:r>
        <w:rPr>
          <w:rFonts w:hint="eastAsia" w:ascii="Times New Roman" w:hAnsi="Times New Roman" w:eastAsia="宋体" w:cs="Times New Roman"/>
          <w:color w:val="auto"/>
          <w:szCs w:val="21"/>
          <w:lang w:val="en-US" w:eastAsia="zh-CN"/>
        </w:rPr>
        <w:t>直接体现</w:t>
      </w:r>
      <w:r>
        <w:rPr>
          <w:rFonts w:hint="eastAsia" w:cs="Times New Roman"/>
          <w:color w:val="auto"/>
          <w:szCs w:val="21"/>
          <w:lang w:val="en-US" w:eastAsia="zh-CN"/>
        </w:rPr>
        <w:t>在</w:t>
      </w:r>
      <w:r>
        <w:rPr>
          <w:rFonts w:hint="eastAsia" w:ascii="Times New Roman" w:hAnsi="Times New Roman" w:eastAsia="宋体" w:cs="Times New Roman"/>
          <w:color w:val="auto"/>
          <w:szCs w:val="21"/>
          <w:lang w:val="en-US" w:eastAsia="zh-CN"/>
        </w:rPr>
        <w:t>学生评分</w:t>
      </w:r>
      <w:r>
        <w:rPr>
          <w:rFonts w:hint="eastAsia" w:cs="Times New Roman"/>
          <w:color w:val="auto"/>
          <w:szCs w:val="21"/>
          <w:lang w:val="en-US" w:eastAsia="zh-CN"/>
        </w:rPr>
        <w:t>与真实分数的</w:t>
      </w:r>
      <w:r>
        <w:rPr>
          <w:rFonts w:hint="eastAsia" w:ascii="Times New Roman" w:hAnsi="Times New Roman" w:eastAsia="宋体" w:cs="Times New Roman"/>
          <w:color w:val="auto"/>
          <w:szCs w:val="21"/>
          <w:lang w:val="en-US" w:eastAsia="zh-CN"/>
        </w:rPr>
        <w:t>差距</w:t>
      </w:r>
      <w:r>
        <w:rPr>
          <w:rFonts w:hint="eastAsia" w:cs="Times New Roman"/>
          <w:color w:val="auto"/>
          <w:szCs w:val="21"/>
          <w:lang w:val="en-US" w:eastAsia="zh-CN"/>
        </w:rPr>
        <w:t>上</w:t>
      </w:r>
      <w:r>
        <w:rPr>
          <w:rFonts w:hint="eastAsia" w:ascii="Times New Roman" w:hAnsi="Times New Roman" w:eastAsia="宋体" w:cs="Times New Roman"/>
          <w:color w:val="auto"/>
          <w:szCs w:val="21"/>
          <w:lang w:val="en-US" w:eastAsia="zh-CN"/>
        </w:rPr>
        <w:t>，差距越小，说明学生评价的可靠性越高。</w:t>
      </w:r>
    </w:p>
    <w:p>
      <w:pPr>
        <w:pStyle w:val="23"/>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在本节中，我们会首先介绍使用到的符号，然后介绍我们自定义的互评能力的计算方法，最后介绍我们的同行互评概率模型。</w:t>
      </w:r>
    </w:p>
    <w:p>
      <w:pPr>
        <w:pStyle w:val="23"/>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2.1</w:t>
      </w:r>
      <w:r>
        <w:rPr>
          <w:rFonts w:hint="eastAsia" w:ascii="Times New Roman" w:hAnsi="Times New Roman"/>
          <w:b/>
          <w:color w:val="auto"/>
          <w:szCs w:val="21"/>
          <w:lang w:val="en-US" w:eastAsia="zh-CN"/>
        </w:rPr>
        <w:t xml:space="preserve"> 符号意义</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我们使用</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表示所有</w:t>
      </w:r>
      <w:r>
        <w:rPr>
          <w:rFonts w:hint="eastAsia" w:cs="Times New Roman"/>
          <w:color w:val="auto"/>
          <w:kern w:val="2"/>
          <w:sz w:val="21"/>
          <w:szCs w:val="21"/>
          <w:vertAlign w:val="baseline"/>
          <w:lang w:val="en-US" w:eastAsia="zh-CN"/>
        </w:rPr>
        <w:t>参与同行互评的学生集合</w:t>
      </w:r>
      <w:r>
        <w:rPr>
          <w:rFonts w:hint="eastAsia" w:cs="Times New Roman"/>
          <w:color w:val="auto"/>
          <w:kern w:val="2"/>
          <w:sz w:val="21"/>
          <w:szCs w:val="21"/>
          <w:lang w:val="en-US" w:eastAsia="zh-CN"/>
        </w:rPr>
        <w:t>，</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中的</w:t>
      </w:r>
      <w:r>
        <w:rPr>
          <w:rFonts w:hint="eastAsia" w:hAnsi="Cambria Math" w:cs="Times New Roman"/>
          <w:i w:val="0"/>
          <w:color w:val="auto"/>
          <w:kern w:val="2"/>
          <w:sz w:val="21"/>
          <w:szCs w:val="21"/>
          <w:lang w:val="en-US" w:eastAsia="zh-CN"/>
        </w:rPr>
        <w:t>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r>
        <w:rPr>
          <w:rFonts w:hint="eastAsia" w:cs="Times New Roman"/>
          <w:color w:val="auto"/>
          <w:kern w:val="2"/>
          <w:sz w:val="21"/>
          <w:szCs w:val="21"/>
          <w:lang w:val="en-US" w:eastAsia="zh-CN"/>
        </w:rPr>
        <w:t>。用</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表示同行评价者，通常情况下,所有提交作业的学生都将作为同行评价者参与打分。评价者和被评价者之间的关系用</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和</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表示，其中</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eastAsia" w:hAnsi="Cambria Math" w:cs="Times New Roman"/>
          <w:i w:val="0"/>
          <w:color w:val="auto"/>
          <w:kern w:val="2"/>
          <w:sz w:val="21"/>
          <w:szCs w:val="21"/>
          <w:lang w:val="en-US" w:eastAsia="zh-CN"/>
        </w:rPr>
        <w:t>评价者</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评价的所有作业的集合，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表示被评价者</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w:t>
      </w:r>
      <w:r>
        <w:rPr>
          <w:rFonts w:hint="eastAsia" w:cs="Times New Roman"/>
          <w:color w:val="auto"/>
          <w:kern w:val="2"/>
          <w:sz w:val="21"/>
          <w:szCs w:val="21"/>
          <w:lang w:val="en-US" w:eastAsia="zh-CN"/>
        </w:rPr>
        <w:t>的所有评审人员的集合，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表示</w:t>
      </w:r>
      <w:r>
        <m:rPr/>
        <w:rPr>
          <w:rFonts w:hint="eastAsia" w:hAnsi="Cambria Math" w:cs="Times New Roman"/>
          <w:i w:val="0"/>
          <w:color w:val="auto"/>
          <w:kern w:val="2"/>
          <w:sz w:val="21"/>
          <w:szCs w:val="21"/>
          <w:lang w:val="en-US" w:eastAsia="zh-CN"/>
        </w:rPr>
        <w:t>评价者</w:t>
      </w:r>
      <w:r>
        <m:rPr/>
        <w:rPr>
          <w:rFonts w:hint="default" w:ascii="Times New Roman" w:hAnsi="Times New Roman" w:cs="Times New Roman"/>
          <w:i/>
          <w:iCs/>
          <w:color w:val="auto"/>
          <w:kern w:val="2"/>
          <w:sz w:val="21"/>
          <w:szCs w:val="21"/>
          <w:lang w:val="en-US" w:eastAsia="zh-CN"/>
        </w:rPr>
        <w:t>v</w:t>
      </w:r>
      <w:r>
        <m:rPr/>
        <w:rPr>
          <w:rFonts w:hint="eastAsia" w:hAnsi="Cambria Math" w:cs="Times New Roman"/>
          <w:i w:val="0"/>
          <w:color w:val="auto"/>
          <w:kern w:val="2"/>
          <w:sz w:val="21"/>
          <w:szCs w:val="21"/>
          <w:lang w:val="en-US" w:eastAsia="zh-CN"/>
        </w:rPr>
        <w:t>的评价能力</w:t>
      </w:r>
      <w:r>
        <w:rPr>
          <w:rFonts w:hint="eastAsia" w:cs="Times New Roman"/>
          <w:color w:val="auto"/>
          <w:kern w:val="2"/>
          <w:sz w:val="21"/>
          <w:szCs w:val="21"/>
          <w:lang w:val="en-US" w:eastAsia="zh-CN"/>
        </w:rPr>
        <w:t>。在互评活动中，一名同行评价者被要求为</w:t>
      </w:r>
      <w:r>
        <w:rPr>
          <w:rFonts w:hint="default" w:ascii="Times New Roman" w:hAnsi="Times New Roman" w:cs="Times New Roman"/>
          <w:i/>
          <w:iCs/>
          <w:color w:val="auto"/>
          <w:kern w:val="2"/>
          <w:sz w:val="21"/>
          <w:szCs w:val="21"/>
          <w:lang w:val="en-US" w:eastAsia="zh-CN"/>
        </w:rPr>
        <w:t>l</w:t>
      </w:r>
      <w:r>
        <w:rPr>
          <w:rFonts w:hint="eastAsia" w:cs="Times New Roman"/>
          <w:color w:val="auto"/>
          <w:kern w:val="2"/>
          <w:sz w:val="21"/>
          <w:szCs w:val="21"/>
          <w:lang w:val="en-US" w:eastAsia="zh-CN"/>
        </w:rPr>
        <w:t>份作业评分，即</w:t>
      </w:r>
      <m:oMath>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r>
          <m:rPr/>
          <w:rPr>
            <w:rFonts w:hint="default" w:ascii="Cambria Math" w:hAnsi="Cambria Math" w:cs="Times New Roman"/>
            <w:color w:val="auto"/>
            <w:kern w:val="2"/>
            <w:sz w:val="21"/>
            <w:szCs w:val="21"/>
            <w:lang w:val="en-US" w:eastAsia="zh-CN"/>
          </w:rPr>
          <m:t>=</m:t>
        </m:r>
        <m:d>
          <m:dPr>
            <m:begChr m:val="|"/>
            <m:endChr m:val="|"/>
            <m:ctrlPr>
              <w:rPr>
                <w:rFonts w:hint="default" w:ascii="Cambria Math" w:hAnsi="Cambria Math" w:cs="Times New Roman"/>
                <w:i/>
                <w:color w:val="auto"/>
                <w:kern w:val="2"/>
                <w:sz w:val="21"/>
                <w:szCs w:val="21"/>
                <w:lang w:val="en-US" w:eastAsia="zh-CN"/>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=l</m:t>
        </m:r>
      </m:oMath>
      <w:r>
        <w:rPr>
          <w:rFonts w:hint="eastAsia" w:cs="Times New Roman"/>
          <w:color w:val="auto"/>
          <w:kern w:val="2"/>
          <w:sz w:val="21"/>
          <w:szCs w:val="21"/>
          <w:lang w:val="en-US" w:eastAsia="zh-CN"/>
        </w:rPr>
        <w:t>，而作业的满分定义为</w:t>
      </w:r>
      <m:oMath>
        <m:r>
          <m:rPr/>
          <w:rPr>
            <w:rFonts w:hint="default" w:ascii="Cambria Math" w:hAnsi="Cambria Math" w:cs="Times New Roman"/>
            <w:color w:val="auto"/>
            <w:kern w:val="2"/>
            <w:sz w:val="21"/>
            <w:szCs w:val="21"/>
            <w:lang w:val="en-US"/>
          </w:rPr>
          <m:t>φ</m:t>
        </m:r>
      </m:oMath>
      <w:r>
        <m:rPr/>
        <w:rPr>
          <w:rFonts w:hint="eastAsia" w:hAnsi="Cambria Math" w:cs="Times New Roman"/>
          <w:i w:val="0"/>
          <w:color w:val="auto"/>
          <w:kern w:val="2"/>
          <w:sz w:val="21"/>
          <w:szCs w:val="21"/>
          <w:lang w:val="en-US" w:eastAsia="zh-CN"/>
        </w:rPr>
        <w:t>。</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下面是有关概率模型重要概念的定义。</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真实分数</w:t>
      </w:r>
      <w:r>
        <w:rPr>
          <w:rFonts w:hint="eastAsia" w:cs="Times New Roman"/>
          <w:color w:val="auto"/>
          <w:kern w:val="2"/>
          <w:sz w:val="21"/>
          <w:szCs w:val="21"/>
          <w:lang w:val="en-US" w:eastAsia="zh-CN"/>
        </w:rPr>
        <w:t>：真实分数是隐变量，表示一份作业严格按照评分准则获得的分数。在实验中，我们将教师对作业的评分视为该作业的真实分数。真实分数用字母</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是学生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作业的真实分数。</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偏见</w:t>
      </w:r>
      <w:r>
        <w:rPr>
          <w:rFonts w:hint="eastAsia" w:cs="Times New Roman"/>
          <w:color w:val="auto"/>
          <w:kern w:val="2"/>
          <w:sz w:val="21"/>
          <w:szCs w:val="21"/>
          <w:lang w:val="en-US" w:eastAsia="zh-CN"/>
        </w:rPr>
        <w:t>：偏见是隐变量，表示同行互评者在评价作业时夸大或缩小其打分的倾向,其被认为是同行评价者的存在的客观属性。用字母</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可靠性</w:t>
      </w:r>
      <w:r>
        <w:rPr>
          <w:rFonts w:hint="eastAsia" w:cs="Times New Roman"/>
          <w:color w:val="auto"/>
          <w:kern w:val="2"/>
          <w:sz w:val="21"/>
          <w:szCs w:val="21"/>
          <w:lang w:val="en-US" w:eastAsia="zh-CN"/>
        </w:rPr>
        <w:t>：可靠性是隐变量，表示评价者的评分在经历了偏见的校准后，与作业真实分数存在的差距。同行评价者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的可靠性通过</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表示。传统的概率模型中，评价者的可靠性主要依赖于其提交作业的真实分数，在我们的概率模型中，评价者的可靠性将取决于其对作业的打分与该作业的真实分数之差。</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互评分数</w:t>
      </w:r>
      <w:r>
        <w:rPr>
          <w:rFonts w:hint="eastAsia" w:cs="Times New Roman"/>
          <w:color w:val="auto"/>
          <w:kern w:val="2"/>
          <w:sz w:val="21"/>
          <w:szCs w:val="21"/>
          <w:lang w:val="en-US" w:eastAsia="zh-CN"/>
        </w:rPr>
        <w:t>：互评分数是可观测变量，表示同行评价者给作业打出的评分，用</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打出的评分。评价分数的集合</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表示为</w:t>
      </w:r>
      <m:oMath>
        <m:r>
          <m:rPr/>
          <w:rPr>
            <w:rFonts w:hint="default" w:ascii="Cambria Math" w:hAnsi="Cambria Math" w:cs="Times New Roman"/>
            <w:color w:val="auto"/>
            <w:kern w:val="2"/>
            <w:sz w:val="21"/>
            <w:szCs w:val="21"/>
            <w:lang w:val="en-US" w:eastAsia="zh-CN" w:bidi="ar-SA"/>
          </w:rPr>
          <m:t>Z={</m:t>
        </m:r>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r>
          <m:rPr/>
          <w:rPr>
            <w:rFonts w:hint="default" w:ascii="Cambria Math" w:hAnsi="Cambria Math" w:cs="Times New Roman"/>
            <w:color w:val="auto"/>
            <w:kern w:val="2"/>
            <w:sz w:val="21"/>
            <w:szCs w:val="21"/>
            <w:lang w:val="en-US" w:eastAsia="zh-CN"/>
          </w:rPr>
          <m:t>|</m:t>
        </m:r>
        <m:sSub>
          <m:sSubPr>
            <m:ctrlPr>
              <w:rPr>
                <w:rFonts w:ascii="Cambria Math" w:hAnsi="Cambria Math" w:cs="Times New Roman"/>
                <w:i/>
                <w:iCs/>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Sub>
        <m:r>
          <m:rPr>
            <m:sty m:val="p"/>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U,v</m:t>
        </m:r>
        <m:r>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m:t>
        </m:r>
        <m:r>
          <m:rPr>
            <m:sty m:val="p"/>
          </m:rPr>
          <w:rPr>
            <w:rFonts w:hint="default" w:ascii="Cambria Math" w:hAnsi="Cambria Math" w:cs="Times New Roman"/>
            <w:color w:val="auto"/>
            <w:kern w:val="2"/>
            <w:sz w:val="21"/>
            <w:szCs w:val="21"/>
            <w:lang w:val="en-US" w:eastAsia="zh-CN" w:bidi="ar-SA"/>
          </w:rPr>
          <m:t>}</m:t>
        </m:r>
      </m:oMath>
      <w:r>
        <w:rPr>
          <w:rFonts w:hint="eastAsia" w:hAnsi="Cambria Math" w:cs="Times New Roman"/>
          <w:i w:val="0"/>
          <w:color w:val="auto"/>
          <w:kern w:val="2"/>
          <w:sz w:val="21"/>
          <w:szCs w:val="21"/>
          <w:lang w:val="en-US" w:eastAsia="zh-CN" w:bidi="ar-SA"/>
        </w:rPr>
        <w:t>。</w:t>
      </w:r>
    </w:p>
    <w:p>
      <w:pPr>
        <w:pStyle w:val="2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相对分数</w:t>
      </w:r>
      <w:r>
        <w:rPr>
          <w:rFonts w:hint="eastAsia" w:cs="Times New Roman"/>
          <w:color w:val="auto"/>
          <w:kern w:val="2"/>
          <w:sz w:val="21"/>
          <w:szCs w:val="21"/>
          <w:lang w:val="en-US" w:eastAsia="zh-CN"/>
        </w:rPr>
        <w:t>：相对分数是可观测变量，表示同一个同行评价者的互评分数们之间的差距，用</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的互评分数之间的绝对差，即</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和</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之间的绝对差。</w:t>
      </w:r>
    </w:p>
    <w:p>
      <w:pPr>
        <w:pStyle w:val="28"/>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ind w:leftChars="0"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表一总结了以上变量。</w:t>
      </w:r>
    </w:p>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eastAsia="zh-CN"/>
        </w:rPr>
      </w:pPr>
      <w:r>
        <w:rPr>
          <w:rFonts w:hint="eastAsia" w:cs="Times New Roman"/>
          <w:color w:val="auto"/>
          <w:kern w:val="2"/>
          <w:sz w:val="21"/>
          <w:szCs w:val="21"/>
          <w:lang w:val="en-US" w:eastAsia="zh-CN"/>
        </w:rPr>
        <w:t>表</w:t>
      </w:r>
      <w:r>
        <w:rPr>
          <w:rFonts w:hint="default" w:cs="Times New Roman"/>
          <w:color w:val="auto"/>
          <w:kern w:val="2"/>
          <w:sz w:val="21"/>
          <w:szCs w:val="21"/>
          <w:lang w:eastAsia="zh-CN"/>
        </w:rPr>
        <w:t xml:space="preserve"> 1 主要符号及其含义</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ascii="Times New Roman" w:hAnsi="Times New Roman" w:cs="Times New Roman"/>
          <w:color w:val="auto"/>
          <w:kern w:val="2"/>
          <w:sz w:val="21"/>
          <w:szCs w:val="21"/>
          <w:lang w:eastAsia="zh-CN"/>
        </w:rPr>
      </w:pPr>
      <w:r>
        <w:rPr>
          <w:rFonts w:hint="default" w:ascii="Times New Roman" w:hAnsi="Times New Roman" w:cs="Times New Roman"/>
          <w:color w:val="auto"/>
          <w:kern w:val="2"/>
          <w:sz w:val="21"/>
          <w:szCs w:val="21"/>
          <w:lang w:eastAsia="zh-CN"/>
        </w:rPr>
        <w:t>Table 1 Main notations and their descriptions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3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符号</w:t>
            </w:r>
          </w:p>
        </w:tc>
        <w:tc>
          <w:tcPr>
            <w:tcW w:w="3371" w:type="dxa"/>
            <w:tcBorders>
              <w:top w:val="single" w:color="auto" w:sz="4" w:space="0"/>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eastAsia="zh-CN" w:bidi="ar-SA"/>
                  </w:rPr>
                  <m:t>U</m:t>
                </m:r>
              </m:oMath>
            </m:oMathPara>
          </w:p>
        </w:tc>
        <w:tc>
          <w:tcPr>
            <w:tcW w:w="3371" w:type="dxa"/>
            <w:tcBorders>
              <w:top w:val="single" w:color="auto" w:sz="4" w:space="0"/>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参与同行互评的学生集合，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表示第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lang w:val="en-US" w:eastAsia="zh-CN"/>
              </w:rPr>
              <w:t>v</w:t>
            </w:r>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一位同行评价者，</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i/>
                <w:iCs/>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评价者</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评价的所有作业的集合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评价了学生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的所有评价者的集合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lang w:val="en-US" w:eastAsia="zh-CN"/>
              </w:rPr>
            </w:pPr>
            <w:r>
              <w:rPr>
                <w:rFonts w:hint="eastAsia" w:hAnsi="Cambria Math" w:cs="Times New Roman"/>
                <w:i w:val="0"/>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hAnsi="Cambria Math" w:cs="Times New Roman"/>
                <w:i w:val="0"/>
                <w:color w:val="auto"/>
                <w:kern w:val="2"/>
                <w:sz w:val="21"/>
                <w:szCs w:val="21"/>
                <w:lang w:val="en-US" w:eastAsia="zh-CN"/>
              </w:rPr>
              <w:t>的评价能力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vertAlign w:val="baseline"/>
                <w:lang w:val="en-US" w:eastAsia="zh-CN"/>
              </w:rPr>
              <w:t>l</w:t>
            </w:r>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每个学生在同行评审阶段评价的作业数量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rPr>
                  <m:t>φ</m:t>
                </m:r>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作业的满分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w:t>
            </w:r>
            <w:r>
              <w:rPr>
                <w:rFonts w:hint="eastAsia" w:cs="Times New Roman"/>
                <w:color w:val="auto"/>
                <w:kern w:val="2"/>
                <w:sz w:val="21"/>
                <w:szCs w:val="21"/>
                <w:vertAlign w:val="baseline"/>
                <w:lang w:val="en-US" w:eastAsia="zh-CN"/>
              </w:rPr>
              <w:t>的真实分数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oMath>
            </m:oMathPara>
          </w:p>
        </w:tc>
        <w:tc>
          <w:tcPr>
            <w:tcW w:w="3371"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m:oMathPara>
          </w:p>
        </w:tc>
        <w:tc>
          <w:tcPr>
            <w:tcW w:w="3371" w:type="dxa"/>
            <w:tcBorders>
              <w:top w:val="nil"/>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w:t>
            </w:r>
          </w:p>
        </w:tc>
      </w:tr>
    </w:tbl>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w:t>
      </w:r>
      <w:r>
        <w:rPr>
          <w:rFonts w:hint="eastAsia" w:cs="Times New Roman"/>
          <w:color w:val="auto"/>
          <w:kern w:val="2"/>
          <w:sz w:val="21"/>
          <w:szCs w:val="21"/>
          <w:vertAlign w:val="superscript"/>
          <w:lang w:val="en-US" w:eastAsia="zh-CN"/>
        </w:rPr>
        <w:fldChar w:fldCharType="begin"/>
      </w:r>
      <w:r>
        <w:rPr>
          <w:rFonts w:hint="eastAsia" w:cs="Times New Roman"/>
          <w:color w:val="auto"/>
          <w:kern w:val="2"/>
          <w:sz w:val="21"/>
          <w:szCs w:val="21"/>
          <w:vertAlign w:val="superscript"/>
          <w:lang w:val="en-US" w:eastAsia="zh-CN"/>
        </w:rPr>
        <w:instrText xml:space="preserve"> REF _Ref32244 \r \h </w:instrText>
      </w:r>
      <w:r>
        <w:rPr>
          <w:rFonts w:hint="eastAsia" w:cs="Times New Roman"/>
          <w:color w:val="auto"/>
          <w:kern w:val="2"/>
          <w:sz w:val="21"/>
          <w:szCs w:val="21"/>
          <w:vertAlign w:val="superscript"/>
          <w:lang w:val="en-US" w:eastAsia="zh-CN"/>
        </w:rPr>
        <w:fldChar w:fldCharType="separate"/>
      </w:r>
      <w:r>
        <w:rPr>
          <w:rFonts w:hint="eastAsia" w:cs="Times New Roman"/>
          <w:color w:val="auto"/>
          <w:kern w:val="2"/>
          <w:sz w:val="21"/>
          <w:szCs w:val="21"/>
          <w:vertAlign w:val="superscript"/>
          <w:lang w:val="en-US" w:eastAsia="zh-CN"/>
        </w:rPr>
        <w:t>[16]</w:t>
      </w:r>
      <w:r>
        <w:rPr>
          <w:rFonts w:hint="eastAsia" w:cs="Times New Roman"/>
          <w:color w:val="auto"/>
          <w:kern w:val="2"/>
          <w:sz w:val="21"/>
          <w:szCs w:val="21"/>
          <w:vertAlign w:val="superscript"/>
          <w:lang w:val="en-US" w:eastAsia="zh-CN"/>
        </w:rPr>
        <w:fldChar w:fldCharType="end"/>
      </w:r>
      <w:r>
        <w:rPr>
          <w:rFonts w:hint="eastAsia" w:cs="Times New Roman"/>
          <w:color w:val="auto"/>
          <w:kern w:val="2"/>
          <w:sz w:val="21"/>
          <w:szCs w:val="21"/>
          <w:lang w:val="en-US" w:eastAsia="zh-CN"/>
        </w:rPr>
        <w:t>，同行评价者的准确性可以由其互评分数与真实分数之间的差距决定。因此我们将同行评价者的互评分数与真实分数作为一个新的变量，称为同行互评者的评分能力，重新对可靠性进行建模。计算评分能力的公式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w:r>
        <w:rPr>
          <w:rFonts w:hint="eastAsia" w:hAnsi="Cambria Math" w:cs="Times New Roman"/>
          <w:i w:val="0"/>
          <w:color w:val="auto"/>
          <w:kern w:val="2"/>
          <w:sz w:val="21"/>
          <w:szCs w:val="21"/>
          <w:lang w:val="en-US" w:eastAsia="zh-CN"/>
        </w:rPr>
        <w:t xml:space="preserve">              (1)</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表示学生</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u</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作业的真实得分，</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m:oMath>
        <m:r>
          <m:rPr/>
          <w:rPr>
            <w:rFonts w:hint="default" w:ascii="Cambria Math" w:hAnsi="Cambria Math" w:cs="Times New Roman"/>
            <w:color w:val="auto"/>
            <w:kern w:val="2"/>
            <w:sz w:val="21"/>
            <w:szCs w:val="21"/>
            <w:lang w:val="en-US" w:eastAsia="zh-CN"/>
          </w:rPr>
          <m:t>v</m:t>
        </m:r>
      </m:oMath>
      <w:r>
        <w:rPr>
          <w:rFonts w:hint="eastAsia" w:cs="Times New Roman"/>
          <w:color w:val="auto"/>
          <w:kern w:val="2"/>
          <w:sz w:val="21"/>
          <w:szCs w:val="21"/>
          <w:lang w:val="en-US" w:eastAsia="zh-CN"/>
        </w:rPr>
        <w:t>对学生</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u</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作业的评分。</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表示同行</w:t>
      </w:r>
      <w:r>
        <w:rPr>
          <w:rFonts w:hint="eastAsia" w:cs="Times New Roman"/>
          <w:color w:val="auto"/>
          <w:kern w:val="2"/>
          <w:sz w:val="21"/>
          <w:szCs w:val="21"/>
          <w:lang w:val="en-US" w:eastAsia="zh-CN"/>
        </w:rPr>
        <w:t>评价者</w:t>
      </w:r>
      <w:r>
        <w:rPr>
          <w:rFonts w:hint="eastAsia"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评价的作业集合中，具有真实分数的作业集合，</w:t>
      </w:r>
      <m:oMath>
        <m:r>
          <m:rPr/>
          <w:rPr>
            <w:rFonts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表示</w:t>
      </w:r>
      <w:r>
        <w:rPr>
          <w:rFonts w:hint="eastAsia" w:cs="Times New Roman"/>
          <w:color w:val="auto"/>
          <w:kern w:val="2"/>
          <w:sz w:val="21"/>
          <w:szCs w:val="21"/>
          <w:lang w:val="en-US" w:eastAsia="zh-CN"/>
        </w:rPr>
        <w:t>作业的满分。根据公式（1），为了计算学生的评价能力，需要提前知道其评价作业的真实分数。通过教师提前评价部分学生作业的方式，可以获取部分作业的真实分数。这些具有真实分数的作业被称为审查资源，在互评流程中，通过对比评价者打分和审查资源的分数，就可以计算出他们的评价能力。对于那些没有被评价审查资源的学生，将会沿用历史留下的评价能力。并且在互评结束后，我们会将每位学生的最终得分视为真实分数，与其打分进行对比，从而更新这部分没有被抽查的评价者的评价能力，用于下一次的同行互评。图1是我们系统更新评价能力的流程图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0" w:firstLineChars="0"/>
        <w:jc w:val="center"/>
        <w:textAlignment w:val="auto"/>
        <w:rPr>
          <w:rFonts w:hint="eastAsia" w:cs="Times New Roman"/>
          <w:color w:val="auto"/>
          <w:kern w:val="2"/>
          <w:sz w:val="21"/>
          <w:szCs w:val="21"/>
          <w:lang w:val="en-US" w:eastAsia="zh-CN"/>
        </w:rPr>
      </w:pPr>
      <w:r>
        <w:drawing>
          <wp:inline distT="0" distB="0" distL="114300" distR="114300">
            <wp:extent cx="2697480" cy="2907030"/>
            <wp:effectExtent l="0" t="0" r="0"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6"/>
                    <a:stretch>
                      <a:fillRect/>
                    </a:stretch>
                  </pic:blipFill>
                  <pic:spPr>
                    <a:xfrm>
                      <a:off x="0" y="0"/>
                      <a:ext cx="2697480" cy="2907030"/>
                    </a:xfrm>
                    <a:prstGeom prst="rect">
                      <a:avLst/>
                    </a:prstGeom>
                    <a:noFill/>
                    <a:ln>
                      <a:noFill/>
                    </a:ln>
                  </pic:spPr>
                </pic:pic>
              </a:graphicData>
            </a:graphic>
          </wp:inline>
        </w:drawing>
      </w:r>
    </w:p>
    <w:p>
      <w:pPr>
        <w:pStyle w:val="23"/>
        <w:ind w:firstLine="0" w:firstLineChars="0"/>
        <w:jc w:val="center"/>
        <w:rPr>
          <w:rFonts w:hint="eastAsia" w:ascii="宋体" w:hAnsi="宋体"/>
          <w:color w:val="auto"/>
          <w:szCs w:val="21"/>
        </w:rPr>
      </w:pPr>
      <w:r>
        <w:rPr>
          <w:rFonts w:hint="eastAsia" w:ascii="宋体" w:hAnsi="宋体"/>
          <w:color w:val="auto"/>
          <w:szCs w:val="21"/>
        </w:rPr>
        <w:t xml:space="preserve">图1  </w:t>
      </w:r>
      <w:r>
        <w:rPr>
          <w:rFonts w:hint="eastAsia" w:cs="Times New Roman"/>
          <w:color w:val="auto"/>
          <w:kern w:val="2"/>
          <w:sz w:val="21"/>
          <w:szCs w:val="21"/>
          <w:lang w:val="en-US" w:eastAsia="zh-CN"/>
        </w:rPr>
        <w:t>更新评价能力的流程图</w:t>
      </w:r>
    </w:p>
    <w:p>
      <w:pPr>
        <w:pStyle w:val="23"/>
        <w:ind w:firstLine="0" w:firstLineChars="0"/>
        <w:jc w:val="center"/>
        <w:rPr>
          <w:rFonts w:hint="eastAsia" w:ascii="Times New Roman" w:hAnsi="Times New Roman"/>
          <w:color w:val="auto"/>
          <w:szCs w:val="21"/>
          <w:lang w:val="en-US" w:eastAsia="zh-CN"/>
        </w:rPr>
      </w:pPr>
      <w:r>
        <w:rPr>
          <w:rFonts w:ascii="Times New Roman" w:hAnsi="Times New Roman"/>
          <w:color w:val="auto"/>
          <w:szCs w:val="21"/>
        </w:rPr>
        <w:t xml:space="preserve">Fig.1  </w:t>
      </w:r>
      <w:r>
        <w:rPr>
          <w:rFonts w:hint="eastAsia" w:ascii="Times New Roman" w:hAnsi="Times New Roman"/>
          <w:color w:val="auto"/>
          <w:szCs w:val="21"/>
        </w:rPr>
        <w:t>Flow chart for updating evaluation capacity</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在拥有了评价能力之后，我们就可以对概率模型进行建模了。基于以上的符号表征，我们的研究问题是：给定同行分数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，需要推导出所有评价者</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以及所有的</w:t>
      </w:r>
      <m:oMath>
        <m:r>
          <m:rPr/>
          <w:rPr>
            <w:rFonts w:hint="default" w:ascii="Cambria Math" w:hAnsi="Cambria Math" w:cs="Times New Roman"/>
            <w:color w:val="auto"/>
            <w:kern w:val="2"/>
            <w:sz w:val="21"/>
            <w:szCs w:val="21"/>
            <w:lang w:val="en-US" w:eastAsia="zh-CN"/>
          </w:rPr>
          <m:t>s</m:t>
        </m:r>
      </m:oMath>
      <w:r>
        <w:rPr>
          <w:rFonts w:hint="eastAsia" w:cs="Times New Roman"/>
          <w:color w:val="auto"/>
          <w:kern w:val="2"/>
          <w:sz w:val="21"/>
          <w:szCs w:val="21"/>
          <w:lang w:val="en-US" w:eastAsia="zh-CN"/>
        </w:rPr>
        <w:t>。下面，我们将介绍我们提出的概率模型，以及如何通过概率模型和可观测变量，推导隐变量。</w:t>
      </w:r>
    </w:p>
    <w:p>
      <w:pPr>
        <w:pStyle w:val="23"/>
        <w:ind w:firstLine="0" w:firstLineChars="0"/>
        <w:rPr>
          <w:rFonts w:hint="eastAsia"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3 概率模型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我们一共提出了</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7</w:t>
      </w:r>
      <w:r>
        <w:rPr>
          <w:rFonts w:hint="eastAsia" w:cs="Times New Roman"/>
          <w:color w:val="auto"/>
          <w:kern w:val="2"/>
          <w:sz w:val="21"/>
          <w:szCs w:val="21"/>
          <w:lang w:val="en-US" w:eastAsia="zh-CN"/>
        </w:rPr>
        <w:t>两个概率模型，其随机变量之间的条件依赖结构如图2中的图形模型所示。</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drawing>
          <wp:inline distT="0" distB="0" distL="114300" distR="114300">
            <wp:extent cx="5669280" cy="1779905"/>
            <wp:effectExtent l="0" t="0" r="0" b="3175"/>
            <wp:docPr id="23" name="图片 23" descr="概率图模型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概率图模型_1"/>
                    <pic:cNvPicPr>
                      <a:picLocks noChangeAspect="1"/>
                    </pic:cNvPicPr>
                  </pic:nvPicPr>
                  <pic:blipFill>
                    <a:blip r:embed="rId7"/>
                    <a:stretch>
                      <a:fillRect/>
                    </a:stretch>
                  </pic:blipFill>
                  <pic:spPr>
                    <a:xfrm>
                      <a:off x="0" y="0"/>
                      <a:ext cx="5669280" cy="1779905"/>
                    </a:xfrm>
                    <a:prstGeom prst="rect">
                      <a:avLst/>
                    </a:prstGeom>
                  </pic:spPr>
                </pic:pic>
              </a:graphicData>
            </a:graphic>
          </wp:inline>
        </w:drawing>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3"/>
        <w:ind w:firstLine="0" w:firstLineChars="0"/>
        <w:jc w:val="center"/>
        <w:rPr>
          <w:rFonts w:hint="default" w:ascii="宋体" w:hAnsi="宋体"/>
          <w:color w:val="auto"/>
          <w:szCs w:val="21"/>
          <w:lang w:val="en-US"/>
        </w:rPr>
      </w:pPr>
      <w:r>
        <w:rPr>
          <w:rFonts w:hint="eastAsia" w:ascii="宋体" w:hAnsi="宋体"/>
          <w:color w:val="auto"/>
          <w:szCs w:val="21"/>
        </w:rPr>
        <w:t>图</w:t>
      </w:r>
      <w:r>
        <w:rPr>
          <w:rFonts w:hint="eastAsia" w:ascii="宋体" w:hAnsi="宋体"/>
          <w:color w:val="auto"/>
          <w:szCs w:val="21"/>
          <w:lang w:val="en-US" w:eastAsia="zh-CN"/>
        </w:rPr>
        <w:t>2</w:t>
      </w:r>
      <w:r>
        <w:rPr>
          <w:rFonts w:hint="eastAsia" w:ascii="宋体" w:hAnsi="宋体"/>
          <w:color w:val="auto"/>
          <w:szCs w:val="21"/>
        </w:rPr>
        <w:t xml:space="preserve">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eastAsia" w:ascii="Times New Roman" w:hAnsi="Times New Roman"/>
          <w:color w:val="auto"/>
          <w:szCs w:val="21"/>
          <w:vertAlign w:val="baseline"/>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的概率图模型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1680" w:firstLineChars="700"/>
        <w:textAlignment w:val="auto"/>
        <w:rPr>
          <w:rFonts w:hint="eastAsia" w:eastAsia="宋体" w:cs="Times New Roman"/>
          <w:color w:val="auto"/>
          <w:kern w:val="2"/>
          <w:sz w:val="21"/>
          <w:szCs w:val="21"/>
          <w:lang w:val="en-US" w:eastAsia="zh-CN"/>
        </w:rPr>
        <w:sectPr>
          <w:type w:val="continuous"/>
          <w:pgSz w:w="11906" w:h="16838"/>
          <w:pgMar w:top="1440" w:right="1416" w:bottom="1440" w:left="1560" w:header="851" w:footer="992" w:gutter="0"/>
          <w:cols w:space="425" w:num="1"/>
          <w:docGrid w:type="lines" w:linePitch="312" w:charSpace="0"/>
        </w:sectPr>
      </w:pPr>
      <w:r>
        <w:rPr>
          <w:rFonts w:ascii="Times New Roman" w:hAnsi="Times New Roman"/>
          <w:color w:val="auto"/>
          <w:szCs w:val="21"/>
        </w:rPr>
        <w:t>Fig.</w:t>
      </w:r>
      <w:r>
        <w:rPr>
          <w:rFonts w:hint="eastAsia" w:ascii="Times New Roman" w:hAnsi="Times New Roman"/>
          <w:color w:val="auto"/>
          <w:szCs w:val="21"/>
          <w:lang w:val="en-US" w:eastAsia="zh-CN"/>
        </w:rPr>
        <w:t>2</w:t>
      </w:r>
      <w:r>
        <w:rPr>
          <w:rFonts w:ascii="Times New Roman" w:hAnsi="Times New Roman"/>
          <w:color w:val="auto"/>
          <w:szCs w:val="21"/>
        </w:rPr>
        <w:t xml:space="preserve">  </w:t>
      </w:r>
      <w:r>
        <w:rPr>
          <w:rFonts w:hint="eastAsia" w:ascii="Times New Roman" w:hAnsi="Times New Roman"/>
          <w:color w:val="auto"/>
          <w:szCs w:val="21"/>
        </w:rPr>
        <w:t>Probabilistic graphical model for</w:t>
      </w:r>
      <w:r>
        <w:rPr>
          <w:rFonts w:hint="eastAsia" w:ascii="Times New Roman" w:hAnsi="Times New Roman"/>
          <w:color w:val="auto"/>
          <w:szCs w:val="21"/>
          <w:lang w:val="en-US" w:eastAsia="zh-CN"/>
        </w:rPr>
        <w:t xml:space="preserve">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 xml:space="preserve">6 </w:t>
      </w:r>
      <w:r>
        <w:rPr>
          <w:rFonts w:hint="eastAsia" w:ascii="Times New Roman" w:hAnsi="Times New Roman"/>
          <w:color w:val="auto"/>
          <w:szCs w:val="21"/>
          <w:vertAlign w:val="baseline"/>
          <w:lang w:val="en-US" w:eastAsia="zh-CN"/>
        </w:rPr>
        <w:t xml:space="preserve">and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如图2所示，互评分数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和同伴的评价能力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是模型中可观测的随机变量。学生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提交的真实得分</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评分者的可靠性</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偏见</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是模型中需要估计的隐变量。这些隐变量的先验分布与超参数</w:t>
      </w:r>
      <m:oMath>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η</m:t>
        </m:r>
      </m:oMath>
      <w:r>
        <w:rPr>
          <w:rFonts w:hint="eastAsia" w:cs="Times New Roman"/>
          <w:color w:val="auto"/>
          <w:kern w:val="2"/>
          <w:sz w:val="21"/>
          <w:szCs w:val="21"/>
          <w:lang w:val="en-US" w:eastAsia="zh-CN"/>
        </w:rPr>
        <w:t>的分布是彼此联系的。</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ascii="Times New Roman" w:hAnsi="Times New Roman" w:cs="Times New Roman"/>
          <w:color w:val="auto"/>
          <w:kern w:val="2"/>
          <w:sz w:val="21"/>
          <w:szCs w:val="21"/>
          <w:vertAlign w:val="baseline"/>
          <w:lang w:val="en-US" w:eastAsia="zh-CN"/>
        </w:rPr>
        <w:t>模型</w:t>
      </w:r>
      <w:r>
        <w:rPr>
          <w:rFonts w:hint="eastAsia" w:cs="Times New Roman"/>
          <w:color w:val="auto"/>
          <w:kern w:val="2"/>
          <w:sz w:val="21"/>
          <w:szCs w:val="21"/>
          <w:lang w:val="en-US" w:eastAsia="zh-CN"/>
        </w:rPr>
        <w:t>拓展于现有的</w:t>
      </w:r>
      <w:r>
        <w:rPr>
          <w:rFonts w:hint="default" w:ascii="Times New Roman" w:hAnsi="Times New Roman" w:cs="Times New Roman"/>
          <w:i/>
          <w:iCs/>
          <w:color w:val="auto"/>
          <w:kern w:val="2"/>
          <w:sz w:val="21"/>
          <w:szCs w:val="21"/>
          <w:lang w:val="en-US" w:eastAsia="zh-CN"/>
        </w:rPr>
        <w:t>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模型的所有随机变量的分布如下所示：</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6</w:t>
      </w:r>
      <w:r>
        <w:rPr>
          <w:rFonts w:hint="eastAsia" w:hAnsi="Cambria Math" w:cs="Times New Roman"/>
          <w:i w:val="0"/>
          <w:color w:val="auto"/>
          <w:kern w:val="2"/>
          <w:sz w:val="21"/>
          <w:szCs w:val="21"/>
          <w:lang w:val="en-US" w:eastAsia="zh-CN" w:bidi="ar-SA"/>
        </w:rPr>
        <w:t>的模型的区别在于，</w:t>
      </w:r>
      <w:r>
        <w:rPr>
          <w:rFonts w:hint="default" w:ascii="Times New Roman" w:hAnsi="Times New Roman" w:cs="Times New Roman"/>
          <w:i/>
          <w:iCs/>
          <w:color w:val="auto"/>
          <w:kern w:val="2"/>
          <w:sz w:val="21"/>
          <w:szCs w:val="21"/>
          <w:lang w:val="en-US" w:eastAsia="zh-CN" w:bidi="ar-SA"/>
        </w:rPr>
        <w:t>RPG</w:t>
      </w:r>
      <w:r>
        <w:rPr>
          <w:rFonts w:hint="eastAsia" w:ascii="Times New Roman" w:hAnsi="Times New Roman" w:cs="Times New Roman"/>
          <w:i w:val="0"/>
          <w:color w:val="auto"/>
          <w:kern w:val="2"/>
          <w:sz w:val="21"/>
          <w:szCs w:val="21"/>
          <w:vertAlign w:val="subscript"/>
          <w:lang w:val="en-US" w:eastAsia="zh-CN" w:bidi="ar-SA"/>
        </w:rPr>
        <w:t>6</w:t>
      </w:r>
      <w:r>
        <w:rPr>
          <w:rFonts w:hint="eastAsia" w:hAnsi="Cambria Math" w:cs="Times New Roman"/>
          <w:i w:val="0"/>
          <w:color w:val="auto"/>
          <w:kern w:val="2"/>
          <w:sz w:val="21"/>
          <w:szCs w:val="21"/>
          <w:lang w:val="en-US" w:eastAsia="zh-CN" w:bidi="ar-SA"/>
        </w:rPr>
        <w:t>模型假设同行评价者的可靠性满足伽马分布，而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则假设同行评价者的可靠性满足高斯分布。</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模型拓展了现有的</w:t>
      </w:r>
      <w:r>
        <w:rPr>
          <w:rFonts w:hint="default" w:ascii="Times New Roman" w:hAnsi="Times New Roman" w:cs="Times New Roman"/>
          <w:i/>
          <w:iCs/>
          <w:color w:val="auto"/>
          <w:kern w:val="2"/>
          <w:sz w:val="21"/>
          <w:szCs w:val="21"/>
          <w:lang w:val="en-US" w:eastAsia="zh-CN" w:bidi="ar-SA"/>
        </w:rPr>
        <w:t>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模型，其</w:t>
      </w:r>
      <w:r>
        <w:rPr>
          <w:rFonts w:hint="eastAsia" w:cs="Times New Roman"/>
          <w:color w:val="auto"/>
          <w:kern w:val="2"/>
          <w:sz w:val="21"/>
          <w:szCs w:val="21"/>
          <w:lang w:val="en-US" w:eastAsia="zh-CN"/>
        </w:rPr>
        <w:t>所有随机变量的分布如下所示：</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w:r>
        <w:rPr>
          <w:rFonts w:hint="eastAsia" w:hAnsi="Cambria Math" w:cs="Times New Roman"/>
          <w:i w:val="0"/>
          <w:color w:val="auto"/>
          <w:kern w:val="2"/>
          <w:sz w:val="21"/>
          <w:szCs w:val="21"/>
          <w:lang w:val="en-US" w:eastAsia="zh-CN"/>
        </w:rPr>
        <w:t>由于概率模型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中的隐含变量</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没有闭式解（</w:t>
      </w:r>
      <w:r>
        <w:rPr>
          <w:rFonts w:hint="default" w:ascii="Times New Roman" w:hAnsi="Times New Roman" w:cs="Times New Roman"/>
          <w:i/>
          <w:iCs/>
          <w:color w:val="auto"/>
          <w:kern w:val="2"/>
          <w:sz w:val="21"/>
          <w:szCs w:val="21"/>
          <w:lang w:val="en-US" w:eastAsia="zh-CN"/>
        </w:rPr>
        <w:t>closeform solution</w:t>
      </w:r>
      <w:r>
        <w:rPr>
          <w:rFonts w:hint="eastAsia" w:hAnsi="Cambria Math" w:cs="Times New Roman"/>
          <w:i w:val="0"/>
          <w:color w:val="auto"/>
          <w:kern w:val="2"/>
          <w:sz w:val="21"/>
          <w:szCs w:val="21"/>
          <w:lang w:val="en-US" w:eastAsia="zh-CN"/>
        </w:rPr>
        <w:t>），因而采用近似离散推断的策略得到该隐含变量的近似后验分布。对于</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中的后验分布推断结果是一样的。其中</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结果的隐含变量的后验分布推断如下：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s</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color w:val="auto"/>
          <w:kern w:val="2"/>
          <w:sz w:val="21"/>
          <w:szCs w:val="21"/>
          <w:lang w:val="en-US" w:eastAsia="zh-CN" w:bidi="ar-SA"/>
        </w:rPr>
      </w:pPr>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w:rPr>
            <w:rFonts w:hint="default" w:ascii="Cambria Math" w:hAnsi="Cambria Math" w:cs="Times New Roman"/>
            <w:color w:val="auto"/>
            <w:kern w:val="2"/>
            <w:sz w:val="21"/>
            <w:szCs w:val="21"/>
            <w:lang w:val="en-US" w:eastAsia="zh-CN" w:bidi="ar-SA"/>
          </w:rPr>
          <m:t>u</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w:r>
        <w:rPr>
          <w:rFonts w:hint="eastAsia" w:hAnsi="Cambria Math" w:cs="Times New Roman"/>
          <w:i w:val="0"/>
          <w:color w:val="auto"/>
          <w:kern w:val="2"/>
          <w:sz w:val="21"/>
          <w:szCs w:val="21"/>
          <w:lang w:val="en-US" w:eastAsia="zh-CN" w:bidi="ar-SA"/>
        </w:rPr>
        <w:t xml:space="preserve">                 </w:t>
      </w:r>
      <w:r>
        <w:rPr>
          <w:rFonts w:hint="eastAsia" w:hAnsi="Cambria Math" w:cs="Times New Roman"/>
          <w:i w:val="0"/>
          <w:iCs/>
          <w:color w:val="auto"/>
          <w:kern w:val="2"/>
          <w:sz w:val="21"/>
          <w:szCs w:val="21"/>
          <w:lang w:val="en-US" w:eastAsia="zh-CN" w:bidi="ar-SA"/>
        </w:rPr>
        <w:t>(2)</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结果的隐含变量的后验分布推断如下：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b</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η</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m:oMathPara>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ascii="Times New Roman" w:hAnsi="Times New Roman" w:cs="Times New Roman"/>
          <w:i/>
          <w:iCs/>
          <w:color w:val="auto"/>
          <w:kern w:val="2"/>
          <w:sz w:val="21"/>
          <w:szCs w:val="21"/>
          <w:lang w:val="en-US" w:eastAsia="zh-CN"/>
        </w:rPr>
      </w:pPr>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w:r>
        <w:rPr>
          <w:rFonts w:hint="eastAsia" w:hAnsi="Cambria Math" w:cs="Times New Roman"/>
          <w:i w:val="0"/>
          <w:color w:val="auto"/>
          <w:kern w:val="2"/>
          <w:sz w:val="21"/>
          <w:szCs w:val="21"/>
          <w:lang w:val="en-US" w:eastAsia="zh-CN" w:bidi="ar-SA"/>
        </w:rPr>
        <w:t xml:space="preserve">            </w:t>
      </w:r>
      <w:r>
        <w:rPr>
          <w:rFonts w:hint="eastAsia" w:hAnsi="Cambria Math" w:cs="Times New Roman"/>
          <w:i w:val="0"/>
          <w:iCs/>
          <w:color w:val="auto"/>
          <w:kern w:val="2"/>
          <w:sz w:val="21"/>
          <w:szCs w:val="21"/>
          <w:lang w:val="en-US" w:eastAsia="zh-CN" w:bidi="ar-SA"/>
        </w:rPr>
        <w:t>(3)</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r>
          <m:rPr/>
          <w:rPr>
            <w:rFonts w:ascii="Cambria Math" w:hAnsi="Cambria Math" w:cs="Times New Roman"/>
            <w:color w:val="auto"/>
            <w:kern w:val="2"/>
            <w:sz w:val="21"/>
            <w:szCs w:val="21"/>
            <w:lang w:val="en-US"/>
          </w:rPr>
          <m:t>Γ</m:t>
        </m:r>
        <m:d>
          <m:dPr>
            <m:ctrlPr>
              <w:rPr>
                <w:rFonts w:ascii="Cambria Math" w:hAnsi="Cambria Math" w:cs="Times New Roman"/>
                <w:i/>
                <w:color w:val="auto"/>
                <w:kern w:val="2"/>
                <w:sz w:val="21"/>
                <w:szCs w:val="21"/>
                <w:lang w:val="en-US"/>
              </w:rPr>
            </m:ctrlPr>
          </m:dPr>
          <m:e>
            <m:f>
              <m:fPr>
                <m:ctrlPr>
                  <w:rPr>
                    <w:rFonts w:ascii="Cambria Math" w:hAnsi="Cambria Math" w:cs="Times New Roman"/>
                    <w:i/>
                    <w:color w:val="auto"/>
                    <w:kern w:val="2"/>
                    <w:sz w:val="21"/>
                    <w:szCs w:val="21"/>
                    <w:lang w:val="en-US"/>
                  </w:rPr>
                </m:ctrlPr>
              </m:fPr>
              <m:num>
                <m:sSup>
                  <m:sSupPr>
                    <m:ctrlPr>
                      <w:rPr>
                        <w:rFonts w:ascii="Cambria Math" w:hAnsi="Cambria Math" w:cs="Times New Roman"/>
                        <w:i/>
                        <w:color w:val="auto"/>
                        <w:kern w:val="2"/>
                        <w:sz w:val="21"/>
                        <w:szCs w:val="21"/>
                        <w:lang w:val="en-US"/>
                      </w:rPr>
                    </m:ctrlPr>
                  </m:sSupPr>
                  <m:e>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ctrlPr>
                      <w:rPr>
                        <w:rFonts w:ascii="Cambria Math" w:hAnsi="Cambria Math" w:cs="Times New Roman"/>
                        <w:i/>
                        <w:color w:val="auto"/>
                        <w:kern w:val="2"/>
                        <w:sz w:val="21"/>
                        <w:szCs w:val="21"/>
                        <w:lang w:val="en-US"/>
                      </w:rPr>
                    </m:ctrlPr>
                  </m:e>
                  <m:sup>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sup>
                </m:sSup>
                <m:ctrlPr>
                  <w:rPr>
                    <w:rFonts w:ascii="Cambria Math" w:hAnsi="Cambria Math" w:cs="Times New Roman"/>
                    <w:i/>
                    <w:color w:val="auto"/>
                    <w:kern w:val="2"/>
                    <w:sz w:val="21"/>
                    <w:szCs w:val="21"/>
                    <w:lang w:val="en-US"/>
                  </w:rPr>
                </m:ctrlPr>
              </m:num>
              <m:den>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den>
            </m:f>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 xml:space="preserve">, </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nary>
                  <m:naryPr>
                    <m:chr m:val="∑"/>
                    <m:limLoc m:val="undOvr"/>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sSup>
                      <m:sSupPr>
                        <m:ctrlPr>
                          <w:rPr>
                            <w:rFonts w:hint="default" w:ascii="Cambria Math" w:hAnsi="Cambria Math" w:cs="Times New Roman"/>
                            <w:i/>
                            <w:color w:val="auto"/>
                            <w:kern w:val="2"/>
                            <w:sz w:val="21"/>
                            <w:szCs w:val="21"/>
                            <w:lang w:val="en-US" w:eastAsia="zh-CN"/>
                          </w:rPr>
                        </m:ctrlPr>
                      </m:sSupPr>
                      <m:e>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sup>
                    </m:sSup>
                    <m:r>
                      <m:rPr/>
                      <w:rPr>
                        <w:rFonts w:hint="default" w:ascii="Cambria Math" w:hAnsi="Cambria Math" w:cs="Times New Roman"/>
                        <w:color w:val="auto"/>
                        <w:kern w:val="2"/>
                        <w:sz w:val="21"/>
                        <w:szCs w:val="21"/>
                        <w:lang w:val="en-US" w:eastAsia="zh-CN"/>
                      </w:rPr>
                      <m:t>+</m:t>
                    </m:r>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sSup>
                          <m:sSupPr>
                            <m:ctrlPr>
                              <w:rPr>
                                <w:rFonts w:hint="default" w:ascii="Cambria Math" w:hAnsi="Cambria Math" w:cs="Times New Roman"/>
                                <w:i/>
                                <w:color w:val="auto"/>
                                <w:kern w:val="2"/>
                                <w:sz w:val="21"/>
                                <w:szCs w:val="21"/>
                                <w:lang w:val="en-US" w:eastAsia="zh-CN"/>
                              </w:rPr>
                            </m:ctrlPr>
                          </m:sSupPr>
                          <m:e>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den>
                            </m:f>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sup>
                        </m:sSup>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den>
            </m:f>
            <m:ctrlPr>
              <w:rPr>
                <w:rFonts w:ascii="Cambria Math" w:hAnsi="Cambria Math" w:cs="Times New Roman"/>
                <w:i/>
                <w:color w:val="auto"/>
                <w:kern w:val="2"/>
                <w:sz w:val="21"/>
                <w:szCs w:val="21"/>
                <w:lang w:val="en-US"/>
              </w:rPr>
            </m:ctrlPr>
          </m:e>
        </m:d>
      </m:oMath>
      <w:r>
        <w:rPr>
          <w:rFonts w:hint="eastAsia" w:hAnsi="Cambria Math" w:cs="Times New Roman"/>
          <w:i w:val="0"/>
          <w:color w:val="auto"/>
          <w:kern w:val="2"/>
          <w:sz w:val="21"/>
          <w:szCs w:val="21"/>
          <w:lang w:val="en-US" w:eastAsia="zh-CN"/>
        </w:rPr>
        <w:t xml:space="preserve">       (4)</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m:rPr/>
        <w:rPr>
          <w:rFonts w:hint="default" w:hAnsi="Cambria Math" w:cs="Times New Roman"/>
          <w:i w:val="0"/>
          <w:color w:val="auto"/>
          <w:kern w:val="2"/>
          <w:sz w:val="21"/>
          <w:szCs w:val="21"/>
          <w:lang w:val="en-US" w:eastAsia="zh-CN" w:bidi="ar-SA"/>
        </w:rPr>
      </w:pPr>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sSubSup>
          <m:sSubSupPr>
            <m:ctrlPr>
              <w:rPr>
                <w:rFonts w:ascii="Cambria Math" w:hAnsi="Cambria Math" w:cs="Times New Roman"/>
                <w:i/>
                <w:color w:val="auto"/>
                <w:kern w:val="2"/>
                <w:sz w:val="21"/>
                <w:szCs w:val="21"/>
                <w:lang w:val="en-US" w:bidi="ar-SA"/>
              </w:rPr>
            </m:ctrlPr>
          </m:sSubSup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up>
            <m:f>
              <m:fPr>
                <m:ctrlPr>
                  <w:rPr>
                    <w:rFonts w:ascii="Cambria Math" w:hAnsi="Cambria Math" w:cs="Times New Roman"/>
                    <w:i/>
                    <w:color w:val="auto"/>
                    <w:kern w:val="2"/>
                    <w:sz w:val="21"/>
                    <w:szCs w:val="21"/>
                    <w:lang w:val="en-US" w:bidi="ar-SA"/>
                  </w:rPr>
                </m:ctrlPr>
              </m:fPr>
              <m:num>
                <m:sSup>
                  <m:sSupPr>
                    <m:ctrlPr>
                      <w:rPr>
                        <w:rFonts w:ascii="Cambria Math" w:hAnsi="Cambria Math" w:cs="Times New Roman"/>
                        <w:i/>
                        <w:color w:val="auto"/>
                        <w:kern w:val="2"/>
                        <w:sz w:val="21"/>
                        <w:szCs w:val="21"/>
                        <w:lang w:val="en-US" w:bidi="ar-SA"/>
                      </w:rPr>
                    </m:ctrlPr>
                  </m:sSupPr>
                  <m:e>
                    <m:d>
                      <m:dPr>
                        <m:begChr m:val="|"/>
                        <m:endChr m:val="|"/>
                        <m:ctrlPr>
                          <w:rPr>
                            <w:rFonts w:ascii="Cambria Math" w:hAnsi="Cambria Math" w:cs="Times New Roman"/>
                            <w:i/>
                            <w:color w:val="auto"/>
                            <w:kern w:val="2"/>
                            <w:sz w:val="21"/>
                            <w:szCs w:val="21"/>
                            <w:lang w:val="en-US" w:bidi="ar-SA"/>
                          </w:rPr>
                        </m:ctrlPr>
                      </m:dPr>
                      <m:e>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e>
                    </m:d>
                    <m:ctrlPr>
                      <w:rPr>
                        <w:rFonts w:ascii="Cambria Math" w:hAnsi="Cambria Math" w:cs="Times New Roman"/>
                        <w:i/>
                        <w:color w:val="auto"/>
                        <w:kern w:val="2"/>
                        <w:sz w:val="21"/>
                        <w:szCs w:val="21"/>
                        <w:lang w:val="en-US" w:bidi="ar-SA"/>
                      </w:rPr>
                    </m:ctrlPr>
                  </m:e>
                  <m:sup>
                    <m:r>
                      <m:rPr/>
                      <w:rPr>
                        <w:rFonts w:hint="default" w:ascii="Cambria Math" w:hAnsi="Cambria Math" w:cs="Times New Roman"/>
                        <w:color w:val="auto"/>
                        <w:kern w:val="2"/>
                        <w:sz w:val="21"/>
                        <w:szCs w:val="21"/>
                        <w:lang w:val="en-US" w:eastAsia="zh-CN" w:bidi="ar-SA"/>
                      </w:rPr>
                      <m:t>2</m:t>
                    </m:r>
                    <m:ctrlPr>
                      <w:rPr>
                        <w:rFonts w:ascii="Cambria Math" w:hAnsi="Cambria Math" w:cs="Times New Roman"/>
                        <w:i/>
                        <w:color w:val="auto"/>
                        <w:kern w:val="2"/>
                        <w:sz w:val="21"/>
                        <w:szCs w:val="21"/>
                        <w:lang w:val="en-US" w:bidi="ar-SA"/>
                      </w:rPr>
                    </m:ctrlPr>
                  </m:sup>
                </m:sSup>
                <m:ctrlPr>
                  <w:rPr>
                    <w:rFonts w:ascii="Cambria Math" w:hAnsi="Cambria Math" w:cs="Times New Roman"/>
                    <w:i/>
                    <w:color w:val="auto"/>
                    <w:kern w:val="2"/>
                    <w:sz w:val="21"/>
                    <w:szCs w:val="21"/>
                    <w:lang w:val="en-US" w:bidi="ar-SA"/>
                  </w:rPr>
                </m:ctrlPr>
              </m:num>
              <m:den>
                <m:r>
                  <m:rPr/>
                  <w:rPr>
                    <w:rFonts w:hint="default" w:ascii="Cambria Math" w:hAnsi="Cambria Math" w:cs="Times New Roman"/>
                    <w:color w:val="auto"/>
                    <w:kern w:val="2"/>
                    <w:sz w:val="21"/>
                    <w:szCs w:val="21"/>
                    <w:lang w:val="en-US" w:eastAsia="zh-CN" w:bidi="ar-SA"/>
                  </w:rPr>
                  <m:t>2</m:t>
                </m:r>
                <m:ctrlPr>
                  <w:rPr>
                    <w:rFonts w:ascii="Cambria Math" w:hAnsi="Cambria Math" w:cs="Times New Roman"/>
                    <w:i/>
                    <w:color w:val="auto"/>
                    <w:kern w:val="2"/>
                    <w:sz w:val="21"/>
                    <w:szCs w:val="21"/>
                    <w:lang w:val="en-US" w:bidi="ar-SA"/>
                  </w:rPr>
                </m:ctrlPr>
              </m:den>
            </m:f>
            <m:ctrlPr>
              <w:rPr>
                <w:rFonts w:ascii="Cambria Math" w:hAnsi="Cambria Math" w:cs="Times New Roman"/>
                <w:i/>
                <w:color w:val="auto"/>
                <w:kern w:val="2"/>
                <w:sz w:val="21"/>
                <w:szCs w:val="21"/>
                <w:lang w:val="en-US" w:bidi="ar-SA"/>
              </w:rPr>
            </m:ctrlPr>
          </m:sup>
        </m:sSubSup>
        <m:r>
          <m:rPr/>
          <w:rPr>
            <w:rFonts w:hint="default" w:ascii="Cambria Math" w:hAnsi="Cambria Math" w:cs="Times New Roman"/>
            <w:color w:val="auto"/>
            <w:kern w:val="2"/>
            <w:sz w:val="21"/>
            <w:szCs w:val="21"/>
            <w:lang w:val="en-US" w:eastAsia="zh-CN" w:bidi="ar-SA"/>
          </w:rPr>
          <m:t>exp(−</m:t>
        </m:r>
        <m:f>
          <m:fPr>
            <m:ctrlPr>
              <w:rPr>
                <w:rFonts w:hint="default" w:ascii="Cambria Math" w:hAnsi="Cambria Math" w:cs="Times New Roman"/>
                <w:i/>
                <w:color w:val="auto"/>
                <w:kern w:val="2"/>
                <w:sz w:val="21"/>
                <w:szCs w:val="21"/>
                <w:lang w:val="en-US" w:eastAsia="zh-CN" w:bidi="ar-SA"/>
              </w:rPr>
            </m:ctrlPr>
          </m:fPr>
          <m:num>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ascii="Cambria Math" w:hAnsi="Cambria Math" w:cs="Times New Roman"/>
                <w:color w:val="auto"/>
                <w:kern w:val="2"/>
                <w:sz w:val="21"/>
                <w:szCs w:val="21"/>
                <w:lang w:val="en-US" w:bidi="ar-SA"/>
              </w:rPr>
              <m:t>τ</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α</m:t>
        </m:r>
        <m:r>
          <m:rPr/>
          <w:rPr>
            <w:rFonts w:hint="default" w:ascii="Cambria Math" w:hAnsi="Cambria Math" w:cs="Times New Roman"/>
            <w:color w:val="auto"/>
            <w:kern w:val="2"/>
            <w:sz w:val="21"/>
            <w:szCs w:val="21"/>
            <w:lang w:val="en-US" w:eastAsia="zh-CN" w:bidi="ar-SA"/>
          </w:rPr>
          <m:t>+</m:t>
        </m:r>
        <m:nary>
          <m:naryPr>
            <m:chr m:val="∑"/>
            <m:limLoc m:val="subSup"/>
            <m:supHide m:val="1"/>
            <m:ctrl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hint="default" w:ascii="Cambria Math" w:hAnsi="Cambria Math" w:cs="Times New Roman"/>
                <w:i/>
                <w:color w:val="auto"/>
                <w:kern w:val="2"/>
                <w:sz w:val="21"/>
                <w:szCs w:val="21"/>
                <w:lang w:val="en-US" w:eastAsia="zh-CN" w:bidi="ar-SA"/>
              </w:rPr>
            </m:ctrlPr>
          </m:sub>
          <m:sup>
            <m:ctrlPr>
              <w:rPr>
                <w:rFonts w:hint="default" w:ascii="Cambria Math" w:hAnsi="Cambria Math" w:cs="Times New Roman"/>
                <w:i/>
                <w:color w:val="auto"/>
                <w:kern w:val="2"/>
                <w:sz w:val="21"/>
                <w:szCs w:val="21"/>
                <w:lang w:val="en-US" w:eastAsia="zh-CN" w:bidi="ar-SA"/>
              </w:rPr>
            </m:ctrlPr>
          </m:sup>
          <m:e>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ctrlPr>
                  <w:rPr>
                    <w:rFonts w:hint="default" w:ascii="Cambria Math" w:hAnsi="Cambria Math" w:cs="Times New Roman"/>
                    <w:i/>
                    <w:color w:val="auto"/>
                    <w:kern w:val="2"/>
                    <w:sz w:val="21"/>
                    <w:szCs w:val="21"/>
                    <w:lang w:val="en-US" w:eastAsia="zh-CN" w:bidi="ar-SA"/>
                  </w:rPr>
                </m:ctrlPr>
              </m:num>
              <m:den>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den>
            </m:f>
            <m:ctrl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hint="default" w:ascii="Cambria Math" w:hAnsi="Cambria Math" w:cs="Times New Roman"/>
                <w:i/>
                <w:color w:val="auto"/>
                <w:kern w:val="2"/>
                <w:sz w:val="21"/>
                <w:szCs w:val="21"/>
                <w:lang w:val="en-US" w:eastAsia="zh-CN" w:bidi="ar-SA"/>
              </w:rPr>
            </m:ctrlPr>
          </m:sub>
          <m:sup>
            <m:ctrlPr>
              <w:rPr>
                <w:rFonts w:hint="default" w:ascii="Cambria Math" w:hAnsi="Cambria Math" w:cs="Times New Roman"/>
                <w:i/>
                <w:color w:val="auto"/>
                <w:kern w:val="2"/>
                <w:sz w:val="21"/>
                <w:szCs w:val="21"/>
                <w:lang w:val="en-US" w:eastAsia="zh-CN" w:bidi="ar-SA"/>
              </w:rPr>
            </m:ctrlPr>
          </m:sup>
          <m:e>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den>
            </m:f>
            <m:ctrl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oMath>
      <w:r>
        <m:rPr/>
        <w:rPr>
          <w:rFonts w:hint="eastAsia" w:hAnsi="Cambria Math" w:cs="Times New Roman"/>
          <w:i w:val="0"/>
          <w:color w:val="auto"/>
          <w:kern w:val="2"/>
          <w:sz w:val="21"/>
          <w:szCs w:val="21"/>
          <w:lang w:val="en-US" w:eastAsia="zh-CN" w:bidi="ar-SA"/>
        </w:rPr>
        <w:t xml:space="preserve">   (5)</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为了确定隐变量的值，我们对每个隐变量的后验分布信息进行了采样。我们使用了</w:t>
      </w:r>
      <w:r>
        <w:rPr>
          <w:rFonts w:hint="default" w:ascii="Times New Roman" w:hAnsi="Times New Roman" w:cs="Times New Roman"/>
          <w:i/>
          <w:iCs/>
          <w:color w:val="auto"/>
          <w:kern w:val="2"/>
          <w:sz w:val="21"/>
          <w:szCs w:val="21"/>
          <w:lang w:val="en-US" w:eastAsia="zh-CN"/>
        </w:rPr>
        <w:t>Gibbs</w:t>
      </w:r>
      <w:r>
        <w:rPr>
          <w:rFonts w:hint="eastAsia" w:cs="Times New Roman"/>
          <w:color w:val="auto"/>
          <w:kern w:val="2"/>
          <w:sz w:val="21"/>
          <w:szCs w:val="21"/>
          <w:lang w:val="en-US" w:eastAsia="zh-CN"/>
        </w:rPr>
        <w:t>采样技术。对于每个隐变量，通过可观测变量和其他隐变量的后验分布进行计算。在计算若干次之后，我们将生成的若干组隐变量的均值作为其最终值。对于一组隐变量。我们进行了600次吉布斯采样，在计算均值时，我们去除了前60次的老化采样结果，使得最终的结果更加准确。</w:t>
      </w: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vertAlign w:val="baseline"/>
          <w:lang w:val="en-US" w:eastAsia="zh-CN"/>
        </w:rPr>
        <w:t>RPG</w:t>
      </w:r>
      <w:r>
        <w:rPr>
          <w:rFonts w:hint="eastAsia" w:ascii="Times New Roman" w:hAnsi="Times New Roman" w:cs="Times New Roman"/>
          <w:i w:val="0"/>
          <w:iCs w:val="0"/>
          <w:color w:val="auto"/>
          <w:kern w:val="2"/>
          <w:sz w:val="21"/>
          <w:szCs w:val="21"/>
          <w:vertAlign w:val="subscript"/>
          <w:lang w:val="en-US" w:eastAsia="zh-CN"/>
        </w:rPr>
        <w:t>6</w:t>
      </w:r>
      <w:r>
        <w:rPr>
          <w:rFonts w:hint="eastAsia" w:cs="Times New Roman"/>
          <w:color w:val="auto"/>
          <w:kern w:val="2"/>
          <w:sz w:val="21"/>
          <w:szCs w:val="21"/>
          <w:lang w:val="en-US" w:eastAsia="zh-CN"/>
        </w:rPr>
        <w:t>具体的算法流程如下,而</w:t>
      </w:r>
      <w:r>
        <w:rPr>
          <w:rFonts w:hint="default" w:ascii="Times New Roman" w:hAnsi="Times New Roman" w:cs="Times New Roman"/>
          <w:i/>
          <w:iCs/>
          <w:color w:val="auto"/>
          <w:kern w:val="2"/>
          <w:sz w:val="21"/>
          <w:szCs w:val="21"/>
          <w:vertAlign w:val="baseline"/>
          <w:lang w:val="en-US" w:eastAsia="zh-CN"/>
        </w:rPr>
        <w:t>RPG</w:t>
      </w:r>
      <w:r>
        <w:rPr>
          <w:rFonts w:hint="eastAsia" w:ascii="Times New Roman" w:hAnsi="Times New Roman" w:cs="Times New Roman"/>
          <w:i w:val="0"/>
          <w:iCs w:val="0"/>
          <w:color w:val="auto"/>
          <w:kern w:val="2"/>
          <w:sz w:val="21"/>
          <w:szCs w:val="21"/>
          <w:vertAlign w:val="subscript"/>
          <w:lang w:val="en-US" w:eastAsia="zh-CN"/>
        </w:rPr>
        <w:t>7</w:t>
      </w:r>
      <w:r>
        <w:rPr>
          <w:rFonts w:hint="eastAsia" w:ascii="Times New Roman" w:hAnsi="Times New Roman" w:cs="Times New Roman"/>
          <w:i w:val="0"/>
          <w:iCs w:val="0"/>
          <w:color w:val="auto"/>
          <w:kern w:val="2"/>
          <w:sz w:val="21"/>
          <w:szCs w:val="21"/>
          <w:vertAlign w:val="baseline"/>
          <w:lang w:val="en-US" w:eastAsia="zh-CN"/>
        </w:rPr>
        <w:t>的算法流程类似</w:t>
      </w:r>
      <w:r>
        <w:rPr>
          <w:rFonts w:hint="eastAsia" w:cs="Times New Roman"/>
          <w:color w:val="auto"/>
          <w:kern w:val="2"/>
          <w:sz w:val="21"/>
          <w:szCs w:val="21"/>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68" w:type="dxa"/>
            <w:tcBorders>
              <w:top w:val="single" w:color="auto" w:sz="4" w:space="0"/>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算法：</w:t>
            </w:r>
            <w:r>
              <w:rPr>
                <w:rFonts w:hint="default" w:ascii="Times New Roman" w:hAnsi="Times New Roman" w:cs="Times New Roman"/>
                <w:i/>
                <w:iCs/>
                <w:color w:val="auto"/>
                <w:kern w:val="2"/>
                <w:sz w:val="21"/>
                <w:szCs w:val="21"/>
                <w:vertAlign w:val="baseline"/>
                <w:lang w:val="en-US" w:eastAsia="zh-CN"/>
              </w:rPr>
              <w:t>RPG</w:t>
            </w:r>
            <w:r>
              <w:rPr>
                <w:rFonts w:hint="eastAsia" w:ascii="Times New Roman" w:hAnsi="Times New Roman" w:cs="Times New Roman"/>
                <w:i w:val="0"/>
                <w:iCs w:val="0"/>
                <w:color w:val="auto"/>
                <w:kern w:val="2"/>
                <w:sz w:val="21"/>
                <w:szCs w:val="21"/>
                <w:vertAlign w:val="subscript"/>
                <w:lang w:val="en-US" w:eastAsia="zh-CN"/>
              </w:rPr>
              <w:t>6</w:t>
            </w:r>
            <w:r>
              <w:rPr>
                <w:rFonts w:hint="eastAsia" w:cs="Times New Roman"/>
                <w:color w:val="auto"/>
                <w:kern w:val="2"/>
                <w:sz w:val="21"/>
                <w:szCs w:val="21"/>
                <w:vertAlign w:val="baseline"/>
                <w:lang w:val="en-US" w:eastAsia="zh-CN"/>
              </w:rPr>
              <w:t>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single" w:color="auto" w:sz="4" w:space="0"/>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输入：</w:t>
            </w:r>
            <w:r>
              <w:rPr>
                <w:rFonts w:hint="default" w:ascii="Times New Roman" w:hAnsi="Times New Roman" w:cs="Times New Roman"/>
                <w:color w:val="auto"/>
                <w:kern w:val="2"/>
                <w:sz w:val="21"/>
                <w:szCs w:val="21"/>
                <w:vertAlign w:val="baseline"/>
                <w:lang w:val="en-US" w:eastAsia="zh-CN"/>
              </w:rPr>
              <w:t>Z,D,</w:t>
            </w:r>
            <w:r>
              <w:rPr>
                <w:rFonts w:hint="eastAsia" w:ascii="Times New Roman" w:hAnsi="Times New Roman" w:cs="Times New Roman"/>
                <w:color w:val="auto"/>
                <w:kern w:val="2"/>
                <w:sz w:val="21"/>
                <w:szCs w:val="21"/>
                <w:vertAlign w:val="baseline"/>
                <w:lang w:val="en-US" w:eastAsia="zh-CN"/>
              </w:rPr>
              <w:t>R</w:t>
            </w:r>
            <w:r>
              <w:rPr>
                <w:rFonts w:hint="default" w:ascii="Times New Roman" w:hAnsi="Times New Roman" w:cs="Times New Roman"/>
                <w:color w:val="auto"/>
                <w:kern w:val="2"/>
                <w:sz w:val="21"/>
                <w:szCs w:val="21"/>
                <w:vertAlign w:val="baseline"/>
                <w:lang w:val="en-US" w:eastAsia="zh-CN"/>
              </w:rPr>
              <w:t>,</w:t>
            </w:r>
            <w:r>
              <w:rPr>
                <w:rFonts w:hint="eastAsia" w:ascii="Times New Roman" w:hAnsi="Times New Roman" w:cs="Times New Roman"/>
                <w:color w:val="auto"/>
                <w:kern w:val="2"/>
                <w:sz w:val="21"/>
                <w:szCs w:val="21"/>
                <w:vertAlign w:val="baseline"/>
                <w:lang w:val="en-US" w:eastAsia="zh-CN"/>
              </w:rPr>
              <w:t>V,T</w:t>
            </w:r>
            <w:r>
              <w:rPr>
                <w:rFonts w:hint="default" w:ascii="Times New Roman" w:hAnsi="Times New Roman" w:cs="Times New Roman"/>
                <w:color w:val="auto"/>
                <w:kern w:val="2"/>
                <w:sz w:val="21"/>
                <w:szCs w:val="21"/>
                <w:vertAlign w:val="baseline"/>
                <w:lang w:val="en-US" w:eastAsia="zh-CN"/>
              </w:rPr>
              <w:t>,B,</w:t>
            </w:r>
            <m:oMath>
              <m:r>
                <m:rPr/>
                <w:rPr>
                  <w:rFonts w:hint="default" w:ascii="Cambria Math" w:hAnsi="Cambria Math" w:cs="Times New Roman"/>
                  <w:color w:val="auto"/>
                  <w:kern w:val="2"/>
                  <w:sz w:val="21"/>
                  <w:szCs w:val="21"/>
                  <w:vertAlign w:val="baseline"/>
                  <w:lang w:val="en-US"/>
                </w:rPr>
                <m:t>α</m:t>
              </m:r>
            </m:oMath>
            <w:r>
              <m:rPr/>
              <w:rPr>
                <w:rFonts w:hint="default" w:ascii="Times New Roman" w:hAnsi="Times New Roman" w:cs="Times New Roman"/>
                <w:i w:val="0"/>
                <w:color w:val="auto"/>
                <w:kern w:val="2"/>
                <w:sz w:val="21"/>
                <w:szCs w:val="21"/>
                <w:vertAlign w:val="baseline"/>
                <w:lang w:val="en-US" w:eastAsia="zh-CN"/>
              </w:rPr>
              <w:t>,</w:t>
            </w:r>
            <m:oMath>
              <m:r>
                <m:rPr/>
                <w:rPr>
                  <w:rFonts w:ascii="Cambria Math" w:hAnsi="Cambria Math" w:cs="Times New Roman"/>
                  <w:color w:val="auto"/>
                  <w:kern w:val="2"/>
                  <w:sz w:val="21"/>
                  <w:szCs w:val="21"/>
                  <w:vertAlign w:val="baseline"/>
                  <w:lang w:val="en-US"/>
                </w:rPr>
                <m:t>β</m:t>
              </m:r>
            </m:oMath>
            <w:r>
              <m:rPr/>
              <w:rPr>
                <w:rFonts w:hint="default" w:ascii="Times New Roman" w:hAnsi="Times New Roman" w:cs="Times New Roman"/>
                <w:i w:val="0"/>
                <w:color w:val="auto"/>
                <w:kern w:val="2"/>
                <w:sz w:val="21"/>
                <w:szCs w:val="21"/>
                <w:vertAlign w:val="baseline"/>
                <w:lang w:val="en-US" w:eastAsia="zh-CN"/>
              </w:rPr>
              <w:t>,</w:t>
            </w:r>
            <m:oMath>
              <m:r>
                <m:rPr/>
                <w:rPr>
                  <w:rFonts w:ascii="Cambria Math" w:hAnsi="Cambria Math" w:cs="Times New Roman"/>
                  <w:color w:val="auto"/>
                  <w:kern w:val="2"/>
                  <w:sz w:val="21"/>
                  <w:szCs w:val="21"/>
                  <w:vertAlign w:val="baseline"/>
                  <w:lang w:val="en-US"/>
                </w:rPr>
                <m:t>γ</m:t>
              </m:r>
            </m:oMath>
            <w:r>
              <m:rPr/>
              <w:rPr>
                <w:rFonts w:hint="default" w:ascii="Times New Roman" w:hAnsi="Times New Roman" w:cs="Times New Roman"/>
                <w:i w:val="0"/>
                <w:color w:val="auto"/>
                <w:kern w:val="2"/>
                <w:sz w:val="21"/>
                <w:szCs w:val="21"/>
                <w:vertAlign w:val="baseline"/>
                <w:lang w:val="en-US" w:eastAsia="zh-CN"/>
              </w:rPr>
              <w:t>,</w:t>
            </w:r>
            <m:oMath>
              <m:r>
                <m:rPr/>
                <w:rPr>
                  <w:rFonts w:ascii="Cambria Math" w:hAnsi="Cambria Math" w:cs="Times New Roman"/>
                  <w:color w:val="auto"/>
                  <w:kern w:val="2"/>
                  <w:sz w:val="21"/>
                  <w:szCs w:val="21"/>
                  <w:lang w:val="en-US"/>
                </w:rPr>
                <m:t>η</m:t>
              </m:r>
            </m:oMath>
            <w:r>
              <w:rPr>
                <w:rFonts w:hint="default" w:ascii="Times New Roman" w:hAnsi="Times New Roman" w:cs="Times New Roman"/>
                <w:i w:val="0"/>
                <w:color w:val="auto"/>
                <w:kern w:val="2"/>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输出：(</w:t>
            </w:r>
            <m:oMath>
              <m:sSub>
                <m:sSubPr>
                  <m:ctrlPr>
                    <w:rPr>
                      <w:rFonts w:ascii="Cambria Math" w:hAnsi="Cambria Math" w:cs="Times New Roman"/>
                      <w:i/>
                      <w:color w:val="auto"/>
                      <w:kern w:val="2"/>
                      <w:sz w:val="21"/>
                      <w:szCs w:val="21"/>
                      <w:vertAlign w:val="baseline"/>
                      <w:lang w:val="en-US"/>
                    </w:rPr>
                  </m:ctrlPr>
                </m:sSubPr>
                <m:e>
                  <m:r>
                    <m:rPr/>
                    <w:rPr>
                      <w:rFonts w:hint="default" w:ascii="Cambria Math" w:hAnsi="Cambria Math" w:cs="Times New Roman"/>
                      <w:color w:val="auto"/>
                      <w:kern w:val="2"/>
                      <w:sz w:val="21"/>
                      <w:szCs w:val="21"/>
                      <w:vertAlign w:val="baseline"/>
                      <w:lang w:val="en-US" w:eastAsia="zh-CN"/>
                    </w:rPr>
                    <m:t>s</m:t>
                  </m:r>
                  <m:ctrlPr>
                    <w:rPr>
                      <w:rFonts w:ascii="Cambria Math" w:hAnsi="Cambria Math" w:cs="Times New Roman"/>
                      <w:i/>
                      <w:color w:val="auto"/>
                      <w:kern w:val="2"/>
                      <w:sz w:val="21"/>
                      <w:szCs w:val="21"/>
                      <w:vertAlign w:val="baseline"/>
                      <w:lang w:val="en-US"/>
                    </w:rPr>
                  </m:ctrlPr>
                </m:e>
                <m:sub>
                  <m:r>
                    <m:rPr/>
                    <w:rPr>
                      <w:rFonts w:hint="default" w:ascii="Cambria Math" w:hAnsi="Cambria Math" w:cs="Times New Roman"/>
                      <w:color w:val="auto"/>
                      <w:kern w:val="2"/>
                      <w:sz w:val="21"/>
                      <w:szCs w:val="21"/>
                      <w:vertAlign w:val="baseline"/>
                      <w:lang w:val="en-US" w:eastAsia="zh-CN"/>
                    </w:rPr>
                    <m:t>i</m:t>
                  </m:r>
                  <m:ctrlPr>
                    <w:rPr>
                      <w:rFonts w:ascii="Cambria Math" w:hAnsi="Cambria Math" w:cs="Times New Roman"/>
                      <w:i/>
                      <w:color w:val="auto"/>
                      <w:kern w:val="2"/>
                      <w:sz w:val="21"/>
                      <w:szCs w:val="21"/>
                      <w:vertAlign w:val="baseline"/>
                      <w:lang w:val="en-US"/>
                    </w:rPr>
                  </m:ctrlPr>
                </m:sub>
              </m:sSub>
              <m:r>
                <m:rPr/>
                <w:rPr>
                  <w:rFonts w:hint="default" w:ascii="Cambria Math" w:hAnsi="Cambria Math" w:cs="Times New Roman"/>
                  <w:color w:val="auto"/>
                  <w:kern w:val="2"/>
                  <w:sz w:val="21"/>
                  <w:szCs w:val="21"/>
                  <w:vertAlign w:val="baseline"/>
                  <w:lang w:val="en-US" w:eastAsia="zh-CN"/>
                </w:rPr>
                <m:t>,</m:t>
              </m:r>
              <m:sSub>
                <m:sSubPr>
                  <m:ctrlPr>
                    <m:rPr/>
                    <w:rPr>
                      <w:rFonts w:hint="default" w:ascii="Cambria Math" w:hAns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vertAlign w:val="baseline"/>
                      <w:lang w:val="en-US"/>
                    </w:rPr>
                    <m:t>τ</m:t>
                  </m:r>
                  <m:ctrlPr>
                    <m:r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m:rPr/>
                    <w:rPr>
                      <w:rFonts w:hint="default" w:ascii="Cambria Math" w:hAnsi="Cambria Math" w:cs="Times New Roman"/>
                      <w:i/>
                      <w:color w:val="auto"/>
                      <w:kern w:val="2"/>
                      <w:sz w:val="21"/>
                      <w:szCs w:val="21"/>
                      <w:vertAlign w:val="baseline"/>
                      <w:lang w:val="en-US" w:eastAsia="zh-CN"/>
                    </w:rPr>
                  </m:ctrlPr>
                </m:sub>
              </m:sSub>
              <m:r>
                <m:rPr/>
                <w:rPr>
                  <w:rFonts w:hint="default" w:ascii="Cambria Math" w:hAnsi="Cambria Math" w:cs="Times New Roman"/>
                  <w:color w:val="auto"/>
                  <w:kern w:val="2"/>
                  <w:sz w:val="21"/>
                  <w:szCs w:val="21"/>
                  <w:vertAlign w:val="baseline"/>
                  <w:lang w:val="en-US" w:eastAsia="zh-CN"/>
                </w:rPr>
                <m:t>,</m:t>
              </m:r>
              <m:sSub>
                <m:sSubPr>
                  <m:ctrlPr>
                    <m:r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vertAlign w:val="baseline"/>
                      <w:lang w:val="en-US" w:eastAsia="zh-CN"/>
                    </w:rPr>
                    <m:t>b</m:t>
                  </m:r>
                  <m:ctrlPr>
                    <m:r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m:rPr/>
                    <w:rPr>
                      <w:rFonts w:hint="default" w:ascii="Cambria Math" w:hAnsi="Cambria Math" w:cs="Times New Roman"/>
                      <w:i/>
                      <w:color w:val="auto"/>
                      <w:kern w:val="2"/>
                      <w:sz w:val="21"/>
                      <w:szCs w:val="21"/>
                      <w:vertAlign w:val="baseline"/>
                      <w:lang w:val="en-US" w:eastAsia="zh-CN"/>
                    </w:rPr>
                  </m:ctrlPr>
                </m:sub>
              </m:sSub>
            </m:oMath>
            <w:r>
              <w:rPr>
                <w:rFonts w:hint="eastAsia" w:cs="Times New Roman"/>
                <w:color w:val="auto"/>
                <w:kern w:val="2"/>
                <w:sz w:val="21"/>
                <w:szCs w:val="21"/>
                <w:vertAlign w:val="baseline"/>
                <w:lang w:val="en-US" w:eastAsia="zh-CN"/>
              </w:rPr>
              <w:t xml:space="preserve">) for all </w:t>
            </w:r>
            <m:oMath>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U,v</m:t>
              </m:r>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V</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vertAlign w:val="baseline"/>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b/>
                <w:bCs/>
                <w:color w:val="auto"/>
                <w:kern w:val="2"/>
                <w:sz w:val="21"/>
                <w:szCs w:val="21"/>
                <w:vertAlign w:val="baseline"/>
                <w:lang w:val="en-US" w:eastAsia="zh-CN"/>
              </w:rPr>
              <w:t>for</w:t>
            </w:r>
            <w:r>
              <w:rPr>
                <w:rFonts w:hint="eastAsia" w:cs="Times New Roman"/>
                <w:color w:val="auto"/>
                <w:kern w:val="2"/>
                <w:sz w:val="21"/>
                <w:szCs w:val="21"/>
                <w:vertAlign w:val="baseline"/>
                <w:lang w:val="en-US" w:eastAsia="zh-CN"/>
              </w:rPr>
              <w:t xml:space="preserve"> </w:t>
            </w:r>
            <m:oMath>
              <m:r>
                <m:rPr/>
                <w:rPr>
                  <w:rFonts w:hint="default" w:ascii="Cambria Math" w:hAnsi="Cambria Math" w:cs="Times New Roman"/>
                  <w:color w:val="auto"/>
                  <w:kern w:val="2"/>
                  <w:sz w:val="21"/>
                  <w:szCs w:val="21"/>
                  <w:vertAlign w:val="baseline"/>
                  <w:lang w:val="en-US" w:eastAsia="zh-CN" w:bidi="ar-SA"/>
                </w:rPr>
                <m:t>t</m:t>
              </m:r>
              <m:r>
                <m:rPr>
                  <m:sty m:val="p"/>
                </m:rPr>
                <w:rPr>
                  <w:rFonts w:hint="default" w:ascii="Cambria Math" w:hAnsi="Cambria Math" w:cs="Times New Roman"/>
                  <w:color w:val="auto"/>
                  <w:kern w:val="2"/>
                  <w:sz w:val="21"/>
                  <w:szCs w:val="21"/>
                  <w:vertAlign w:val="baseline"/>
                  <w:lang w:val="en-US" w:eastAsia="zh-CN" w:bidi="ar-SA"/>
                </w:rPr>
                <m:t>=1</m:t>
              </m:r>
              <m:r>
                <m:rPr>
                  <m:sty m:val="p"/>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T</m:t>
              </m:r>
            </m:oMath>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for</w:t>
            </w:r>
            <w:r>
              <w:rPr>
                <w:rFonts w:hint="eastAsia" w:cs="Times New Roman"/>
                <w:color w:val="auto"/>
                <w:kern w:val="2"/>
                <w:sz w:val="21"/>
                <w:szCs w:val="21"/>
                <w:vertAlign w:val="baseline"/>
                <w:lang w:val="en-US" w:eastAsia="zh-CN"/>
              </w:rPr>
              <w:t xml:space="preserve"> each </w:t>
            </w:r>
            <m:oMath>
              <m:r>
                <m:rPr/>
                <w:rPr>
                  <w:rFonts w:hint="default" w:ascii="Cambria Math" w:hAnsi="Cambria Math" w:cs="Times New Roman"/>
                  <w:color w:val="auto"/>
                  <w:kern w:val="2"/>
                  <w:sz w:val="21"/>
                  <w:szCs w:val="21"/>
                  <w:vertAlign w:val="baseline"/>
                  <w:lang w:val="en-US" w:eastAsia="zh-CN" w:bidi="ar-SA"/>
                </w:rPr>
                <m:t>s</m:t>
              </m:r>
            </m:oMath>
            <w:r>
              <w:rPr>
                <w:rFonts w:hint="eastAsia" w:cs="Times New Roman"/>
                <w:color w:val="auto"/>
                <w:kern w:val="2"/>
                <w:sz w:val="21"/>
                <w:szCs w:val="21"/>
                <w:vertAlign w:val="baseline"/>
                <w:lang w:val="en-US" w:eastAsia="zh-CN"/>
              </w:rPr>
              <w:t xml:space="preserve"> with </w:t>
            </w:r>
            <m:oMath>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U</m:t>
              </m:r>
            </m:oMath>
            <w:r>
              <m:rPr/>
              <w:rPr>
                <w:rFonts w:hint="eastAsia" w:hAnsi="Cambria Math" w:cs="Times New Roman"/>
                <w:i w:val="0"/>
                <w:color w:val="auto"/>
                <w:kern w:val="2"/>
                <w:sz w:val="21"/>
                <w:szCs w:val="21"/>
                <w:vertAlign w:val="baseline"/>
                <w:lang w:val="en-US" w:eastAsia="zh-CN"/>
              </w:rPr>
              <w:t xml:space="preserve"> </w:t>
            </w:r>
            <w:r>
              <m:rPr/>
              <w:rPr>
                <w:rFonts w:hint="eastAsia" w:hAnsi="Cambria Math" w:cs="Times New Roman"/>
                <w:b/>
                <w:bCs/>
                <w:i w:val="0"/>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ind w:leftChars="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Sample </w:t>
            </w:r>
            <m:oMath>
              <m:r>
                <m:rPr/>
                <w:rPr>
                  <w:rFonts w:hint="default" w:ascii="Cambria Math" w:hAnsi="Cambria Math" w:cs="Times New Roman"/>
                  <w:color w:val="auto"/>
                  <w:kern w:val="2"/>
                  <w:sz w:val="21"/>
                  <w:szCs w:val="21"/>
                  <w:vertAlign w:val="baseline"/>
                  <w:lang w:val="en-US" w:eastAsia="zh-CN" w:bidi="ar-SA"/>
                </w:rPr>
                <m:t>s</m:t>
              </m:r>
            </m:oMath>
            <w:r>
              <w:rPr>
                <w:rFonts w:hint="eastAsia" w:cs="Times New Roman"/>
                <w:color w:val="auto"/>
                <w:kern w:val="2"/>
                <w:sz w:val="21"/>
                <w:szCs w:val="21"/>
                <w:vertAlign w:val="baseline"/>
                <w:lang w:val="en-US" w:eastAsia="zh-CN"/>
              </w:rPr>
              <w:t xml:space="preserve"> according to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ind w:leftChars="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m:oMath>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s</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bidi="ar-SA"/>
                </w:rPr>
                <m:t>s</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for</w:t>
            </w:r>
            <w:r>
              <w:rPr>
                <w:rFonts w:hint="eastAsia" w:cs="Times New Roman"/>
                <w:color w:val="auto"/>
                <w:kern w:val="2"/>
                <w:sz w:val="21"/>
                <w:szCs w:val="21"/>
                <w:vertAlign w:val="baseline"/>
                <w:lang w:val="en-US" w:eastAsia="zh-CN"/>
              </w:rPr>
              <w:t xml:space="preserve"> each </w:t>
            </w:r>
            <m:oMath>
              <m:r>
                <m:rPr/>
                <w:rPr>
                  <w:rFonts w:ascii="Cambria Math" w:hAnsi="Cambria Math" w:cs="Times New Roman"/>
                  <w:color w:val="auto"/>
                  <w:kern w:val="2"/>
                  <w:sz w:val="21"/>
                  <w:szCs w:val="21"/>
                  <w:lang w:val="en-US"/>
                </w:rPr>
                <m:t>τ</m:t>
              </m:r>
            </m:oMath>
            <w:r>
              <m:rPr/>
              <w:rPr>
                <w:rFonts w:hint="eastAsia" w:hAnsi="Cambria Math" w:cs="Times New Roman"/>
                <w:i w:val="0"/>
                <w:color w:val="auto"/>
                <w:kern w:val="2"/>
                <w:sz w:val="21"/>
                <w:szCs w:val="21"/>
                <w:lang w:val="en-US" w:eastAsia="zh-CN"/>
              </w:rPr>
              <w:t xml:space="preserve"> with </w:t>
            </w:r>
            <m:oMath>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r>
              <m:rPr/>
              <w:rPr>
                <w:rFonts w:hint="eastAsia" w:hAnsi="Cambria Math" w:cs="Times New Roman"/>
                <w:i w:val="0"/>
                <w:color w:val="auto"/>
                <w:kern w:val="2"/>
                <w:sz w:val="21"/>
                <w:szCs w:val="21"/>
                <w:vertAlign w:val="baseline"/>
                <w:lang w:val="en-US" w:eastAsia="zh-CN"/>
              </w:rPr>
              <w:t xml:space="preserve"> </w:t>
            </w:r>
            <w:r>
              <m:rPr/>
              <w:rPr>
                <w:rFonts w:hint="eastAsia" w:hAnsi="Cambria Math" w:cs="Times New Roman"/>
                <w:b/>
                <w:bCs/>
                <w:i w:val="0"/>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Sample </w:t>
            </w:r>
            <m:oMath>
              <m:r>
                <m:rPr/>
                <w:rPr>
                  <w:rFonts w:ascii="Cambria Math" w:hAnsi="Cambria Math" w:cs="Times New Roman"/>
                  <w:color w:val="auto"/>
                  <w:kern w:val="2"/>
                  <w:sz w:val="21"/>
                  <w:szCs w:val="21"/>
                  <w:lang w:val="en-US"/>
                </w:rPr>
                <m:t>τ</m:t>
              </m:r>
            </m:oMath>
            <w:r>
              <w:rPr>
                <w:rFonts w:hint="eastAsia" w:cs="Times New Roman"/>
                <w:color w:val="auto"/>
                <w:kern w:val="2"/>
                <w:sz w:val="21"/>
                <w:szCs w:val="21"/>
                <w:vertAlign w:val="baseline"/>
                <w:lang w:val="en-US" w:eastAsia="zh-CN"/>
              </w:rPr>
              <w:t xml:space="preserve"> according to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m:oMath>
              <m:sSub>
                <m:sSubPr>
                  <m:ctrlPr>
                    <w:rPr>
                      <w:rFonts w:hint="eastAsia" w:asci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ascii="Cambria Math" w:hAnsi="Cambria Math" w:cs="Times New Roman"/>
                  <w:color w:val="auto"/>
                  <w:kern w:val="2"/>
                  <w:sz w:val="21"/>
                  <w:szCs w:val="21"/>
                  <w:lang w:val="en-US"/>
                </w:rPr>
                <m:t>τ</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vAlign w:val="top"/>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Times New Roman"/>
                <w:color w:val="auto"/>
                <w:kern w:val="2"/>
                <w:sz w:val="21"/>
                <w:szCs w:val="21"/>
                <w:vertAlign w:val="baseline"/>
                <w:lang w:val="en-US" w:eastAsia="zh-CN" w:bidi="ar-SA"/>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for</w:t>
            </w:r>
            <w:r>
              <w:rPr>
                <w:rFonts w:hint="eastAsia" w:cs="Times New Roman"/>
                <w:color w:val="auto"/>
                <w:kern w:val="2"/>
                <w:sz w:val="21"/>
                <w:szCs w:val="21"/>
                <w:vertAlign w:val="baseline"/>
                <w:lang w:val="en-US" w:eastAsia="zh-CN"/>
              </w:rPr>
              <w:t xml:space="preserve"> each </w:t>
            </w:r>
            <m:oMath>
              <m:r>
                <m:rPr/>
                <w:rPr>
                  <w:rFonts w:hint="default" w:ascii="Cambria Math" w:hAnsi="Cambria Math" w:cs="Times New Roman"/>
                  <w:color w:val="auto"/>
                  <w:kern w:val="2"/>
                  <w:sz w:val="21"/>
                  <w:szCs w:val="21"/>
                  <w:vertAlign w:val="baseline"/>
                  <w:lang w:val="en-US" w:eastAsia="zh-CN" w:bidi="ar-SA"/>
                </w:rPr>
                <m:t>b</m:t>
              </m:r>
            </m:oMath>
            <w:r>
              <w:rPr>
                <w:rFonts w:hint="eastAsia" w:cs="Times New Roman"/>
                <w:color w:val="auto"/>
                <w:kern w:val="2"/>
                <w:sz w:val="21"/>
                <w:szCs w:val="21"/>
                <w:vertAlign w:val="baseline"/>
                <w:lang w:val="en-US" w:eastAsia="zh-CN"/>
              </w:rPr>
              <w:t xml:space="preserve"> with </w:t>
            </w:r>
            <m:oMath>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r>
              <w:rPr>
                <w:rFonts w:hint="eastAsia" w:hAnsi="Cambria Math" w:cs="Times New Roman"/>
                <w:i w:val="0"/>
                <w:color w:val="auto"/>
                <w:kern w:val="2"/>
                <w:sz w:val="21"/>
                <w:szCs w:val="21"/>
                <w:vertAlign w:val="baseline"/>
                <w:lang w:val="en-US" w:eastAsia="zh-CN"/>
              </w:rPr>
              <w:t xml:space="preserve"> </w:t>
            </w:r>
            <w:r>
              <w:rPr>
                <w:rFonts w:hint="eastAsia" w:hAnsi="Cambria Math" w:cs="Times New Roman"/>
                <w:b/>
                <w:bCs/>
                <w:i w:val="0"/>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vAlign w:val="top"/>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default" w:ascii="宋体" w:hAnsi="宋体" w:eastAsia="宋体" w:cs="Times New Roman"/>
                <w:color w:val="auto"/>
                <w:kern w:val="2"/>
                <w:sz w:val="21"/>
                <w:szCs w:val="21"/>
                <w:vertAlign w:val="baseline"/>
                <w:lang w:val="en-US" w:eastAsia="zh-CN" w:bidi="ar-SA"/>
              </w:rPr>
            </w:pPr>
            <w:r>
              <w:rPr>
                <w:rFonts w:hint="eastAsia" w:cs="Times New Roman"/>
                <w:color w:val="auto"/>
                <w:kern w:val="2"/>
                <w:sz w:val="21"/>
                <w:szCs w:val="21"/>
                <w:vertAlign w:val="baseline"/>
                <w:lang w:val="en-US" w:eastAsia="zh-CN"/>
              </w:rPr>
              <w:t xml:space="preserve">    Sample </w:t>
            </w:r>
            <m:oMath>
              <m:r>
                <m:rPr/>
                <w:rPr>
                  <w:rFonts w:hint="default" w:ascii="Cambria Math" w:hAnsi="Cambria Math" w:cs="Times New Roman"/>
                  <w:color w:val="auto"/>
                  <w:kern w:val="2"/>
                  <w:sz w:val="21"/>
                  <w:szCs w:val="21"/>
                  <w:vertAlign w:val="baseline"/>
                  <w:lang w:val="en-US" w:eastAsia="zh-CN" w:bidi="ar-SA"/>
                </w:rPr>
                <m:t>b</m:t>
              </m:r>
            </m:oMath>
            <w:r>
              <w:rPr>
                <w:rFonts w:hint="eastAsia" w:cs="Times New Roman"/>
                <w:color w:val="auto"/>
                <w:kern w:val="2"/>
                <w:sz w:val="21"/>
                <w:szCs w:val="21"/>
                <w:vertAlign w:val="baseline"/>
                <w:lang w:val="en-US" w:eastAsia="zh-CN"/>
              </w:rPr>
              <w:t xml:space="preserve"> according to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vAlign w:val="top"/>
          </w:tcPr>
          <w:p>
            <w:pPr>
              <w:pStyle w:val="2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Times New Roman"/>
                <w:color w:val="auto"/>
                <w:kern w:val="2"/>
                <w:sz w:val="21"/>
                <w:szCs w:val="21"/>
                <w:vertAlign w:val="baseline"/>
                <w:lang w:val="en-US" w:eastAsia="zh-CN" w:bidi="ar-SA"/>
              </w:rPr>
            </w:pPr>
            <w:r>
              <w:rPr>
                <w:rFonts w:hint="eastAsia" w:cs="Times New Roman"/>
                <w:color w:val="auto"/>
                <w:kern w:val="2"/>
                <w:sz w:val="21"/>
                <w:szCs w:val="21"/>
                <w:vertAlign w:val="baseline"/>
                <w:lang w:val="en-US" w:eastAsia="zh-CN"/>
              </w:rPr>
              <w:t xml:space="preserve">    </w:t>
            </w:r>
            <m:oMath>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b</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bidi="ar-SA"/>
                </w:rPr>
                <m:t>b</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vAlign w:val="top"/>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Times New Roman"/>
                <w:color w:val="auto"/>
                <w:kern w:val="2"/>
                <w:sz w:val="21"/>
                <w:szCs w:val="21"/>
                <w:vertAlign w:val="baseline"/>
                <w:lang w:val="en-US" w:eastAsia="zh-CN" w:bidi="ar-SA"/>
              </w:rPr>
            </w:pPr>
            <w:r>
              <w:rPr>
                <w:rFonts w:hint="eastAsia" w:cs="Times New Roman"/>
                <w:color w:val="auto"/>
                <w:kern w:val="2"/>
                <w:sz w:val="21"/>
                <w:szCs w:val="21"/>
                <w:vertAlign w:val="baseline"/>
                <w:lang w:val="en-US" w:eastAsia="zh-CN"/>
              </w:rPr>
              <w:t xml:space="preserve">  </w:t>
            </w:r>
            <w:r>
              <w:rPr>
                <w:rFonts w:hint="eastAsia" w:cs="Times New Roman"/>
                <w:b/>
                <w:bCs/>
                <w:color w:val="auto"/>
                <w:kern w:val="2"/>
                <w:sz w:val="21"/>
                <w:szCs w:val="21"/>
                <w:vertAlign w:val="baseline"/>
                <w:lang w:val="en-US" w:eastAsia="zh-CN"/>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m:rPr/>
              <w:rPr>
                <w:rFonts w:hint="default" w:hAnsi="Cambria Math" w:cs="Times New Roman"/>
                <w:i w:val="0"/>
                <w:color w:val="auto"/>
                <w:kern w:val="2"/>
                <w:sz w:val="21"/>
                <w:szCs w:val="21"/>
                <w:vertAlign w:val="baseline"/>
                <w:lang w:val="en-US" w:eastAsia="zh-CN"/>
              </w:rPr>
            </w:pPr>
            <w:r>
              <w:rPr>
                <w:rFonts w:hint="eastAsia" w:cs="Times New Roman"/>
                <w:color w:val="auto"/>
                <w:kern w:val="2"/>
                <w:sz w:val="21"/>
                <w:szCs w:val="21"/>
                <w:vertAlign w:val="baseline"/>
                <w:lang w:val="en-US" w:eastAsia="zh-CN"/>
              </w:rPr>
              <w:t xml:space="preserve">  </w:t>
            </w:r>
            <m:oMath>
              <m:sSup>
                <m:sSupPr>
                  <m:ctrlPr>
                    <w:rPr>
                      <w:rFonts w:ascii="Cambria Math" w:hAnsi="Cambria Math" w:cs="Times New Roman"/>
                      <w:i/>
                      <w:color w:val="auto"/>
                      <w:kern w:val="2"/>
                      <w:sz w:val="21"/>
                      <w:szCs w:val="21"/>
                      <w:vertAlign w:val="baseline"/>
                      <w:lang w:val="en-US"/>
                    </w:rPr>
                  </m:ctrlPr>
                </m:sSupPr>
                <m:e>
                  <m:r>
                    <m:rPr/>
                    <w:rPr>
                      <w:rFonts w:ascii="Cambria Math" w:hAnsi="Cambria Math" w:cs="Times New Roman"/>
                      <w:color w:val="auto"/>
                      <w:kern w:val="2"/>
                      <w:sz w:val="21"/>
                      <w:szCs w:val="21"/>
                      <w:vertAlign w:val="baseline"/>
                      <w:lang w:val="en-US"/>
                    </w:rPr>
                    <m:t>ξ</m:t>
                  </m:r>
                  <m:ctrlPr>
                    <w:rPr>
                      <w:rFonts w:ascii="Cambria Math" w:hAnsi="Cambria Math" w:cs="Times New Roman"/>
                      <w:i/>
                      <w:color w:val="auto"/>
                      <w:kern w:val="2"/>
                      <w:sz w:val="21"/>
                      <w:szCs w:val="21"/>
                      <w:vertAlign w:val="baseline"/>
                      <w:lang w:val="en-US"/>
                    </w:rPr>
                  </m:ctrlPr>
                </m:e>
                <m:sup>
                  <m:r>
                    <m:rPr/>
                    <w:rPr>
                      <w:rFonts w:hint="default" w:ascii="Cambria Math" w:hAnsi="Cambria Math" w:cs="Times New Roman"/>
                      <w:color w:val="auto"/>
                      <w:kern w:val="2"/>
                      <w:sz w:val="21"/>
                      <w:szCs w:val="21"/>
                      <w:vertAlign w:val="baseline"/>
                      <w:lang w:val="en-US" w:eastAsia="zh-CN"/>
                    </w:rPr>
                    <m:t>t</m:t>
                  </m:r>
                  <m:ctrlPr>
                    <w:rPr>
                      <w:rFonts w:ascii="Cambria Math" w:hAnsi="Cambria Math" w:cs="Times New Roman"/>
                      <w:i/>
                      <w:color w:val="auto"/>
                      <w:kern w:val="2"/>
                      <w:sz w:val="21"/>
                      <w:szCs w:val="21"/>
                      <w:vertAlign w:val="baseline"/>
                      <w:lang w:val="en-US"/>
                    </w:rPr>
                  </m:ctrlPr>
                </m:sup>
              </m:sSup>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s</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m:t>
              </m:r>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b</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cs="Times New Roman"/>
                <w:color w:val="auto"/>
                <w:kern w:val="2"/>
                <w:sz w:val="21"/>
                <w:szCs w:val="21"/>
                <w:vertAlign w:val="baseline"/>
                <w:lang w:val="en-US" w:eastAsia="zh-CN"/>
              </w:rPr>
            </w:pPr>
            <w:r>
              <w:rPr>
                <w:rFonts w:hint="eastAsia" w:cs="Times New Roman"/>
                <w:b/>
                <w:bCs/>
                <w:color w:val="auto"/>
                <w:kern w:val="2"/>
                <w:sz w:val="21"/>
                <w:szCs w:val="21"/>
                <w:vertAlign w:val="baseline"/>
                <w:lang w:val="en-US" w:eastAsia="zh-CN"/>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nil"/>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s</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m:t>
                </m:r>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b</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f>
                  <m:fPr>
                    <m:ctrlPr>
                      <m:rPr/>
                      <w:rPr>
                        <w:rFonts w:ascii="Cambria Math" w:hAnsi="Cambria Math" w:cs="Times New Roman"/>
                        <w:i/>
                        <w:color w:val="auto"/>
                        <w:kern w:val="2"/>
                        <w:sz w:val="21"/>
                        <w:szCs w:val="21"/>
                        <w:vertAlign w:val="baseline"/>
                        <w:lang w:val="en-US"/>
                      </w:rPr>
                    </m:ctrlPr>
                  </m:fPr>
                  <m:num>
                    <m:r>
                      <m:rPr/>
                      <w:rPr>
                        <w:rFonts w:hint="default" w:ascii="Cambria Math" w:hAnsi="Cambria Math" w:cs="Times New Roman"/>
                        <w:color w:val="auto"/>
                        <w:kern w:val="2"/>
                        <w:sz w:val="21"/>
                        <w:szCs w:val="21"/>
                        <w:vertAlign w:val="baseline"/>
                        <w:lang w:val="en-US" w:eastAsia="zh-CN"/>
                      </w:rPr>
                      <m:t>1</m:t>
                    </m:r>
                    <m:ctrlPr>
                      <m:rPr/>
                      <w:rPr>
                        <w:rFonts w:ascii="Cambria Math" w:hAnsi="Cambria Math" w:cs="Times New Roman"/>
                        <w:i/>
                        <w:color w:val="auto"/>
                        <w:kern w:val="2"/>
                        <w:sz w:val="21"/>
                        <w:szCs w:val="21"/>
                        <w:vertAlign w:val="baseline"/>
                        <w:lang w:val="en-US"/>
                      </w:rPr>
                    </m:ctrlPr>
                  </m:num>
                  <m:den>
                    <m:r>
                      <m:rPr/>
                      <w:rPr>
                        <w:rFonts w:hint="default" w:ascii="Cambria Math" w:hAnsi="Cambria Math" w:cs="Times New Roman"/>
                        <w:color w:val="auto"/>
                        <w:kern w:val="2"/>
                        <w:sz w:val="21"/>
                        <w:szCs w:val="21"/>
                        <w:vertAlign w:val="baseline"/>
                        <w:lang w:val="en-US" w:eastAsia="zh-CN"/>
                      </w:rPr>
                      <m:t>T−B</m:t>
                    </m:r>
                    <m:ctrlPr>
                      <m:rPr/>
                      <w:rPr>
                        <w:rFonts w:ascii="Cambria Math" w:hAnsi="Cambria Math" w:cs="Times New Roman"/>
                        <w:i/>
                        <w:color w:val="auto"/>
                        <w:kern w:val="2"/>
                        <w:sz w:val="21"/>
                        <w:szCs w:val="21"/>
                        <w:vertAlign w:val="baseline"/>
                        <w:lang w:val="en-US"/>
                      </w:rPr>
                    </m:ctrlPr>
                  </m:den>
                </m:f>
                <m:nary>
                  <m:naryPr>
                    <m:chr m:val="∑"/>
                    <m:limLoc m:val="subSup"/>
                    <m:ctrlPr>
                      <m:rPr/>
                      <w:rPr>
                        <w:rFonts w:ascii="Cambria Math" w:hAnsi="Cambria Math" w:cs="Times New Roman"/>
                        <w:i/>
                        <w:color w:val="auto"/>
                        <w:kern w:val="2"/>
                        <w:sz w:val="21"/>
                        <w:szCs w:val="21"/>
                        <w:vertAlign w:val="baseline"/>
                        <w:lang w:val="en-US"/>
                      </w:rPr>
                    </m:ctrlPr>
                  </m:naryPr>
                  <m:sub>
                    <m:r>
                      <m:rPr/>
                      <w:rPr>
                        <w:rFonts w:hint="default" w:ascii="Cambria Math" w:hAnsi="Cambria Math" w:cs="Times New Roman"/>
                        <w:color w:val="auto"/>
                        <w:kern w:val="2"/>
                        <w:sz w:val="21"/>
                        <w:szCs w:val="21"/>
                        <w:vertAlign w:val="baseline"/>
                        <w:lang w:val="en-US" w:eastAsia="zh-CN"/>
                      </w:rPr>
                      <m:t>t=B+1</m:t>
                    </m:r>
                    <m:ctrlPr>
                      <m:rPr/>
                      <w:rPr>
                        <w:rFonts w:ascii="Cambria Math" w:hAnsi="Cambria Math" w:cs="Times New Roman"/>
                        <w:i/>
                        <w:color w:val="auto"/>
                        <w:kern w:val="2"/>
                        <w:sz w:val="21"/>
                        <w:szCs w:val="21"/>
                        <w:vertAlign w:val="baseline"/>
                        <w:lang w:val="en-US"/>
                      </w:rPr>
                    </m:ctrlPr>
                  </m:sub>
                  <m:sup>
                    <m:r>
                      <m:rPr/>
                      <w:rPr>
                        <w:rFonts w:hint="default" w:ascii="Cambria Math" w:hAnsi="Cambria Math" w:cs="Times New Roman"/>
                        <w:color w:val="auto"/>
                        <w:kern w:val="2"/>
                        <w:sz w:val="21"/>
                        <w:szCs w:val="21"/>
                        <w:vertAlign w:val="baseline"/>
                        <w:lang w:val="en-US" w:eastAsia="zh-CN"/>
                      </w:rPr>
                      <m:t>T</m:t>
                    </m:r>
                    <m:ctrlPr>
                      <m:rPr/>
                      <w:rPr>
                        <w:rFonts w:ascii="Cambria Math" w:hAnsi="Cambria Math" w:cs="Times New Roman"/>
                        <w:i/>
                        <w:color w:val="auto"/>
                        <w:kern w:val="2"/>
                        <w:sz w:val="21"/>
                        <w:szCs w:val="21"/>
                        <w:vertAlign w:val="baseline"/>
                        <w:lang w:val="en-US"/>
                      </w:rPr>
                    </m:ctrlPr>
                  </m:sup>
                  <m:e>
                    <m:sSup>
                      <m:sSupPr>
                        <m:ctrlPr>
                          <w:rPr>
                            <w:rFonts w:ascii="Cambria Math" w:hAnsi="Cambria Math" w:cs="Times New Roman"/>
                            <w:i/>
                            <w:color w:val="auto"/>
                            <w:kern w:val="2"/>
                            <w:sz w:val="21"/>
                            <w:szCs w:val="21"/>
                            <w:vertAlign w:val="baseline"/>
                            <w:lang w:val="en-US"/>
                          </w:rPr>
                        </m:ctrlPr>
                      </m:sSupPr>
                      <m:e>
                        <m:r>
                          <m:rPr/>
                          <w:rPr>
                            <w:rFonts w:ascii="Cambria Math" w:hAnsi="Cambria Math" w:cs="Times New Roman"/>
                            <w:color w:val="auto"/>
                            <w:kern w:val="2"/>
                            <w:sz w:val="21"/>
                            <w:szCs w:val="21"/>
                            <w:vertAlign w:val="baseline"/>
                            <w:lang w:val="en-US"/>
                          </w:rPr>
                          <m:t>ξ</m:t>
                        </m:r>
                        <m:ctrlPr>
                          <w:rPr>
                            <w:rFonts w:ascii="Cambria Math" w:hAnsi="Cambria Math" w:cs="Times New Roman"/>
                            <w:i/>
                            <w:color w:val="auto"/>
                            <w:kern w:val="2"/>
                            <w:sz w:val="21"/>
                            <w:szCs w:val="21"/>
                            <w:vertAlign w:val="baseline"/>
                            <w:lang w:val="en-US"/>
                          </w:rPr>
                        </m:ctrlPr>
                      </m:e>
                      <m:sup>
                        <m:r>
                          <m:rPr/>
                          <w:rPr>
                            <w:rFonts w:hint="default" w:ascii="Cambria Math" w:hAnsi="Cambria Math" w:cs="Times New Roman"/>
                            <w:color w:val="auto"/>
                            <w:kern w:val="2"/>
                            <w:sz w:val="21"/>
                            <w:szCs w:val="21"/>
                            <w:vertAlign w:val="baseline"/>
                            <w:lang w:val="en-US" w:eastAsia="zh-CN"/>
                          </w:rPr>
                          <m:t>t</m:t>
                        </m:r>
                        <m:ctrlPr>
                          <w:rPr>
                            <w:rFonts w:ascii="Cambria Math" w:hAnsi="Cambria Math" w:cs="Times New Roman"/>
                            <w:i/>
                            <w:color w:val="auto"/>
                            <w:kern w:val="2"/>
                            <w:sz w:val="21"/>
                            <w:szCs w:val="21"/>
                            <w:vertAlign w:val="baseline"/>
                            <w:lang w:val="en-US"/>
                          </w:rPr>
                        </m:ctrlPr>
                      </m:sup>
                    </m:sSup>
                    <m:ctrlPr>
                      <m:rPr/>
                      <w:rPr>
                        <w:rFonts w:ascii="Cambria Math" w:hAnsi="Cambria Math" w:cs="Times New Roman"/>
                        <w:i/>
                        <w:color w:val="auto"/>
                        <w:kern w:val="2"/>
                        <w:sz w:val="21"/>
                        <w:szCs w:val="21"/>
                        <w:vertAlign w:val="baseline"/>
                        <w:lang w:val="en-US"/>
                      </w:rPr>
                    </m:ctrlPr>
                  </m:e>
                </m:nary>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68" w:type="dxa"/>
            <w:tcBorders>
              <w:top w:val="nil"/>
              <w:left w:val="nil"/>
              <w:bottom w:val="single" w:color="auto" w:sz="4" w:space="0"/>
              <w:right w:val="nil"/>
            </w:tcBorders>
          </w:tcPr>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vertAlign w:val="baseline"/>
                <w:lang w:val="en-US" w:eastAsia="zh-CN"/>
              </w:rPr>
            </w:pPr>
            <w:r>
              <w:rPr>
                <w:rFonts w:hint="eastAsia" w:cs="Times New Roman"/>
                <w:b/>
                <w:bCs/>
                <w:color w:val="auto"/>
                <w:kern w:val="2"/>
                <w:sz w:val="21"/>
                <w:szCs w:val="21"/>
                <w:vertAlign w:val="baseline"/>
                <w:lang w:val="en-US" w:eastAsia="zh-CN"/>
              </w:rPr>
              <w:t xml:space="preserve">return </w:t>
            </w:r>
            <m:oMath>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s</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hint="default" w:ascii="Cambria Math" w:cs="Times New Roman"/>
                      <w:color w:val="auto"/>
                      <w:kern w:val="2"/>
                      <w:sz w:val="21"/>
                      <w:szCs w:val="21"/>
                      <w:vertAlign w:val="baseline"/>
                      <w:lang w:val="en-US" w:eastAsia="zh-CN"/>
                    </w:rPr>
                    <m:t>u</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i</m:t>
                  </m:r>
                  <m:ctrlPr>
                    <w:rPr>
                      <w:rFonts w:hint="eastAsia" w:asci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m:t>
              </m:r>
              <m:r>
                <m:rPr/>
                <w:rPr>
                  <w:rFonts w:hint="default" w:ascii="Cambria Math" w:hAnsi="Cambria Math" w:cs="Times New Roman"/>
                  <w:color w:val="auto"/>
                  <w:kern w:val="2"/>
                  <w:sz w:val="21"/>
                  <w:szCs w:val="21"/>
                  <w:vertAlign w:val="baseline"/>
                  <w:lang w:val="en-US" w:eastAsia="zh-CN"/>
                </w:rPr>
                <m:t>},{</m:t>
              </m:r>
              <m:sSub>
                <m:sSubPr>
                  <m:ctrlPr>
                    <w:rPr>
                      <w:rFonts w:hint="eastAsia" w:asci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sSub>
                <m:sSubPr>
                  <m:ctrlPr>
                    <w:rPr>
                      <w:rFonts w:hint="eastAsia" w:asci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b</m:t>
                  </m:r>
                  <m:ctrlPr>
                    <w:rPr>
                      <w:rFonts w:hint="eastAsia" w:ascii="Cambria Math" w:cs="Times New Roman"/>
                      <w:i/>
                      <w:color w:val="auto"/>
                      <w:kern w:val="2"/>
                      <w:sz w:val="21"/>
                      <w:szCs w:val="21"/>
                      <w:vertAlign w:val="baseline"/>
                      <w:lang w:val="en-US" w:eastAsia="zh-CN"/>
                    </w:rPr>
                  </m:ctrlPr>
                </m:e>
                <m:sub>
                  <m:r>
                    <m:rPr/>
                    <w:rPr>
                      <w:rFonts w:hint="default" w:ascii="Cambria Math" w:cs="Times New Roman"/>
                      <w:color w:val="auto"/>
                      <w:kern w:val="2"/>
                      <w:sz w:val="21"/>
                      <w:szCs w:val="21"/>
                      <w:vertAlign w:val="baseline"/>
                      <w:lang w:val="en-US" w:eastAsia="zh-CN"/>
                    </w:rPr>
                    <m:t>v</m:t>
                  </m:r>
                  <m:ctrlPr>
                    <w:rPr>
                      <w:rFonts w:hint="eastAsia" w:ascii="Cambria Math" w:cs="Times New Roman"/>
                      <w:i/>
                      <w:color w:val="auto"/>
                      <w:kern w:val="2"/>
                      <w:sz w:val="21"/>
                      <w:szCs w:val="21"/>
                      <w:vertAlign w:val="baseline"/>
                      <w:lang w:val="en-US" w:eastAsia="zh-CN"/>
                    </w:rPr>
                  </m:ctrlPr>
                </m:sub>
              </m:sSub>
              <m:r>
                <m:rPr/>
                <w:rPr>
                  <w:rFonts w:hint="default" w:asci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p>
        </w:tc>
      </w:tr>
    </w:tbl>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lang w:val="en-US" w:eastAsia="zh-CN"/>
        </w:r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m:rPr/>
        <w:rPr>
          <w:rFonts w:hint="default" w:hAnsi="Cambria Math" w:cs="Times New Roman"/>
          <w:i w:val="0"/>
          <w:color w:val="auto"/>
          <w:kern w:val="2"/>
          <w:sz w:val="21"/>
          <w:szCs w:val="21"/>
          <w:lang w:val="en-US" w:eastAsia="zh-CN" w:bidi="ar-SA"/>
        </w:rPr>
      </w:pPr>
    </w:p>
    <w:p>
      <w:pPr>
        <w:pStyle w:val="23"/>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eastAsia="宋体"/>
          <w:color w:val="auto"/>
          <w:szCs w:val="21"/>
          <w:lang w:val="en-US" w:eastAsia="zh-CN"/>
        </w:rPr>
      </w:pPr>
      <w:r>
        <w:rPr>
          <w:rFonts w:hint="eastAsia"/>
          <w:color w:val="auto"/>
          <w:szCs w:val="21"/>
          <w:lang w:val="en-US" w:eastAsia="zh-CN"/>
        </w:rPr>
        <w:t>通过收集的真实同行互评数据集，本节对本文中提出的基于评价能力的同行互评模型</w:t>
      </w:r>
      <w:r>
        <w:rPr>
          <w:rFonts w:hint="eastAsia"/>
          <w:i/>
          <w:iCs/>
          <w:color w:val="auto"/>
          <w:szCs w:val="21"/>
          <w:lang w:val="en-US" w:eastAsia="zh-CN"/>
        </w:rPr>
        <w:t>RPG</w:t>
      </w:r>
      <w:r>
        <w:rPr>
          <w:rFonts w:hint="eastAsia"/>
          <w:color w:val="auto"/>
          <w:szCs w:val="21"/>
          <w:vertAlign w:val="subscript"/>
          <w:lang w:val="en-US" w:eastAsia="zh-CN"/>
        </w:rPr>
        <w:t>6</w:t>
      </w:r>
      <w:r>
        <w:rPr>
          <w:rFonts w:hint="eastAsia"/>
          <w:color w:val="auto"/>
          <w:szCs w:val="21"/>
          <w:lang w:val="en-US" w:eastAsia="zh-CN"/>
        </w:rPr>
        <w:t>、</w:t>
      </w:r>
      <w:r>
        <w:rPr>
          <w:rFonts w:hint="eastAsia"/>
          <w:i/>
          <w:iCs/>
          <w:color w:val="auto"/>
          <w:szCs w:val="21"/>
          <w:lang w:val="en-US" w:eastAsia="zh-CN"/>
        </w:rPr>
        <w:t>RPG</w:t>
      </w:r>
      <w:r>
        <w:rPr>
          <w:rFonts w:hint="eastAsia"/>
          <w:color w:val="auto"/>
          <w:szCs w:val="21"/>
          <w:vertAlign w:val="subscript"/>
          <w:lang w:val="en-US" w:eastAsia="zh-CN"/>
        </w:rPr>
        <w:t>7</w:t>
      </w:r>
      <w:r>
        <w:rPr>
          <w:rFonts w:hint="eastAsia"/>
          <w:color w:val="auto"/>
          <w:szCs w:val="21"/>
          <w:lang w:val="en-US" w:eastAsia="zh-CN"/>
        </w:rPr>
        <w:t>和相关的同行互评技术进行了实验比较。</w:t>
      </w:r>
      <w:r>
        <w:rPr>
          <w:rFonts w:hint="eastAsia" w:ascii="黑体" w:hAnsi="宋体" w:eastAsia="黑体" w:cs="黑体"/>
          <w:color w:val="000000"/>
          <w:kern w:val="0"/>
          <w:sz w:val="16"/>
          <w:szCs w:val="16"/>
          <w:lang w:val="en-US" w:eastAsia="zh-CN" w:bidi="ar"/>
        </w:rPr>
        <w:t xml:space="preserve"> </w:t>
      </w:r>
    </w:p>
    <w:p>
      <w:pPr>
        <w:pStyle w:val="23"/>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3.1</w:t>
      </w:r>
      <w:r>
        <w:rPr>
          <w:rFonts w:hint="eastAsia" w:ascii="Times New Roman" w:hAnsi="Times New Roman"/>
          <w:b/>
          <w:color w:val="auto"/>
          <w:szCs w:val="21"/>
          <w:lang w:val="en-US" w:eastAsia="zh-CN"/>
        </w:rPr>
        <w:t xml:space="preserve"> 数据集</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实验中使用的</w:t>
      </w:r>
      <w:r>
        <w:rPr>
          <w:rFonts w:hint="eastAsia"/>
          <w:color w:val="auto"/>
          <w:szCs w:val="21"/>
          <w:lang w:val="en-US" w:eastAsia="zh-CN"/>
        </w:rPr>
        <w:t>同行互评</w:t>
      </w:r>
      <w:r>
        <w:rPr>
          <w:rFonts w:hint="default" w:ascii="Times New Roman" w:hAnsi="Times New Roman" w:eastAsia="宋体" w:cs="Times New Roman"/>
          <w:color w:val="auto"/>
          <w:kern w:val="2"/>
          <w:sz w:val="21"/>
          <w:szCs w:val="21"/>
          <w:lang w:val="en-US" w:eastAsia="zh-CN" w:bidi="ar-SA"/>
        </w:rPr>
        <w:t>数据集收集</w:t>
      </w:r>
      <w:r>
        <w:rPr>
          <w:rFonts w:hint="eastAsia" w:ascii="Times New Roman" w:hAnsi="Times New Roman" w:cs="Times New Roman"/>
          <w:color w:val="auto"/>
          <w:kern w:val="2"/>
          <w:sz w:val="21"/>
          <w:szCs w:val="21"/>
          <w:lang w:val="en-US" w:eastAsia="zh-CN" w:bidi="ar-SA"/>
        </w:rPr>
        <w:t>于自主研发的教学服务系统。这些数据来自三门课程上举行的同行互评任务，这些课程分别是</w:t>
      </w:r>
      <w:r>
        <w:rPr>
          <w:rFonts w:hint="default" w:ascii="Times New Roman" w:hAnsi="Times New Roman" w:eastAsia="宋体" w:cs="Times New Roman"/>
          <w:color w:val="auto"/>
          <w:kern w:val="2"/>
          <w:sz w:val="21"/>
          <w:szCs w:val="21"/>
          <w:lang w:val="en-US" w:eastAsia="zh-CN" w:bidi="ar-SA"/>
        </w:rPr>
        <w:t>“数据库原理”、“</w:t>
      </w:r>
      <w:r>
        <w:rPr>
          <w:rFonts w:hint="eastAsia" w:ascii="Times New Roman" w:hAnsi="Times New Roman" w:cs="Times New Roman"/>
          <w:color w:val="auto"/>
          <w:kern w:val="2"/>
          <w:sz w:val="21"/>
          <w:szCs w:val="21"/>
          <w:lang w:val="en-US" w:eastAsia="zh-CN" w:bidi="ar-SA"/>
        </w:rPr>
        <w:t>数据结构</w:t>
      </w:r>
      <w:r>
        <w:rPr>
          <w:rFonts w:hint="default" w:ascii="Times New Roman" w:hAnsi="Times New Roman" w:eastAsia="宋体" w:cs="Times New Roman"/>
          <w:color w:val="auto"/>
          <w:kern w:val="2"/>
          <w:sz w:val="21"/>
          <w:szCs w:val="21"/>
          <w:lang w:val="en-US" w:eastAsia="zh-CN" w:bidi="ar-SA"/>
        </w:rPr>
        <w:t>”和“</w:t>
      </w:r>
      <w:r>
        <w:rPr>
          <w:rFonts w:hint="eastAsia" w:ascii="Times New Roman" w:hAnsi="Times New Roman" w:cs="Times New Roman"/>
          <w:color w:val="auto"/>
          <w:kern w:val="2"/>
          <w:sz w:val="21"/>
          <w:szCs w:val="21"/>
          <w:lang w:val="en-US" w:eastAsia="zh-CN" w:bidi="ar-SA"/>
        </w:rPr>
        <w:t>计算机网络</w:t>
      </w:r>
      <w:r>
        <w:rPr>
          <w:rFonts w:hint="default" w:ascii="Times New Roman" w:hAnsi="Times New Roman" w:eastAsia="宋体" w:cs="Times New Roman"/>
          <w:color w:val="auto"/>
          <w:kern w:val="2"/>
          <w:sz w:val="21"/>
          <w:szCs w:val="21"/>
          <w:lang w:val="en-US" w:eastAsia="zh-CN" w:bidi="ar-SA"/>
        </w:rPr>
        <w:t>”。</w:t>
      </w:r>
      <w:r>
        <w:rPr>
          <w:rFonts w:hint="eastAsia" w:ascii="Times New Roman" w:hAnsi="Times New Roman" w:cs="Times New Roman"/>
          <w:color w:val="auto"/>
          <w:kern w:val="2"/>
          <w:sz w:val="21"/>
          <w:szCs w:val="21"/>
          <w:lang w:val="en-US" w:eastAsia="zh-CN" w:bidi="ar-SA"/>
        </w:rPr>
        <w:t>表中给出了课程中的同行互评数据集的统计信息。</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表2 同行互评数据集的统计信息</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Table 2 Statistical information on the peer review dataset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互评次数</w:t>
            </w:r>
          </w:p>
        </w:tc>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互评记录</w:t>
            </w:r>
          </w:p>
        </w:tc>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711</w:t>
            </w:r>
          </w:p>
        </w:tc>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771</w:t>
            </w:r>
          </w:p>
        </w:tc>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作业总分</w:t>
            </w:r>
          </w:p>
        </w:tc>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r>
    </w:tbl>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color w:val="auto"/>
          <w:kern w:val="2"/>
          <w:sz w:val="21"/>
          <w:szCs w:val="21"/>
          <w:lang w:val="en-US" w:eastAsia="zh-CN" w:bidi="ar-SA"/>
        </w:rPr>
      </w:pPr>
    </w:p>
    <w:p>
      <w:pPr>
        <w:pStyle w:val="23"/>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3.2</w:t>
      </w:r>
      <w:r>
        <w:rPr>
          <w:rFonts w:hint="eastAsia" w:ascii="Times New Roman" w:hAnsi="Times New Roman"/>
          <w:b/>
          <w:color w:val="auto"/>
          <w:szCs w:val="21"/>
          <w:lang w:val="en-US" w:eastAsia="zh-CN"/>
        </w:rPr>
        <w:t xml:space="preserve"> 对比方法</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为了评估</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和</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的效果，我们将它与以下4种方法进行了比较。</w:t>
      </w:r>
    </w:p>
    <w:p>
      <w:pPr>
        <w:pStyle w:val="23"/>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均值：将互评分数的平均值作为最终分数。</w:t>
      </w:r>
    </w:p>
    <w:p>
      <w:pPr>
        <w:pStyle w:val="23"/>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中位数：将互评分数的中位数作为最终分数。</w:t>
      </w:r>
    </w:p>
    <w:p>
      <w:pPr>
        <w:pStyle w:val="23"/>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：目前准确性最好的概率模型之一，引入了相对同伴的分数，假设同行评价者可靠性满足伽马分布，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模型扩展于该模型。</w:t>
      </w:r>
    </w:p>
    <w:p>
      <w:pPr>
        <w:pStyle w:val="23"/>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：与</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类似，但假设同</w:t>
      </w:r>
      <w:r>
        <w:rPr>
          <w:rFonts w:hint="eastAsia" w:ascii="Times New Roman" w:hAnsi="Times New Roman"/>
          <w:b w:val="0"/>
          <w:bCs/>
          <w:color w:val="auto"/>
          <w:szCs w:val="21"/>
          <w:lang w:val="en-US" w:eastAsia="zh-CN"/>
        </w:rPr>
        <w:t>行评价者可靠性满足高斯分布，引入了相对同伴的分数，假设同行评价者可靠性满足伽马分布，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i w:val="0"/>
          <w:iCs w:val="0"/>
          <w:color w:val="auto"/>
          <w:szCs w:val="21"/>
          <w:vertAlign w:val="subscript"/>
          <w:lang w:val="en-US" w:eastAsia="zh-CN"/>
        </w:rPr>
        <w:t>7</w:t>
      </w:r>
      <w:r>
        <w:rPr>
          <w:rFonts w:hint="eastAsia" w:ascii="Times New Roman" w:hAnsi="Times New Roman"/>
          <w:b w:val="0"/>
          <w:bCs/>
          <w:i w:val="0"/>
          <w:iCs w:val="0"/>
          <w:color w:val="auto"/>
          <w:szCs w:val="21"/>
          <w:vertAlign w:val="baseline"/>
          <w:lang w:val="en-US" w:eastAsia="zh-CN"/>
        </w:rPr>
        <w:t>模型</w:t>
      </w:r>
      <w:r>
        <w:rPr>
          <w:rFonts w:hint="eastAsia" w:ascii="Times New Roman" w:hAnsi="Times New Roman"/>
          <w:b w:val="0"/>
          <w:bCs/>
          <w:color w:val="auto"/>
          <w:szCs w:val="21"/>
          <w:lang w:val="en-US" w:eastAsia="zh-CN"/>
        </w:rPr>
        <w:t>扩展于该模型。</w:t>
      </w:r>
    </w:p>
    <w:p>
      <w:pPr>
        <w:pStyle w:val="23"/>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b w:val="0"/>
          <w:bCs/>
          <w:color w:val="auto"/>
          <w:szCs w:val="21"/>
          <w:lang w:val="en-US" w:eastAsia="zh-CN"/>
        </w:rPr>
      </w:pPr>
    </w:p>
    <w:p>
      <w:pPr>
        <w:pStyle w:val="23"/>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3.3</w:t>
      </w:r>
      <w:r>
        <w:rPr>
          <w:rFonts w:hint="eastAsia" w:ascii="Times New Roman" w:hAnsi="Times New Roman"/>
          <w:b/>
          <w:color w:val="auto"/>
          <w:szCs w:val="21"/>
          <w:lang w:val="en-US" w:eastAsia="zh-CN"/>
        </w:rPr>
        <w:t xml:space="preserve"> 实验设置</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数据集中同行互评任务的载体是教学平台上布置的作业，所有的作业内容只包含一道开放式的作业题。每位参与作业的学生都将作为同行评价者，根据教师提供的互评准则来评估其他三份提交的作业，以确保每份提交的作业都有三个互评分数。所有的同行互评活动都是双盲的，同行评价者和被评价者都不知道彼此的身份。</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本文提出的概率模型</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和</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在建模时用到了一些超参数，为这些超参数设置合理的值对概率模型的准确性来说非常重要。由于所提出的模型是</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模型的扩展，为了更好的验证在离散变量中的取值，我们对其和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模型中共享的超参数设置了相同的值。</w:t>
      </w:r>
      <w:r>
        <w:rPr>
          <w:rFonts w:hint="eastAsia" w:ascii="Times New Roman" w:hAnsi="Times New Roman"/>
          <w:b w:val="0"/>
          <w:bCs/>
          <w:color w:val="auto"/>
          <w:szCs w:val="21"/>
          <w:lang w:val="en-US" w:eastAsia="zh-CN"/>
        </w:rPr>
        <w:t>对于概率模型中的真实分数</w:t>
      </w:r>
      <w:r>
        <w:rPr>
          <w:rFonts w:hint="eastAsia" w:ascii="Times New Roman" w:hAnsi="Times New Roman"/>
          <w:b w:val="0"/>
          <w:bCs/>
          <w:i/>
          <w:iCs/>
          <w:color w:val="auto"/>
          <w:szCs w:val="21"/>
          <w:lang w:val="en-US" w:eastAsia="zh-CN"/>
        </w:rPr>
        <w:t>s</w:t>
      </w:r>
      <w:r>
        <w:rPr>
          <w:rFonts w:hint="eastAsia" w:ascii="Times New Roman" w:hAnsi="Times New Roman"/>
          <w:b w:val="0"/>
          <w:bCs/>
          <w:color w:val="auto"/>
          <w:szCs w:val="21"/>
          <w:lang w:val="en-US" w:eastAsia="zh-CN"/>
        </w:rPr>
        <w:t>的超参数，即均值</w:t>
      </w:r>
      <m:oMath>
        <m:r>
          <m:rPr/>
          <w:rPr>
            <w:rFonts w:hint="default" w:ascii="Cambria Math" w:hAnsi="Cambria Math"/>
            <w:color w:val="auto"/>
            <w:szCs w:val="21"/>
            <w:lang w:val="en-US"/>
          </w:rPr>
          <m:t>α</m:t>
        </m:r>
      </m:oMath>
      <w:r>
        <w:rPr>
          <w:rFonts w:hint="eastAsia" w:ascii="Times New Roman" w:hAnsi="Times New Roman"/>
          <w:b w:val="0"/>
          <w:bCs/>
          <w:color w:val="auto"/>
          <w:szCs w:val="21"/>
          <w:lang w:val="en-US" w:eastAsia="zh-CN"/>
        </w:rPr>
        <w:t>和方差</w:t>
      </w:r>
      <m:oMath>
        <m:r>
          <m:rPr/>
          <w:rPr>
            <w:rFonts w:hint="default" w:ascii="Cambria Math" w:hAnsi="Cambria Math"/>
            <w:color w:val="auto"/>
            <w:szCs w:val="21"/>
            <w:lang w:val="en-US"/>
          </w:rPr>
          <m:t>γ</m:t>
        </m:r>
      </m:oMath>
      <w:r>
        <w:rPr>
          <w:rFonts w:hint="eastAsia" w:ascii="Times New Roman" w:hAnsi="Times New Roman"/>
          <w:b w:val="0"/>
          <w:bCs/>
          <w:color w:val="auto"/>
          <w:szCs w:val="21"/>
          <w:lang w:val="en-US" w:eastAsia="zh-CN"/>
        </w:rPr>
        <w:t>, 分别设置为当前作业互评分数的均值和方差。对于偏见</w:t>
      </w:r>
      <w:r>
        <w:rPr>
          <w:rFonts w:hint="eastAsia" w:ascii="Times New Roman" w:hAnsi="Times New Roman"/>
          <w:b w:val="0"/>
          <w:bCs/>
          <w:i/>
          <w:iCs/>
          <w:color w:val="auto"/>
          <w:szCs w:val="21"/>
          <w:lang w:val="en-US" w:eastAsia="zh-CN"/>
        </w:rPr>
        <w:t>b</w:t>
      </w:r>
      <w:r>
        <w:rPr>
          <w:rFonts w:hint="eastAsia" w:ascii="Times New Roman" w:hAnsi="Times New Roman"/>
          <w:b w:val="0"/>
          <w:bCs/>
          <w:i w:val="0"/>
          <w:iCs w:val="0"/>
          <w:color w:val="auto"/>
          <w:szCs w:val="21"/>
          <w:lang w:val="en-US" w:eastAsia="zh-CN"/>
        </w:rPr>
        <w:t>的超参数</w:t>
      </w:r>
      <m:oMath>
        <m:r>
          <m:rPr/>
          <w:rPr>
            <w:rFonts w:ascii="Cambria Math" w:hAnsi="Cambria Math"/>
            <w:color w:val="auto"/>
            <w:szCs w:val="21"/>
            <w:lang w:val="en-US"/>
          </w:rPr>
          <m:t>η</m:t>
        </m:r>
      </m:oMath>
      <w:r>
        <w:rPr>
          <w:rFonts w:hint="eastAsia" w:hAnsi="Cambria Math"/>
          <w:bCs/>
          <w:i w:val="0"/>
          <w:iCs w:val="0"/>
          <w:color w:val="auto"/>
          <w:szCs w:val="21"/>
          <w:lang w:val="en-US" w:eastAsia="zh-CN"/>
        </w:rPr>
        <w:t>，我们设置为1。对于可靠性</w:t>
      </w:r>
      <m:oMath>
        <m:r>
          <m:rPr/>
          <w:rPr>
            <w:rFonts w:hint="default" w:ascii="Cambria Math" w:hAnsi="Cambria Math"/>
            <w:color w:val="auto"/>
            <w:szCs w:val="21"/>
            <w:lang w:val="en-US"/>
          </w:rPr>
          <m:t>τ</m:t>
        </m:r>
      </m:oMath>
      <w:r>
        <w:rPr>
          <w:rFonts w:hint="eastAsia" w:hAnsi="Cambria Math"/>
          <w:bCs/>
          <w:i w:val="0"/>
          <w:iCs w:val="0"/>
          <w:color w:val="auto"/>
          <w:szCs w:val="21"/>
          <w:lang w:val="en-US" w:eastAsia="zh-CN"/>
        </w:rPr>
        <w:t>的超参数</w:t>
      </w:r>
      <m:oMath>
        <m:r>
          <m:rPr/>
          <w:rPr>
            <w:rFonts w:hint="default" w:ascii="Cambria Math" w:hAnsi="Cambria Math"/>
            <w:color w:val="auto"/>
            <w:szCs w:val="21"/>
            <w:lang w:val="en-US"/>
          </w:rPr>
          <m:t>β</m:t>
        </m:r>
      </m:oMath>
      <w:r>
        <w:rPr>
          <w:rFonts w:hint="eastAsia" w:hAnsi="Cambria Math"/>
          <w:bCs/>
          <w:i w:val="0"/>
          <w:iCs/>
          <w:color w:val="auto"/>
          <w:szCs w:val="21"/>
          <w:lang w:val="en-US" w:eastAsia="zh-CN"/>
        </w:rPr>
        <w:t>，</w:t>
      </w:r>
      <w:r>
        <w:rPr>
          <w:rFonts w:hint="eastAsia" w:ascii="Times New Roman" w:hAnsi="Times New Roman"/>
          <w:b w:val="0"/>
          <w:bCs/>
          <w:color w:val="auto"/>
          <w:szCs w:val="21"/>
          <w:lang w:val="en-US" w:eastAsia="zh-CN"/>
        </w:rPr>
        <w:t>在其它参数取值固定的前提下，以100为步长尝试在［100,700］范围中的不同取值，然后以其中所得到的对真实分数最准确的估计值为该模型的最终估计值。由于概率模型的估计具有一定的随机性，对于所有概率模型，超参数</w:t>
      </w:r>
      <m:oMath>
        <m:r>
          <m:rPr/>
          <w:rPr>
            <w:rFonts w:hint="default" w:ascii="Cambria Math" w:hAnsi="Cambria Math"/>
            <w:color w:val="auto"/>
            <w:szCs w:val="21"/>
            <w:lang w:val="en-US"/>
          </w:rPr>
          <m:t>β</m:t>
        </m:r>
      </m:oMath>
      <w:r>
        <w:rPr>
          <w:rFonts w:hint="eastAsia" w:ascii="Times New Roman" w:hAnsi="Times New Roman"/>
          <w:b w:val="0"/>
          <w:bCs/>
          <w:color w:val="auto"/>
          <w:szCs w:val="21"/>
          <w:lang w:val="en-US" w:eastAsia="zh-CN"/>
        </w:rPr>
        <w:t>的每种取值取得的是10次真实分数的均值。</w:t>
      </w:r>
    </w:p>
    <w:p>
      <w:pPr>
        <w:pStyle w:val="23"/>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lang w:val="en-US" w:eastAsia="zh-CN"/>
        </w:rPr>
        <w:t>3.4 实验结果</w:t>
      </w:r>
    </w:p>
    <w:p>
      <w:pPr>
        <w:pStyle w:val="23"/>
        <w:ind w:firstLine="0" w:firstLineChars="0"/>
        <w:rPr>
          <w:rFonts w:hint="eastAsia"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.1</w:t>
      </w:r>
      <w:r>
        <w:rPr>
          <w:rFonts w:hint="eastAsia" w:ascii="Times New Roman" w:hAnsi="Times New Roman"/>
          <w:color w:val="auto"/>
          <w:szCs w:val="21"/>
          <w:lang w:val="en-US" w:eastAsia="zh-CN"/>
        </w:rPr>
        <w:t xml:space="preserve"> 同行互评汇总技术的评估准确性</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我们采用RMSE来评估</w:t>
      </w:r>
      <w:r>
        <w:rPr>
          <w:rFonts w:hint="default" w:ascii="Times New Roman" w:hAnsi="Times New Roman"/>
          <w:b w:val="0"/>
          <w:bCs/>
          <w:color w:val="auto"/>
          <w:szCs w:val="21"/>
          <w:lang w:val="en-US" w:eastAsia="zh-CN"/>
        </w:rPr>
        <w:t>不同</w:t>
      </w:r>
      <w:r>
        <w:rPr>
          <w:rFonts w:hint="eastAsia" w:ascii="Times New Roman" w:hAnsi="Times New Roman"/>
          <w:color w:val="auto"/>
          <w:szCs w:val="21"/>
          <w:lang w:val="en-US" w:eastAsia="zh-CN"/>
        </w:rPr>
        <w:t>互评汇总</w:t>
      </w:r>
      <w:r>
        <w:rPr>
          <w:rFonts w:hint="default" w:ascii="Times New Roman" w:hAnsi="Times New Roman"/>
          <w:b w:val="0"/>
          <w:bCs/>
          <w:color w:val="auto"/>
          <w:szCs w:val="21"/>
          <w:lang w:val="en-US" w:eastAsia="zh-CN"/>
        </w:rPr>
        <w:t>技术</w:t>
      </w:r>
      <w:r>
        <w:rPr>
          <w:rFonts w:hint="eastAsia" w:ascii="Times New Roman" w:hAnsi="Times New Roman"/>
          <w:b w:val="0"/>
          <w:bCs/>
          <w:color w:val="auto"/>
          <w:szCs w:val="21"/>
          <w:lang w:val="en-US" w:eastAsia="zh-CN"/>
        </w:rPr>
        <w:t>的准确性差异。RMSE的计算公式如下：</w:t>
      </w:r>
    </w:p>
    <w:p>
      <w:pPr>
        <w:pStyle w:val="23"/>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i w:val="0"/>
          <w:iCs/>
          <w:color w:val="auto"/>
          <w:kern w:val="2"/>
          <w:sz w:val="21"/>
          <w:szCs w:val="21"/>
          <w:lang w:val="en-US" w:eastAsia="zh-CN" w:bidi="ar-SA"/>
        </w:rPr>
      </w:pPr>
      <m:oMath>
        <m:r>
          <m:rPr/>
          <w:rPr>
            <w:rFonts w:hint="default" w:ascii="Cambria Math" w:hAnsi="Cambria Math" w:cs="Times New Roman"/>
            <w:color w:val="auto"/>
            <w:kern w:val="2"/>
            <w:sz w:val="21"/>
            <w:szCs w:val="21"/>
            <w:lang w:val="en-US" w:eastAsia="zh-CN" w:bidi="ar-SA"/>
          </w:rPr>
          <m:t>RMSE=</m:t>
        </m:r>
        <m:rad>
          <m:radPr>
            <m:degHide m:val="1"/>
            <m:ctrlPr>
              <w:rPr>
                <w:rFonts w:hint="default" w:ascii="Cambria Math" w:hAnsi="Cambria Math" w:cs="Times New Roman"/>
                <w:b w:val="0"/>
                <w:bCs/>
                <w:i/>
                <w:iCs/>
                <w:color w:val="auto"/>
                <w:kern w:val="2"/>
                <w:sz w:val="21"/>
                <w:szCs w:val="21"/>
                <w:lang w:val="en-US" w:eastAsia="zh-CN" w:bidi="ar-SA"/>
              </w:rPr>
            </m:ctrlPr>
          </m:radPr>
          <m:deg>
            <m:ctrlPr>
              <w:rPr>
                <w:rFonts w:hint="default" w:ascii="Cambria Math" w:hAnsi="Cambria Math" w:cs="Times New Roman"/>
                <w:b w:val="0"/>
                <w:bCs/>
                <w:i/>
                <w:iCs/>
                <w:color w:val="auto"/>
                <w:kern w:val="2"/>
                <w:sz w:val="21"/>
                <w:szCs w:val="21"/>
                <w:lang w:val="en-US" w:eastAsia="zh-CN" w:bidi="ar-SA"/>
              </w:rPr>
            </m:ctrlPr>
          </m:deg>
          <m:e>
            <m:f>
              <m:fPr>
                <m:ctrlPr>
                  <w:rPr>
                    <w:rFonts w:hint="default" w:ascii="Cambria Math" w:hAnsi="Cambria Math" w:cs="Times New Roman"/>
                    <w:b w:val="0"/>
                    <w:bCs/>
                    <w:i/>
                    <w:iCs/>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b w:val="0"/>
                    <w:bCs/>
                    <w:i/>
                    <w:iCs/>
                    <w:color w:val="auto"/>
                    <w:kern w:val="2"/>
                    <w:sz w:val="21"/>
                    <w:szCs w:val="21"/>
                    <w:lang w:val="en-US" w:eastAsia="zh-CN" w:bidi="ar-SA"/>
                  </w:rPr>
                </m:ctrlPr>
              </m:num>
              <m:den>
                <m:d>
                  <m:dPr>
                    <m:begChr m:val="|"/>
                    <m:endChr m:val="|"/>
                    <m:ctrlPr>
                      <w:rPr>
                        <w:rFonts w:hint="default" w:ascii="Cambria Math" w:hAnsi="Cambria Math" w:cs="Times New Roman"/>
                        <w:b w:val="0"/>
                        <w:bCs/>
                        <w:i/>
                        <w:iCs/>
                        <w:color w:val="auto"/>
                        <w:kern w:val="2"/>
                        <w:sz w:val="21"/>
                        <w:szCs w:val="21"/>
                        <w:lang w:val="en-US" w:eastAsia="zh-CN" w:bidi="ar-SA"/>
                      </w:rPr>
                    </m:ctrlPr>
                  </m:dPr>
                  <m:e>
                    <m:r>
                      <m:rPr/>
                      <w:rPr>
                        <w:rFonts w:hint="default" w:ascii="Cambria Math" w:hAnsi="Cambria Math" w:cs="Times New Roman"/>
                        <w:color w:val="auto"/>
                        <w:kern w:val="2"/>
                        <w:sz w:val="21"/>
                        <w:szCs w:val="21"/>
                        <w:lang w:val="en-US" w:eastAsia="zh-CN" w:bidi="ar-SA"/>
                      </w:rPr>
                      <m:t>U</m:t>
                    </m:r>
                    <m:ctrlPr>
                      <w:rPr>
                        <w:rFonts w:hint="default" w:ascii="Cambria Math" w:hAnsi="Cambria Math" w:cs="Times New Roman"/>
                        <w:b w:val="0"/>
                        <w:bCs/>
                        <w:i/>
                        <w:iCs/>
                        <w:color w:val="auto"/>
                        <w:kern w:val="2"/>
                        <w:sz w:val="21"/>
                        <w:szCs w:val="21"/>
                        <w:lang w:val="en-US" w:eastAsia="zh-CN" w:bidi="ar-SA"/>
                      </w:rPr>
                    </m:ctrlPr>
                  </m:e>
                </m:d>
                <m:ctrlPr>
                  <w:rPr>
                    <w:rFonts w:hint="default" w:ascii="Cambria Math" w:hAnsi="Cambria Math" w:cs="Times New Roman"/>
                    <w:b w:val="0"/>
                    <w:bCs/>
                    <w:i/>
                    <w:iCs/>
                    <w:color w:val="auto"/>
                    <w:kern w:val="2"/>
                    <w:sz w:val="21"/>
                    <w:szCs w:val="21"/>
                    <w:lang w:val="en-US" w:eastAsia="zh-CN" w:bidi="ar-SA"/>
                  </w:rPr>
                </m:ctrlPr>
              </m:den>
            </m:f>
            <m:nary>
              <m:naryPr>
                <m:chr m:val="∑"/>
                <m:limLoc m:val="subSup"/>
                <m:supHide m:val="1"/>
                <m:ctrlPr>
                  <w:rPr>
                    <w:rFonts w:hint="default" w:ascii="Cambria Math" w:hAnsi="Cambria Math" w:cs="Times New Roman"/>
                    <w:b w:val="0"/>
                    <w:bCs/>
                    <w:i/>
                    <w:iCs/>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ctrlPr>
                  <w:rPr>
                    <w:rFonts w:hint="default" w:ascii="Cambria Math" w:hAnsi="Cambria Math" w:cs="Times New Roman"/>
                    <w:b w:val="0"/>
                    <w:bCs/>
                    <w:i/>
                    <w:iCs/>
                    <w:color w:val="auto"/>
                    <w:kern w:val="2"/>
                    <w:sz w:val="21"/>
                    <w:szCs w:val="21"/>
                    <w:lang w:val="en-US" w:eastAsia="zh-CN" w:bidi="ar-SA"/>
                  </w:rPr>
                </m:ctrlPr>
              </m:sub>
              <m:sup>
                <m:ctrlPr>
                  <w:rPr>
                    <w:rFonts w:hint="default" w:ascii="Cambria Math" w:hAnsi="Cambria Math" w:cs="Times New Roman"/>
                    <w:b w:val="0"/>
                    <w:bCs/>
                    <w:i/>
                    <w:iCs/>
                    <w:color w:val="auto"/>
                    <w:kern w:val="2"/>
                    <w:sz w:val="21"/>
                    <w:szCs w:val="21"/>
                    <w:lang w:val="en-US" w:eastAsia="zh-CN" w:bidi="ar-SA"/>
                  </w:rPr>
                </m:ctrlPr>
              </m:sup>
              <m:e>
                <m:sSup>
                  <m:sSupPr>
                    <m:ctrlPr>
                      <w:rPr>
                        <w:rFonts w:hint="default" w:ascii="Cambria Math" w:hAnsi="Cambria Math" w:cs="Times New Roman"/>
                        <w:b w:val="0"/>
                        <w:bCs/>
                        <w:i/>
                        <w:iCs/>
                        <w:color w:val="auto"/>
                        <w:kern w:val="2"/>
                        <w:sz w:val="21"/>
                        <w:szCs w:val="21"/>
                        <w:lang w:val="en-US" w:eastAsia="zh-CN" w:bidi="ar-SA"/>
                      </w:rPr>
                    </m:ctrlPr>
                  </m:sSupPr>
                  <m:e>
                    <m:d>
                      <m:dPr>
                        <m:ctrlPr>
                          <w:rPr>
                            <w:rFonts w:hint="default" w:ascii="Cambria Math" w:hAnsi="Cambria Math" w:cs="Times New Roman"/>
                            <w:b w:val="0"/>
                            <w:bCs/>
                            <w:i/>
                            <w:iCs/>
                            <w:color w:val="auto"/>
                            <w:kern w:val="2"/>
                            <w:sz w:val="21"/>
                            <w:szCs w:val="21"/>
                            <w:lang w:val="en-US" w:eastAsia="zh-CN" w:bidi="ar-SA"/>
                          </w:rPr>
                        </m:ctrlPr>
                      </m:dPr>
                      <m:e>
                        <m:sSub>
                          <m:sSubPr>
                            <m:ctrl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b w:val="0"/>
                                <w:bCs/>
                                <w:i/>
                                <w:iCs/>
                                <w:color w:val="auto"/>
                                <w:kern w:val="2"/>
                                <w:sz w:val="21"/>
                                <w:szCs w:val="21"/>
                                <w:lang w:val="en-US" w:eastAsia="zh-CN" w:bidi="ar-SA"/>
                              </w:rPr>
                            </m:ctrlPr>
                          </m:sSubPr>
                          <m:e>
                            <m:acc>
                              <m:accPr>
                                <m:ctrlPr>
                                  <w:rPr>
                                    <w:rFonts w:hint="default" w:ascii="Cambria Math" w:hAnsi="Cambria Math" w:cs="Times New Roman"/>
                                    <w:b w:val="0"/>
                                    <w:bCs/>
                                    <w:i/>
                                    <w:iCs/>
                                    <w:color w:val="auto"/>
                                    <w:kern w:val="2"/>
                                    <w:sz w:val="21"/>
                                    <w:szCs w:val="21"/>
                                    <w:lang w:val="en-US" w:eastAsia="zh-CN" w:bidi="ar-SA"/>
                                  </w:rPr>
                                </m:ctrlPr>
                              </m:acc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b w:val="0"/>
                                    <w:bCs/>
                                    <w:i/>
                                    <w:iCs/>
                                    <w:color w:val="auto"/>
                                    <w:kern w:val="2"/>
                                    <w:sz w:val="21"/>
                                    <w:szCs w:val="21"/>
                                    <w:lang w:val="en-US" w:eastAsia="zh-CN" w:bidi="ar-SA"/>
                                  </w:rPr>
                                </m:ctrlPr>
                              </m:e>
                            </m:acc>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ctrlPr>
                          <w:rPr>
                            <w:rFonts w:hint="default" w:ascii="Cambria Math" w:hAnsi="Cambria Math" w:cs="Times New Roman"/>
                            <w:b w:val="0"/>
                            <w:bCs/>
                            <w:i/>
                            <w:iCs/>
                            <w:color w:val="auto"/>
                            <w:kern w:val="2"/>
                            <w:sz w:val="21"/>
                            <w:szCs w:val="21"/>
                            <w:lang w:val="en-US" w:eastAsia="zh-CN" w:bidi="ar-SA"/>
                          </w:rPr>
                        </m:ctrlPr>
                      </m:e>
                    </m:d>
                    <m:ctrlPr>
                      <w:rPr>
                        <w:rFonts w:hint="default" w:ascii="Cambria Math" w:hAnsi="Cambria Math" w:cs="Times New Roman"/>
                        <w:b w:val="0"/>
                        <w:bCs/>
                        <w:i/>
                        <w:iCs/>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b w:val="0"/>
                        <w:bCs/>
                        <w:i/>
                        <w:iCs/>
                        <w:color w:val="auto"/>
                        <w:kern w:val="2"/>
                        <w:sz w:val="21"/>
                        <w:szCs w:val="21"/>
                        <w:lang w:val="en-US" w:eastAsia="zh-CN" w:bidi="ar-SA"/>
                      </w:rPr>
                    </m:ctrlPr>
                  </m:sup>
                </m:sSup>
                <m:ctrlPr>
                  <w:rPr>
                    <w:rFonts w:hint="default" w:ascii="Cambria Math" w:hAnsi="Cambria Math" w:cs="Times New Roman"/>
                    <w:b w:val="0"/>
                    <w:bCs/>
                    <w:i/>
                    <w:iCs/>
                    <w:color w:val="auto"/>
                    <w:kern w:val="2"/>
                    <w:sz w:val="21"/>
                    <w:szCs w:val="21"/>
                    <w:lang w:val="en-US" w:eastAsia="zh-CN" w:bidi="ar-SA"/>
                  </w:rPr>
                </m:ctrlPr>
              </m:e>
            </m:nary>
            <m:ctrlPr>
              <w:rPr>
                <w:rFonts w:hint="default" w:ascii="Cambria Math" w:hAnsi="Cambria Math" w:cs="Times New Roman"/>
                <w:b w:val="0"/>
                <w:bCs/>
                <w:i/>
                <w:iCs/>
                <w:color w:val="auto"/>
                <w:kern w:val="2"/>
                <w:sz w:val="21"/>
                <w:szCs w:val="21"/>
                <w:lang w:val="en-US" w:eastAsia="zh-CN" w:bidi="ar-SA"/>
              </w:rPr>
            </m:ctrlPr>
          </m:e>
        </m:rad>
      </m:oMath>
      <w:r>
        <w:rPr>
          <w:rFonts w:hint="eastAsia" w:hAnsi="Cambria Math" w:cs="Times New Roman"/>
          <w:b w:val="0"/>
          <w:bCs/>
          <w:i w:val="0"/>
          <w:iCs/>
          <w:color w:val="auto"/>
          <w:kern w:val="2"/>
          <w:sz w:val="21"/>
          <w:szCs w:val="21"/>
          <w:lang w:val="en-US" w:eastAsia="zh-CN" w:bidi="ar-SA"/>
        </w:rPr>
        <w:t xml:space="preserve">     </w:t>
      </w:r>
      <w:r>
        <w:rPr>
          <w:rFonts w:hint="eastAsia" w:ascii="宋体" w:hAnsi="宋体" w:eastAsia="宋体" w:cs="宋体"/>
          <w:b w:val="0"/>
          <w:bCs/>
          <w:i w:val="0"/>
          <w:iCs/>
          <w:color w:val="auto"/>
          <w:kern w:val="2"/>
          <w:sz w:val="21"/>
          <w:szCs w:val="21"/>
          <w:lang w:val="en-US" w:eastAsia="zh-CN" w:bidi="ar-SA"/>
        </w:rPr>
        <w:t xml:space="preserve"> (6)</w:t>
      </w:r>
    </w:p>
    <w:p>
      <w:pPr>
        <w:pStyle w:val="23"/>
        <w:keepNext w:val="0"/>
        <w:keepLines w:val="0"/>
        <w:pageBreakBefore w:val="0"/>
        <w:widowControl w:val="0"/>
        <w:kinsoku/>
        <w:wordWrap/>
        <w:overflowPunct/>
        <w:topLinePunct w:val="0"/>
        <w:autoSpaceDE/>
        <w:autoSpaceDN/>
        <w:bidi w:val="0"/>
        <w:adjustRightInd/>
        <w:snapToGrid/>
        <w:textAlignment w:val="auto"/>
        <w:rPr>
          <w:rFonts w:hint="default" w:hAnsi="Cambria Math" w:cs="Times New Roman"/>
          <w:b w:val="0"/>
          <w:bCs/>
          <w:i w:val="0"/>
          <w:iCs/>
          <w:color w:val="auto"/>
          <w:kern w:val="2"/>
          <w:sz w:val="21"/>
          <w:szCs w:val="21"/>
          <w:lang w:val="en-US" w:eastAsia="zh-CN" w:bidi="ar-SA"/>
        </w:rPr>
      </w:pPr>
      <w:r>
        <w:rPr>
          <w:rFonts w:hint="eastAsia" w:hAnsi="Cambria Math" w:cs="Times New Roman"/>
          <w:b w:val="0"/>
          <w:bCs/>
          <w:i w:val="0"/>
          <w:iCs/>
          <w:color w:val="auto"/>
          <w:kern w:val="2"/>
          <w:sz w:val="21"/>
          <w:szCs w:val="21"/>
          <w:lang w:val="en-US" w:eastAsia="zh-CN" w:bidi="ar-SA"/>
        </w:rPr>
        <w:t>其中</w:t>
      </w:r>
      <m:oMath>
        <m:r>
          <m:rPr/>
          <w:rPr>
            <w:rFonts w:hint="default" w:ascii="Cambria Math" w:hAnsi="Cambria Math" w:cs="Times New Roman"/>
            <w:color w:val="auto"/>
            <w:kern w:val="2"/>
            <w:sz w:val="21"/>
            <w:szCs w:val="21"/>
            <w:lang w:val="en-US" w:eastAsia="zh-CN" w:bidi="ar-SA"/>
          </w:rPr>
          <m:t>U</m:t>
        </m:r>
      </m:oMath>
      <w:r>
        <m:rPr/>
        <w:rPr>
          <w:rFonts w:hint="eastAsia" w:hAnsi="Cambria Math" w:cs="Times New Roman"/>
          <w:i w:val="0"/>
          <w:color w:val="auto"/>
          <w:kern w:val="2"/>
          <w:sz w:val="21"/>
          <w:szCs w:val="21"/>
          <w:lang w:val="en-US" w:eastAsia="zh-CN" w:bidi="ar-SA"/>
        </w:rPr>
        <w:t>是所有学生的集合，</w:t>
      </w:r>
      <m:oMath>
        <m:sSub>
          <m:sSubPr>
            <m:ctrl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oMath>
      <w:r>
        <w:rPr>
          <w:rFonts w:hint="eastAsia" w:hAnsi="Cambria Math" w:cs="Times New Roman"/>
          <w:b w:val="0"/>
          <w:bCs/>
          <w:i w:val="0"/>
          <w:iCs/>
          <w:color w:val="auto"/>
          <w:kern w:val="2"/>
          <w:sz w:val="21"/>
          <w:szCs w:val="21"/>
          <w:lang w:val="en-US" w:eastAsia="zh-CN" w:bidi="ar-SA"/>
        </w:rPr>
        <w:t>表示学生</w:t>
      </w:r>
      <m:oMath>
        <m:sSub>
          <m:sSubPr>
            <m:ctrl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u</m:t>
            </m:r>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oMath>
      <w:r>
        <w:rPr>
          <w:rFonts w:hint="eastAsia" w:hAnsi="Cambria Math" w:cs="Times New Roman"/>
          <w:b w:val="0"/>
          <w:bCs/>
          <w:i w:val="0"/>
          <w:iCs/>
          <w:color w:val="auto"/>
          <w:kern w:val="2"/>
          <w:sz w:val="21"/>
          <w:szCs w:val="21"/>
          <w:lang w:val="en-US" w:eastAsia="zh-CN" w:bidi="ar-SA"/>
        </w:rPr>
        <w:t>作业的真实分数，</w:t>
      </w:r>
      <m:oMath>
        <m:sSub>
          <m:sSubPr>
            <m:ctrlPr>
              <w:rPr>
                <w:rFonts w:hint="default" w:ascii="Cambria Math" w:hAnsi="Cambria Math" w:cs="Times New Roman"/>
                <w:b w:val="0"/>
                <w:bCs/>
                <w:i/>
                <w:iCs/>
                <w:color w:val="auto"/>
                <w:kern w:val="2"/>
                <w:sz w:val="21"/>
                <w:szCs w:val="21"/>
                <w:lang w:val="en-US" w:eastAsia="zh-CN" w:bidi="ar-SA"/>
              </w:rPr>
            </m:ctrlPr>
          </m:sSubPr>
          <m:e>
            <m:acc>
              <m:accPr>
                <m:ctrlPr>
                  <w:rPr>
                    <w:rFonts w:hint="default" w:ascii="Cambria Math" w:hAnsi="Cambria Math" w:cs="Times New Roman"/>
                    <w:b w:val="0"/>
                    <w:bCs/>
                    <w:i/>
                    <w:iCs/>
                    <w:color w:val="auto"/>
                    <w:kern w:val="2"/>
                    <w:sz w:val="21"/>
                    <w:szCs w:val="21"/>
                    <w:lang w:val="en-US" w:eastAsia="zh-CN" w:bidi="ar-SA"/>
                  </w:rPr>
                </m:ctrlPr>
              </m:acc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b w:val="0"/>
                    <w:bCs/>
                    <w:i/>
                    <w:iCs/>
                    <w:color w:val="auto"/>
                    <w:kern w:val="2"/>
                    <w:sz w:val="21"/>
                    <w:szCs w:val="21"/>
                    <w:lang w:val="en-US" w:eastAsia="zh-CN" w:bidi="ar-SA"/>
                  </w:rPr>
                </m:ctrlPr>
              </m:e>
            </m:acc>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oMath>
      <w:r>
        <w:rPr>
          <w:rFonts w:hint="eastAsia" w:hAnsi="Cambria Math" w:cs="Times New Roman"/>
          <w:b w:val="0"/>
          <w:bCs/>
          <w:i w:val="0"/>
          <w:iCs/>
          <w:color w:val="auto"/>
          <w:kern w:val="2"/>
          <w:sz w:val="21"/>
          <w:szCs w:val="21"/>
          <w:lang w:val="en-US" w:eastAsia="zh-CN" w:bidi="ar-SA"/>
        </w:rPr>
        <w:t>表示学生</w:t>
      </w:r>
      <m:oMath>
        <m:sSub>
          <m:sSubPr>
            <m:ctrl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u</m:t>
            </m:r>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oMath>
      <w:r>
        <w:rPr>
          <w:rFonts w:hint="eastAsia" w:hAnsi="Cambria Math" w:cs="Times New Roman"/>
          <w:b w:val="0"/>
          <w:bCs/>
          <w:i w:val="0"/>
          <w:iCs/>
          <w:color w:val="auto"/>
          <w:kern w:val="2"/>
          <w:sz w:val="21"/>
          <w:szCs w:val="21"/>
          <w:lang w:val="en-US" w:eastAsia="zh-CN" w:bidi="ar-SA"/>
        </w:rPr>
        <w:t>作业根据汇总技术得到的分数。</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表3 </w:t>
      </w:r>
      <w:r>
        <w:rPr>
          <w:rFonts w:hint="eastAsia" w:ascii="Times New Roman" w:hAnsi="Times New Roman"/>
          <w:color w:val="auto"/>
          <w:szCs w:val="21"/>
          <w:lang w:val="en-US" w:eastAsia="zh-CN"/>
        </w:rPr>
        <w:t>同行互评汇总技术的RMSE（粗体表示最优结果）</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Table 3 RMSE for peer assessment aggregation techniques (best results in bold)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RMSE</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均值</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3.746</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4.168</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中位数</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3.744</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4.213</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3.637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3.832</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3.587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3.771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3.151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3.357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3.146</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3.284</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4.951</w:t>
            </w:r>
          </w:p>
        </w:tc>
      </w:tr>
    </w:tbl>
    <w:p>
      <w:pPr>
        <w:pStyle w:val="23"/>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表3展示了不同</w:t>
      </w:r>
      <w:r>
        <w:rPr>
          <w:rFonts w:hint="eastAsia" w:ascii="Times New Roman" w:hAnsi="Times New Roman"/>
          <w:color w:val="auto"/>
          <w:szCs w:val="21"/>
          <w:lang w:val="en-US" w:eastAsia="zh-CN"/>
        </w:rPr>
        <w:t>同行互评汇总技术</w:t>
      </w:r>
      <w:r>
        <w:rPr>
          <w:rFonts w:hint="eastAsia" w:ascii="Times New Roman" w:hAnsi="Times New Roman"/>
          <w:b w:val="0"/>
          <w:bCs/>
          <w:color w:val="auto"/>
          <w:szCs w:val="21"/>
          <w:lang w:val="en-US" w:eastAsia="zh-CN"/>
        </w:rPr>
        <w:t>的在数据集中的表现。由表3可知，本文提出的基于评价能力的同行互评技术</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在3门课程中RMSE均小于其他技术。由于使用了比真实分数更好的概括学生可靠性的评价能力为可靠性建模，</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模型在3门课程的RMSE比</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平均降低了11.76%，</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模型在3门课程的RMSE比</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平均降低了11.74%</w:t>
      </w:r>
      <w:r>
        <w:rPr>
          <w:rFonts w:hint="eastAsia" w:ascii="Times New Roman" w:hAnsi="Times New Roman"/>
          <w:b w:val="0"/>
          <w:bCs/>
          <w:color w:val="auto"/>
          <w:szCs w:val="21"/>
          <w:lang w:val="en-US" w:eastAsia="zh-CN"/>
        </w:rPr>
        <w:t>。实验结果证实了结合学生的评价能力建模可靠性比学生的真实分数的建模要更加准确。</w:t>
      </w:r>
    </w:p>
    <w:p>
      <w:pPr>
        <w:pStyle w:val="2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r>
        <w:rPr>
          <w:rFonts w:hint="eastAsia" w:ascii="Times New Roman" w:hAnsi="Times New Roman"/>
          <w:color w:val="auto"/>
          <w:szCs w:val="21"/>
          <w:lang w:val="en-US" w:eastAsia="zh-CN"/>
        </w:rPr>
        <w:t>2 同行互评汇总技术的最大偏差</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除了RMSE，我们还</w:t>
      </w:r>
      <w:r>
        <w:rPr>
          <w:rFonts w:hint="default" w:ascii="Times New Roman" w:hAnsi="Times New Roman"/>
          <w:color w:val="auto"/>
          <w:szCs w:val="21"/>
          <w:lang w:val="en-US" w:eastAsia="zh-CN"/>
        </w:rPr>
        <w:t>通过真实分数</w:t>
      </w:r>
      <w:r>
        <w:rPr>
          <w:rFonts w:hint="eastAsia" w:ascii="Times New Roman" w:hAnsi="Times New Roman"/>
          <w:color w:val="auto"/>
          <w:szCs w:val="21"/>
          <w:lang w:val="en-US" w:eastAsia="zh-CN"/>
        </w:rPr>
        <w:t>与汇总分数</w:t>
      </w:r>
      <w:r>
        <w:rPr>
          <w:rFonts w:hint="default" w:ascii="Times New Roman" w:hAnsi="Times New Roman"/>
          <w:color w:val="auto"/>
          <w:szCs w:val="21"/>
          <w:lang w:val="en-US" w:eastAsia="zh-CN"/>
        </w:rPr>
        <w:t>之间的最大偏差来分析同行互评</w:t>
      </w:r>
      <w:r>
        <w:rPr>
          <w:rFonts w:hint="eastAsia" w:ascii="Times New Roman" w:hAnsi="Times New Roman"/>
          <w:color w:val="auto"/>
          <w:szCs w:val="21"/>
          <w:lang w:val="en-US" w:eastAsia="zh-CN"/>
        </w:rPr>
        <w:t>汇总</w:t>
      </w:r>
      <w:r>
        <w:rPr>
          <w:rFonts w:hint="default" w:ascii="Times New Roman" w:hAnsi="Times New Roman"/>
          <w:color w:val="auto"/>
          <w:szCs w:val="21"/>
          <w:lang w:val="en-US" w:eastAsia="zh-CN"/>
        </w:rPr>
        <w:t>技术的</w:t>
      </w:r>
      <w:r>
        <w:rPr>
          <w:rFonts w:hint="eastAsia" w:ascii="Times New Roman" w:hAnsi="Times New Roman"/>
          <w:color w:val="auto"/>
          <w:szCs w:val="21"/>
          <w:lang w:val="en-US" w:eastAsia="zh-CN"/>
        </w:rPr>
        <w:t>准确性。</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表4 </w:t>
      </w:r>
      <w:r>
        <w:rPr>
          <w:rFonts w:hint="eastAsia" w:ascii="Times New Roman" w:hAnsi="Times New Roman"/>
          <w:color w:val="auto"/>
          <w:szCs w:val="21"/>
          <w:lang w:val="en-US" w:eastAsia="zh-CN"/>
        </w:rPr>
        <w:t>同行互评汇总技术的</w:t>
      </w:r>
      <w:r>
        <w:rPr>
          <w:rFonts w:hint="default" w:ascii="Times New Roman" w:hAnsi="Times New Roman"/>
          <w:color w:val="auto"/>
          <w:szCs w:val="21"/>
          <w:lang w:val="en-US" w:eastAsia="zh-CN"/>
        </w:rPr>
        <w:t>最大偏差</w:t>
      </w:r>
      <w:r>
        <w:rPr>
          <w:rFonts w:hint="eastAsia" w:ascii="Times New Roman" w:hAnsi="Times New Roman"/>
          <w:color w:val="auto"/>
          <w:szCs w:val="21"/>
          <w:lang w:val="en-US" w:eastAsia="zh-CN"/>
        </w:rPr>
        <w:t>（粗体表示最优结果）</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Table 3 Maximum bias in peer assessment </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aggregation techniques (best results in bold)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最大偏差</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均值</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中位数</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5.171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5.518</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6.766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8.447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4.331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5.07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7.366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single" w:color="auto" w:sz="4" w:space="0"/>
              <w:right w:val="nil"/>
            </w:tcBorders>
          </w:tcPr>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4.349</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5.423</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7.589</w:t>
            </w:r>
          </w:p>
        </w:tc>
      </w:tr>
    </w:tbl>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olor w:val="auto"/>
          <w:szCs w:val="21"/>
          <w:lang w:val="en-US" w:eastAsia="zh-CN"/>
        </w:rPr>
      </w:pPr>
      <w:r>
        <w:rPr>
          <w:rFonts w:hint="default" w:ascii="Times New Roman" w:hAnsi="Times New Roman"/>
          <w:color w:val="auto"/>
          <w:szCs w:val="21"/>
          <w:lang w:val="en-US" w:eastAsia="zh-CN"/>
        </w:rPr>
        <w:t>如表4 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从表中可看出，基于</w:t>
      </w:r>
      <w:r>
        <w:rPr>
          <w:rFonts w:hint="eastAsia" w:ascii="Times New Roman" w:hAnsi="Times New Roman"/>
          <w:color w:val="auto"/>
          <w:szCs w:val="21"/>
          <w:lang w:val="en-US" w:eastAsia="zh-CN"/>
        </w:rPr>
        <w:t>评价能力</w:t>
      </w:r>
      <w:r>
        <w:rPr>
          <w:rFonts w:hint="default" w:ascii="Times New Roman" w:hAnsi="Times New Roman"/>
          <w:color w:val="auto"/>
          <w:szCs w:val="21"/>
          <w:lang w:val="en-US" w:eastAsia="zh-CN"/>
        </w:rPr>
        <w:t>的</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w:t>
      </w:r>
      <w:r>
        <w:rPr>
          <w:rFonts w:hint="default" w:ascii="Times New Roman" w:hAnsi="Times New Roman"/>
          <w:color w:val="auto"/>
          <w:szCs w:val="21"/>
          <w:lang w:val="en-US" w:eastAsia="zh-CN"/>
        </w:rPr>
        <w:t>在3</w:t>
      </w:r>
      <w:r>
        <w:rPr>
          <w:rFonts w:hint="eastAsia" w:ascii="Times New Roman" w:hAnsi="Times New Roman"/>
          <w:color w:val="auto"/>
          <w:szCs w:val="21"/>
          <w:lang w:val="en-US" w:eastAsia="zh-CN"/>
        </w:rPr>
        <w:t>门课程</w:t>
      </w:r>
      <w:r>
        <w:rPr>
          <w:rFonts w:hint="default" w:ascii="Times New Roman" w:hAnsi="Times New Roman"/>
          <w:color w:val="auto"/>
          <w:szCs w:val="21"/>
          <w:lang w:val="en-US" w:eastAsia="zh-CN"/>
        </w:rPr>
        <w:t>中的最大评分偏差是最小的，说明</w:t>
      </w:r>
      <w:r>
        <w:rPr>
          <w:rFonts w:hint="eastAsia" w:ascii="Times New Roman" w:hAnsi="Times New Roman"/>
          <w:color w:val="auto"/>
          <w:szCs w:val="21"/>
          <w:lang w:val="en-US" w:eastAsia="zh-CN"/>
        </w:rPr>
        <w:t>在学生的可靠性建模中，评价能力确实比真实分数具有更好的效果。</w:t>
      </w:r>
    </w:p>
    <w:p>
      <w:pPr>
        <w:pStyle w:val="23"/>
        <w:ind w:firstLine="0" w:firstLineChars="0"/>
        <w:rPr>
          <w:rFonts w:hint="default"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r>
        <w:rPr>
          <w:rFonts w:hint="eastAsia" w:ascii="Times New Roman" w:hAnsi="Times New Roman"/>
          <w:color w:val="auto"/>
          <w:szCs w:val="21"/>
          <w:lang w:val="en-US" w:eastAsia="zh-CN"/>
        </w:rPr>
        <w:t>3 同行互评汇总技术的超参数敏感性</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default" w:ascii="Times New Roman" w:hAnsi="Times New Roman"/>
          <w:color w:val="auto"/>
          <w:szCs w:val="21"/>
          <w:lang w:val="en-US" w:eastAsia="zh-CN"/>
        </w:rPr>
        <w:t xml:space="preserve"> 为了</w:t>
      </w:r>
      <w:r>
        <w:rPr>
          <w:rFonts w:hint="eastAsia" w:ascii="Times New Roman" w:hAnsi="Times New Roman"/>
          <w:color w:val="auto"/>
          <w:szCs w:val="21"/>
          <w:lang w:val="en-US" w:eastAsia="zh-CN"/>
        </w:rPr>
        <w:t>展示</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模型中</w:t>
      </w:r>
      <w:r>
        <w:rPr>
          <w:rFonts w:hint="default" w:ascii="Times New Roman" w:hAnsi="Times New Roman"/>
          <w:color w:val="auto"/>
          <w:szCs w:val="21"/>
          <w:lang w:val="en-US" w:eastAsia="zh-CN"/>
        </w:rPr>
        <w:t>的</w:t>
      </w:r>
      <m:oMath>
        <m:r>
          <m:rPr/>
          <w:rPr>
            <w:rFonts w:hint="default" w:ascii="Cambria Math" w:hAnsi="Cambria Math"/>
            <w:color w:val="auto"/>
            <w:szCs w:val="21"/>
            <w:lang w:val="en-US"/>
          </w:rPr>
          <m:t>β</m:t>
        </m:r>
      </m:oMath>
      <w:r>
        <w:rPr>
          <w:rFonts w:hint="default" w:ascii="Times New Roman" w:hAnsi="Times New Roman"/>
          <w:color w:val="auto"/>
          <w:szCs w:val="21"/>
          <w:lang w:val="en-US" w:eastAsia="zh-CN"/>
        </w:rPr>
        <w:t>超参数</w:t>
      </w:r>
      <w:r>
        <w:rPr>
          <w:rFonts w:hint="eastAsia" w:ascii="Times New Roman" w:hAnsi="Times New Roman"/>
          <w:color w:val="auto"/>
          <w:szCs w:val="21"/>
          <w:lang w:val="en-US" w:eastAsia="zh-CN"/>
        </w:rPr>
        <w:t>取值对汇总结果</w:t>
      </w:r>
      <w:r>
        <w:rPr>
          <w:rFonts w:hint="default" w:ascii="Times New Roman" w:hAnsi="Times New Roman"/>
          <w:color w:val="auto"/>
          <w:szCs w:val="21"/>
          <w:lang w:val="en-US" w:eastAsia="zh-CN"/>
        </w:rPr>
        <w:t>的影响</w:t>
      </w:r>
      <w:r>
        <w:rPr>
          <w:rFonts w:hint="eastAsia" w:ascii="Times New Roman" w:hAnsi="Times New Roman"/>
          <w:color w:val="auto"/>
          <w:szCs w:val="21"/>
          <w:lang w:val="en-US" w:eastAsia="zh-CN"/>
        </w:rPr>
        <w:t>，我们</w:t>
      </w:r>
      <m:oMath>
        <m:r>
          <m:rPr/>
          <w:rPr>
            <w:rFonts w:hint="default" w:ascii="Cambria Math" w:hAnsi="Cambria Math"/>
            <w:color w:val="auto"/>
            <w:szCs w:val="21"/>
            <w:lang w:val="en-US"/>
          </w:rPr>
          <m:t>β</m:t>
        </m:r>
      </m:oMath>
      <w:r>
        <w:rPr>
          <w:rFonts w:hint="default" w:ascii="Times New Roman" w:hAnsi="Times New Roman"/>
          <w:color w:val="auto"/>
          <w:szCs w:val="21"/>
          <w:lang w:val="en-US" w:eastAsia="zh-CN"/>
        </w:rPr>
        <w:t>超参数进行了</w:t>
      </w:r>
      <w:r>
        <w:rPr>
          <w:rFonts w:hint="eastAsia" w:ascii="Times New Roman" w:hAnsi="Times New Roman"/>
          <w:color w:val="auto"/>
          <w:szCs w:val="21"/>
          <w:lang w:val="en-US" w:eastAsia="zh-CN"/>
        </w:rPr>
        <w:t>离散型取值</w:t>
      </w:r>
      <w:r>
        <w:rPr>
          <w:rFonts w:hint="default" w:ascii="Times New Roman" w:hAnsi="Times New Roman"/>
          <w:color w:val="auto"/>
          <w:szCs w:val="21"/>
          <w:lang w:val="en-US" w:eastAsia="zh-CN"/>
        </w:rPr>
        <w:t>分析</w:t>
      </w:r>
      <w:r>
        <w:rPr>
          <w:rFonts w:hint="eastAsia" w:ascii="Times New Roman" w:hAnsi="Times New Roman"/>
          <w:color w:val="auto"/>
          <w:szCs w:val="21"/>
          <w:lang w:val="en-US" w:eastAsia="zh-CN"/>
        </w:rPr>
        <w:t>。我们</w:t>
      </w:r>
      <w:r>
        <w:rPr>
          <w:rFonts w:hint="default" w:ascii="Times New Roman" w:hAnsi="Times New Roman"/>
          <w:color w:val="auto"/>
          <w:szCs w:val="21"/>
          <w:lang w:val="en-US" w:eastAsia="zh-CN"/>
        </w:rPr>
        <w:t>将</w:t>
      </w:r>
      <w:r>
        <w:rPr>
          <w:rFonts w:hint="eastAsia" w:ascii="Times New Roman" w:hAnsi="Times New Roman"/>
          <w:color w:val="auto"/>
          <w:szCs w:val="21"/>
          <w:lang w:val="en-US" w:eastAsia="zh-CN"/>
        </w:rPr>
        <w:t>两个模型</w:t>
      </w:r>
      <w:r>
        <w:rPr>
          <w:rFonts w:hint="default" w:ascii="Times New Roman" w:hAnsi="Times New Roman"/>
          <w:color w:val="auto"/>
          <w:szCs w:val="21"/>
          <w:lang w:val="en-US" w:eastAsia="zh-CN"/>
        </w:rPr>
        <w:t>中的</w:t>
      </w:r>
      <m:oMath>
        <m:r>
          <m:rPr/>
          <w:rPr>
            <w:rFonts w:hint="default" w:ascii="Cambria Math" w:hAnsi="Cambria Math"/>
            <w:color w:val="auto"/>
            <w:szCs w:val="21"/>
            <w:lang w:val="en-US"/>
          </w:rPr>
          <m:t>β</m:t>
        </m:r>
      </m:oMath>
      <w:r>
        <w:rPr>
          <w:rFonts w:hint="default" w:ascii="Times New Roman" w:hAnsi="Times New Roman"/>
          <w:color w:val="auto"/>
          <w:szCs w:val="21"/>
          <w:lang w:val="en-US" w:eastAsia="zh-CN"/>
        </w:rPr>
        <w:t>超参数设置在［1</w:t>
      </w:r>
      <w:r>
        <w:rPr>
          <w:rFonts w:hint="eastAsia" w:ascii="Times New Roman" w:hAnsi="Times New Roman"/>
          <w:color w:val="auto"/>
          <w:szCs w:val="21"/>
          <w:lang w:val="en-US" w:eastAsia="zh-CN"/>
        </w:rPr>
        <w:t>00，7</w:t>
      </w:r>
      <w:r>
        <w:rPr>
          <w:rFonts w:hint="default" w:ascii="Times New Roman" w:hAnsi="Times New Roman"/>
          <w:color w:val="auto"/>
          <w:szCs w:val="21"/>
          <w:lang w:val="en-US" w:eastAsia="zh-CN"/>
        </w:rPr>
        <w:t>00］范围内</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以</w:t>
      </w:r>
      <w:r>
        <w:rPr>
          <w:rFonts w:hint="eastAsia" w:ascii="Times New Roman" w:hAnsi="Times New Roman"/>
          <w:color w:val="auto"/>
          <w:szCs w:val="21"/>
          <w:lang w:val="en-US" w:eastAsia="zh-CN"/>
        </w:rPr>
        <w:t>100</w:t>
      </w:r>
      <w:r>
        <w:rPr>
          <w:rFonts w:hint="default" w:ascii="Times New Roman" w:hAnsi="Times New Roman"/>
          <w:color w:val="auto"/>
          <w:szCs w:val="21"/>
          <w:lang w:val="en-US" w:eastAsia="zh-CN"/>
        </w:rPr>
        <w:t>为步长</w:t>
      </w:r>
      <w:r>
        <w:rPr>
          <w:rFonts w:hint="eastAsia" w:ascii="Times New Roman" w:hAnsi="Times New Roman"/>
          <w:color w:val="auto"/>
          <w:szCs w:val="21"/>
          <w:lang w:val="en-US" w:eastAsia="zh-CN"/>
        </w:rPr>
        <w:t>进行</w:t>
      </w:r>
      <w:r>
        <w:rPr>
          <w:rFonts w:hint="default" w:ascii="Times New Roman" w:hAnsi="Times New Roman"/>
          <w:color w:val="auto"/>
          <w:szCs w:val="21"/>
          <w:lang w:val="en-US" w:eastAsia="zh-CN"/>
        </w:rPr>
        <w:t>变化</w:t>
      </w:r>
      <w:r>
        <w:rPr>
          <w:rFonts w:hint="eastAsia" w:ascii="Times New Roman" w:hAnsi="Times New Roman"/>
          <w:color w:val="auto"/>
          <w:szCs w:val="21"/>
          <w:lang w:val="en-US" w:eastAsia="zh-CN"/>
        </w:rPr>
        <w:t>，得到的</w:t>
      </w:r>
      <w:r>
        <w:rPr>
          <w:rFonts w:hint="default" w:ascii="Times New Roman" w:hAnsi="Times New Roman"/>
          <w:color w:val="auto"/>
          <w:szCs w:val="21"/>
          <w:lang w:val="en-US" w:eastAsia="zh-CN"/>
        </w:rPr>
        <w:t>实验结果如图</w:t>
      </w:r>
      <w:r>
        <w:rPr>
          <w:rFonts w:hint="eastAsia" w:ascii="Times New Roman" w:hAnsi="Times New Roman"/>
          <w:color w:val="auto"/>
          <w:szCs w:val="21"/>
          <w:lang w:val="en-US" w:eastAsia="zh-CN"/>
        </w:rPr>
        <w:t>3和图4</w:t>
      </w:r>
      <w:r>
        <w:rPr>
          <w:rFonts w:hint="default" w:ascii="Times New Roman" w:hAnsi="Times New Roman"/>
          <w:color w:val="auto"/>
          <w:szCs w:val="21"/>
          <w:lang w:val="en-US" w:eastAsia="zh-CN"/>
        </w:rPr>
        <w:t>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结果表明</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这两种</w:t>
      </w:r>
      <w:r>
        <w:rPr>
          <w:rFonts w:hint="eastAsia" w:ascii="Times New Roman" w:hAnsi="Times New Roman"/>
          <w:color w:val="auto"/>
          <w:szCs w:val="21"/>
          <w:lang w:val="en-US" w:eastAsia="zh-CN"/>
        </w:rPr>
        <w:t>模型能够使得超参数在</w:t>
      </w:r>
      <w:r>
        <w:rPr>
          <w:rFonts w:hint="default" w:ascii="Times New Roman" w:hAnsi="Times New Roman"/>
          <w:color w:val="auto"/>
          <w:szCs w:val="21"/>
          <w:lang w:val="en-US" w:eastAsia="zh-CN"/>
        </w:rPr>
        <w:t>合理的取值范围内</w:t>
      </w:r>
      <w:r>
        <w:rPr>
          <w:rFonts w:hint="eastAsia" w:ascii="Times New Roman" w:hAnsi="Times New Roman"/>
          <w:color w:val="auto"/>
          <w:szCs w:val="21"/>
          <w:lang w:val="en-US" w:eastAsia="zh-CN"/>
        </w:rPr>
        <w:t>保持一定的</w:t>
      </w:r>
      <w:r>
        <w:rPr>
          <w:rFonts w:hint="default" w:ascii="Times New Roman" w:hAnsi="Times New Roman"/>
          <w:color w:val="auto"/>
          <w:szCs w:val="21"/>
          <w:lang w:val="en-US" w:eastAsia="zh-CN"/>
        </w:rPr>
        <w:t>鲁棒性，</w:t>
      </w:r>
      <w:r>
        <w:rPr>
          <w:rFonts w:hint="eastAsia" w:ascii="Times New Roman" w:hAnsi="Times New Roman"/>
          <w:color w:val="auto"/>
          <w:szCs w:val="21"/>
          <w:lang w:val="en-US" w:eastAsia="zh-CN"/>
        </w:rPr>
        <w:t xml:space="preserve"> 其不同的取值</w:t>
      </w:r>
      <w:r>
        <w:rPr>
          <w:rFonts w:hint="default" w:ascii="Times New Roman" w:hAnsi="Times New Roman"/>
          <w:color w:val="auto"/>
          <w:szCs w:val="21"/>
          <w:lang w:val="en-US" w:eastAsia="zh-CN"/>
        </w:rPr>
        <w:t>对</w:t>
      </w:r>
      <w:r>
        <w:rPr>
          <w:rFonts w:hint="eastAsia" w:ascii="Times New Roman" w:hAnsi="Times New Roman"/>
          <w:color w:val="auto"/>
          <w:szCs w:val="21"/>
          <w:lang w:val="en-US" w:eastAsia="zh-CN"/>
        </w:rPr>
        <w:t>模型的估计结果</w:t>
      </w:r>
      <w:r>
        <w:rPr>
          <w:rFonts w:hint="default" w:ascii="Times New Roman" w:hAnsi="Times New Roman"/>
          <w:color w:val="auto"/>
          <w:szCs w:val="21"/>
          <w:lang w:val="en-US" w:eastAsia="zh-CN"/>
        </w:rPr>
        <w:t>误差控制在可接受的范围</w:t>
      </w:r>
      <w:r>
        <w:rPr>
          <w:rFonts w:hint="eastAsia" w:ascii="Times New Roman" w:hAnsi="Times New Roman"/>
          <w:color w:val="auto"/>
          <w:szCs w:val="21"/>
          <w:lang w:val="en-US" w:eastAsia="zh-CN"/>
        </w:rPr>
        <w:t>内。</w:t>
      </w:r>
    </w:p>
    <w:p>
      <w:pPr>
        <w:pStyle w:val="23"/>
        <w:keepNext w:val="0"/>
        <w:keepLines w:val="0"/>
        <w:pageBreakBefore w:val="0"/>
        <w:widowControl w:val="0"/>
        <w:kinsoku/>
        <w:wordWrap/>
        <w:overflowPunct/>
        <w:topLinePunct w:val="0"/>
        <w:autoSpaceDE/>
        <w:autoSpaceDN/>
        <w:bidi w:val="0"/>
        <w:adjustRightInd/>
        <w:snapToGrid/>
        <w:ind w:firstLine="0" w:firstLineChars="0"/>
        <w:textAlignment w:val="auto"/>
      </w:pPr>
      <w:r>
        <w:drawing>
          <wp:inline distT="0" distB="0" distL="114300" distR="114300">
            <wp:extent cx="2694305" cy="1757045"/>
            <wp:effectExtent l="0" t="0" r="31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694305" cy="1757045"/>
                    </a:xfrm>
                    <a:prstGeom prst="rect">
                      <a:avLst/>
                    </a:prstGeom>
                    <a:noFill/>
                    <a:ln>
                      <a:noFill/>
                    </a:ln>
                  </pic:spPr>
                </pic:pic>
              </a:graphicData>
            </a:graphic>
          </wp:inline>
        </w:drawing>
      </w:r>
    </w:p>
    <w:p>
      <w:pPr>
        <w:pStyle w:val="23"/>
        <w:ind w:firstLine="0" w:firstLineChars="0"/>
        <w:jc w:val="center"/>
        <w:rPr>
          <w:rFonts w:hint="default" w:ascii="宋体" w:hAnsi="宋体"/>
          <w:color w:val="auto"/>
          <w:szCs w:val="21"/>
          <w:lang w:val="en-US"/>
        </w:rPr>
      </w:pPr>
      <w:r>
        <w:rPr>
          <w:rFonts w:hint="eastAsia" w:ascii="宋体" w:hAnsi="宋体"/>
          <w:color w:val="auto"/>
          <w:szCs w:val="21"/>
        </w:rPr>
        <w:t>图</w:t>
      </w:r>
      <w:r>
        <w:rPr>
          <w:rFonts w:hint="eastAsia" w:ascii="宋体" w:hAnsi="宋体"/>
          <w:color w:val="auto"/>
          <w:szCs w:val="21"/>
          <w:lang w:val="en-US" w:eastAsia="zh-CN"/>
        </w:rPr>
        <w:t>3</w:t>
      </w:r>
      <w:r>
        <w:rPr>
          <w:rFonts w:hint="eastAsia" w:ascii="宋体" w:hAnsi="宋体"/>
          <w:color w:val="auto"/>
          <w:szCs w:val="21"/>
        </w:rPr>
        <w:t xml:space="preserve">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eastAsia" w:ascii="Times New Roman" w:hAnsi="Times New Roman"/>
          <w:color w:val="auto"/>
          <w:szCs w:val="21"/>
          <w:vertAlign w:val="baseline"/>
          <w:lang w:val="en-US" w:eastAsia="zh-CN"/>
        </w:rPr>
        <w:t>的超参数敏感分析</w:t>
      </w:r>
    </w:p>
    <w:p>
      <w:pPr>
        <w:pStyle w:val="23"/>
        <w:ind w:firstLine="0" w:firstLineChars="0"/>
        <w:jc w:val="center"/>
        <w:rPr>
          <w:rFonts w:hint="eastAsia" w:ascii="Times New Roman" w:hAnsi="Times New Roman"/>
          <w:color w:val="auto"/>
          <w:szCs w:val="21"/>
        </w:rPr>
      </w:pPr>
      <w:r>
        <w:rPr>
          <w:rFonts w:ascii="Times New Roman" w:hAnsi="Times New Roman"/>
          <w:color w:val="auto"/>
          <w:szCs w:val="21"/>
        </w:rPr>
        <w:t>Fig.</w:t>
      </w:r>
      <w:r>
        <w:rPr>
          <w:rFonts w:hint="eastAsia" w:ascii="Times New Roman" w:hAnsi="Times New Roman"/>
          <w:color w:val="auto"/>
          <w:szCs w:val="21"/>
          <w:lang w:val="en-US" w:eastAsia="zh-CN"/>
        </w:rPr>
        <w:t>3</w:t>
      </w:r>
      <w:r>
        <w:rPr>
          <w:rFonts w:ascii="Times New Roman" w:hAnsi="Times New Roman"/>
          <w:color w:val="auto"/>
          <w:szCs w:val="21"/>
        </w:rPr>
        <w:t xml:space="preserve">  </w:t>
      </w:r>
      <w:r>
        <w:rPr>
          <w:rFonts w:hint="eastAsia" w:ascii="Times New Roman" w:hAnsi="Times New Roman"/>
          <w:color w:val="auto"/>
          <w:szCs w:val="21"/>
        </w:rPr>
        <w:t xml:space="preserve">Hyperparametric sensitivity analysis of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pPr>
    </w:p>
    <w:p>
      <w:pPr>
        <w:pStyle w:val="23"/>
        <w:keepNext w:val="0"/>
        <w:keepLines w:val="0"/>
        <w:pageBreakBefore w:val="0"/>
        <w:widowControl w:val="0"/>
        <w:kinsoku/>
        <w:wordWrap/>
        <w:overflowPunct/>
        <w:topLinePunct w:val="0"/>
        <w:autoSpaceDE/>
        <w:autoSpaceDN/>
        <w:bidi w:val="0"/>
        <w:adjustRightInd/>
        <w:snapToGrid/>
        <w:ind w:firstLine="0" w:firstLineChars="0"/>
        <w:textAlignment w:val="auto"/>
      </w:pPr>
      <w:r>
        <w:drawing>
          <wp:inline distT="0" distB="0" distL="114300" distR="114300">
            <wp:extent cx="2696210" cy="1758950"/>
            <wp:effectExtent l="0" t="0" r="127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2696210" cy="1758950"/>
                    </a:xfrm>
                    <a:prstGeom prst="rect">
                      <a:avLst/>
                    </a:prstGeom>
                    <a:noFill/>
                    <a:ln>
                      <a:noFill/>
                    </a:ln>
                  </pic:spPr>
                </pic:pic>
              </a:graphicData>
            </a:graphic>
          </wp:inline>
        </w:drawing>
      </w:r>
    </w:p>
    <w:p>
      <w:pPr>
        <w:pStyle w:val="23"/>
        <w:ind w:firstLine="0" w:firstLineChars="0"/>
        <w:jc w:val="center"/>
        <w:rPr>
          <w:rFonts w:hint="eastAsia" w:ascii="宋体" w:hAnsi="宋体"/>
          <w:color w:val="auto"/>
          <w:szCs w:val="21"/>
        </w:rPr>
      </w:pPr>
      <w:r>
        <w:rPr>
          <w:rFonts w:hint="eastAsia" w:ascii="宋体" w:hAnsi="宋体"/>
          <w:color w:val="auto"/>
          <w:szCs w:val="21"/>
        </w:rPr>
        <w:t>图</w:t>
      </w:r>
      <w:r>
        <w:rPr>
          <w:rFonts w:hint="eastAsia" w:ascii="宋体" w:hAnsi="宋体"/>
          <w:color w:val="auto"/>
          <w:szCs w:val="21"/>
          <w:lang w:val="en-US" w:eastAsia="zh-CN"/>
        </w:rPr>
        <w:t>4</w:t>
      </w:r>
      <w:r>
        <w:rPr>
          <w:rFonts w:hint="eastAsia" w:ascii="宋体" w:hAnsi="宋体"/>
          <w:color w:val="auto"/>
          <w:szCs w:val="21"/>
        </w:rPr>
        <w:t xml:space="preserve">  </w:t>
      </w:r>
      <w:r>
        <w:rPr>
          <w:rFonts w:hint="eastAsia" w:cs="Times New Roman"/>
          <w:color w:val="auto"/>
          <w:kern w:val="2"/>
          <w:sz w:val="21"/>
          <w:szCs w:val="21"/>
          <w:lang w:val="en-US" w:eastAsia="zh-CN"/>
        </w:rPr>
        <w:t>更新评价能力的流程图</w:t>
      </w:r>
    </w:p>
    <w:p>
      <w:pPr>
        <w:pStyle w:val="23"/>
        <w:ind w:firstLine="0" w:firstLineChars="0"/>
        <w:jc w:val="center"/>
        <w:rPr>
          <w:rFonts w:hint="eastAsia" w:ascii="Times New Roman" w:hAnsi="Times New Roman"/>
          <w:color w:val="auto"/>
          <w:szCs w:val="21"/>
        </w:rPr>
      </w:pPr>
      <w:r>
        <w:rPr>
          <w:rFonts w:ascii="Times New Roman" w:hAnsi="Times New Roman"/>
          <w:color w:val="auto"/>
          <w:szCs w:val="21"/>
        </w:rPr>
        <w:t>Fig.</w:t>
      </w:r>
      <w:r>
        <w:rPr>
          <w:rFonts w:hint="eastAsia" w:ascii="Times New Roman" w:hAnsi="Times New Roman"/>
          <w:color w:val="auto"/>
          <w:szCs w:val="21"/>
          <w:lang w:val="en-US" w:eastAsia="zh-CN"/>
        </w:rPr>
        <w:t>4</w:t>
      </w:r>
      <w:r>
        <w:rPr>
          <w:rFonts w:ascii="Times New Roman" w:hAnsi="Times New Roman"/>
          <w:color w:val="auto"/>
          <w:szCs w:val="21"/>
        </w:rPr>
        <w:t xml:space="preserve">  </w:t>
      </w:r>
      <w:r>
        <w:rPr>
          <w:rFonts w:hint="eastAsia" w:ascii="Times New Roman" w:hAnsi="Times New Roman"/>
          <w:color w:val="auto"/>
          <w:szCs w:val="21"/>
        </w:rPr>
        <w:t xml:space="preserve">Hyperparametric sensitivity analysis of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p>
    <w:p>
      <w:pPr>
        <w:pStyle w:val="2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pStyle w:val="23"/>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r>
        <w:rPr>
          <w:rFonts w:hint="eastAsia"/>
          <w:color w:val="auto"/>
          <w:szCs w:val="21"/>
        </w:rPr>
        <w:t>本文提出了两个新的</w:t>
      </w:r>
      <w:r>
        <w:rPr>
          <w:rFonts w:hint="eastAsia"/>
          <w:color w:val="auto"/>
          <w:szCs w:val="21"/>
          <w:lang w:val="en-US" w:eastAsia="zh-CN"/>
        </w:rPr>
        <w:t>同行互评</w:t>
      </w:r>
      <w:r>
        <w:rPr>
          <w:rFonts w:hint="eastAsia"/>
          <w:color w:val="auto"/>
          <w:szCs w:val="21"/>
        </w:rPr>
        <w:t>概率模型，</w:t>
      </w:r>
      <w:r>
        <w:rPr>
          <w:rFonts w:hint="eastAsia"/>
          <w:color w:val="auto"/>
          <w:szCs w:val="21"/>
          <w:lang w:val="en-US" w:eastAsia="zh-CN"/>
        </w:rPr>
        <w:t>通过学生的互评能力取代学生的真实分数来重新对评价者可靠性进行建模</w:t>
      </w:r>
      <w:r>
        <w:rPr>
          <w:rFonts w:hint="eastAsia"/>
          <w:color w:val="auto"/>
          <w:szCs w:val="21"/>
        </w:rPr>
        <w:t>。我们</w:t>
      </w:r>
      <w:r>
        <w:rPr>
          <w:rFonts w:hint="eastAsia"/>
          <w:color w:val="auto"/>
          <w:szCs w:val="21"/>
          <w:lang w:val="en-US" w:eastAsia="zh-CN"/>
        </w:rPr>
        <w:t>提出了一种方法来量化学生的评价能力</w:t>
      </w:r>
      <w:r>
        <w:rPr>
          <w:rFonts w:hint="eastAsia"/>
          <w:color w:val="auto"/>
          <w:szCs w:val="21"/>
        </w:rPr>
        <w:t>，</w:t>
      </w:r>
      <w:r>
        <w:rPr>
          <w:rFonts w:hint="eastAsia"/>
          <w:color w:val="auto"/>
          <w:szCs w:val="21"/>
          <w:lang w:val="en-US" w:eastAsia="zh-CN"/>
        </w:rPr>
        <w:t>并且</w:t>
      </w:r>
      <w:r>
        <w:rPr>
          <w:rFonts w:hint="eastAsia"/>
          <w:color w:val="auto"/>
          <w:szCs w:val="21"/>
        </w:rPr>
        <w:t>根据学生在每次作业中的</w:t>
      </w:r>
      <w:r>
        <w:rPr>
          <w:rFonts w:hint="eastAsia"/>
          <w:color w:val="auto"/>
          <w:szCs w:val="21"/>
          <w:lang w:val="en-US" w:eastAsia="zh-CN"/>
        </w:rPr>
        <w:t>表现</w:t>
      </w:r>
      <w:r>
        <w:rPr>
          <w:rFonts w:hint="eastAsia"/>
          <w:color w:val="auto"/>
          <w:szCs w:val="21"/>
        </w:rPr>
        <w:t>来</w:t>
      </w:r>
      <w:r>
        <w:rPr>
          <w:rFonts w:hint="eastAsia"/>
          <w:color w:val="auto"/>
          <w:szCs w:val="21"/>
          <w:lang w:val="en-US" w:eastAsia="zh-CN"/>
        </w:rPr>
        <w:t>更新评价能力</w:t>
      </w:r>
      <w:r>
        <w:rPr>
          <w:rFonts w:hint="eastAsia"/>
          <w:color w:val="auto"/>
          <w:szCs w:val="21"/>
        </w:rPr>
        <w:t>，然后利用这种</w:t>
      </w:r>
      <w:r>
        <w:rPr>
          <w:rFonts w:hint="eastAsia"/>
          <w:color w:val="auto"/>
          <w:szCs w:val="21"/>
          <w:lang w:val="en-US" w:eastAsia="zh-CN"/>
        </w:rPr>
        <w:t>形式来</w:t>
      </w:r>
      <w:r>
        <w:rPr>
          <w:rFonts w:hint="eastAsia"/>
          <w:color w:val="auto"/>
          <w:szCs w:val="21"/>
        </w:rPr>
        <w:t>优化评分者的可靠性建模</w:t>
      </w:r>
      <w:r>
        <w:rPr>
          <w:rFonts w:hint="eastAsia"/>
          <w:color w:val="auto"/>
          <w:szCs w:val="21"/>
          <w:lang w:eastAsia="zh-CN"/>
        </w:rPr>
        <w:t>，</w:t>
      </w:r>
      <w:r>
        <w:rPr>
          <w:rFonts w:hint="eastAsia"/>
          <w:color w:val="auto"/>
          <w:szCs w:val="21"/>
          <w:lang w:val="en-US" w:eastAsia="zh-CN"/>
        </w:rPr>
        <w:t>并且根据新的观测变量和隐变量关系推到了概率模型生成公式</w:t>
      </w:r>
      <w:r>
        <w:rPr>
          <w:rFonts w:hint="eastAsia"/>
          <w:color w:val="auto"/>
          <w:szCs w:val="21"/>
        </w:rPr>
        <w:t>。基于真实的同伴评估数据集的实验结果表明，这两个模型提高了对同伴评估真实分数的估计的准确性，</w:t>
      </w:r>
      <w:r>
        <w:rPr>
          <w:rFonts w:hint="eastAsia"/>
          <w:color w:val="auto"/>
          <w:szCs w:val="21"/>
          <w:lang w:val="en-US" w:eastAsia="zh-CN"/>
        </w:rPr>
        <w:t>这说明</w:t>
      </w:r>
      <w:r>
        <w:rPr>
          <w:rFonts w:hint="eastAsia"/>
          <w:color w:val="auto"/>
          <w:szCs w:val="21"/>
        </w:rPr>
        <w:t>评价能力确实有助于提高估计同行评估的真实分数的准确性。除了</w:t>
      </w:r>
      <w:r>
        <w:rPr>
          <w:rFonts w:hint="eastAsia"/>
          <w:color w:val="auto"/>
          <w:szCs w:val="21"/>
          <w:lang w:val="en-US" w:eastAsia="zh-CN"/>
        </w:rPr>
        <w:t>教育同行互评</w:t>
      </w:r>
      <w:r>
        <w:rPr>
          <w:rFonts w:hint="eastAsia"/>
          <w:color w:val="auto"/>
          <w:szCs w:val="21"/>
        </w:rPr>
        <w:t>领域，我们提出的模型还可以应用于众包领域，</w:t>
      </w:r>
      <w:r>
        <w:rPr>
          <w:rFonts w:hint="eastAsia"/>
          <w:color w:val="auto"/>
          <w:szCs w:val="21"/>
          <w:lang w:val="en-US" w:eastAsia="zh-CN"/>
        </w:rPr>
        <w:t>并且教师抽查这种形式也可以泛化为少量的专家评审</w:t>
      </w:r>
      <w:r>
        <w:rPr>
          <w:rFonts w:hint="eastAsia"/>
          <w:color w:val="auto"/>
          <w:szCs w:val="21"/>
        </w:rPr>
        <w:t>。未来我们将尝试引入其他影响评分者的可靠性和偏差的因素，以进一步改善同行评估的估计。</w:t>
      </w:r>
    </w:p>
    <w:p>
      <w:pPr>
        <w:adjustRightInd w:val="0"/>
        <w:snapToGrid w:val="0"/>
        <w:rPr>
          <w:rFonts w:hint="eastAsia"/>
          <w:color w:val="auto"/>
          <w:szCs w:val="21"/>
        </w:rPr>
      </w:pPr>
    </w:p>
    <w:p>
      <w:pPr>
        <w:adjustRightInd w:val="0"/>
        <w:snapToGrid w:val="0"/>
        <w:rPr>
          <w:rFonts w:hint="eastAsia"/>
          <w:color w:val="auto"/>
          <w:szCs w:val="21"/>
        </w:rPr>
      </w:pPr>
    </w:p>
    <w:p>
      <w:pPr>
        <w:adjustRightInd w:val="0"/>
        <w:snapToGrid w:val="0"/>
        <w:rPr>
          <w:color w:val="auto"/>
          <w:sz w:val="18"/>
          <w:szCs w:val="18"/>
        </w:rPr>
      </w:pPr>
      <w:r>
        <w:rPr>
          <w:rFonts w:hint="eastAsia"/>
          <w:b/>
          <w:color w:val="auto"/>
          <w:szCs w:val="21"/>
        </w:rPr>
        <w:t>参考文献：</w:t>
      </w:r>
    </w:p>
    <w:p>
      <w:pPr>
        <w:numPr>
          <w:ilvl w:val="0"/>
          <w:numId w:val="2"/>
        </w:numPr>
        <w:autoSpaceDE w:val="0"/>
        <w:autoSpaceDN w:val="0"/>
        <w:adjustRightInd w:val="0"/>
        <w:ind w:left="454" w:leftChars="0" w:hanging="454" w:firstLineChars="0"/>
        <w:jc w:val="left"/>
        <w:rPr>
          <w:color w:val="auto"/>
          <w:sz w:val="18"/>
          <w:szCs w:val="18"/>
        </w:rPr>
      </w:pPr>
      <w:bookmarkStart w:id="0" w:name="_Ref29648"/>
      <w:r>
        <w:rPr>
          <w:color w:val="auto"/>
          <w:sz w:val="18"/>
          <w:szCs w:val="18"/>
        </w:rPr>
        <w:t>Caragiannis I, Krimpas G A, Voudouris A A. Aggregating partial rankings with applications to peer grading in massive online open courses[J]. arXiv preprint arXiv:1411.4619, 2014.</w:t>
      </w:r>
      <w:bookmarkEnd w:id="0"/>
    </w:p>
    <w:p>
      <w:pPr>
        <w:numPr>
          <w:ilvl w:val="0"/>
          <w:numId w:val="2"/>
        </w:numPr>
        <w:autoSpaceDE w:val="0"/>
        <w:autoSpaceDN w:val="0"/>
        <w:adjustRightInd w:val="0"/>
        <w:ind w:left="454" w:leftChars="0" w:hanging="454" w:firstLineChars="0"/>
        <w:jc w:val="left"/>
        <w:rPr>
          <w:color w:val="auto"/>
          <w:sz w:val="18"/>
          <w:szCs w:val="18"/>
        </w:rPr>
      </w:pPr>
      <w:bookmarkStart w:id="1" w:name="_Ref29681"/>
      <w:r>
        <w:rPr>
          <w:color w:val="auto"/>
          <w:sz w:val="18"/>
          <w:szCs w:val="18"/>
        </w:rPr>
        <w:t>Paré D E, Joordens S. Peering into large lectures: examining peer and expert mark agreement using peerScholar, an online peer assessment tool[J]. Journal of Computer Assisted Learning, 2008, 24(6): 526-540.</w:t>
      </w:r>
      <w:bookmarkEnd w:id="1"/>
    </w:p>
    <w:p>
      <w:pPr>
        <w:numPr>
          <w:ilvl w:val="0"/>
          <w:numId w:val="2"/>
        </w:numPr>
        <w:autoSpaceDE w:val="0"/>
        <w:autoSpaceDN w:val="0"/>
        <w:adjustRightInd w:val="0"/>
        <w:ind w:left="454" w:leftChars="0" w:hanging="454" w:firstLineChars="0"/>
        <w:jc w:val="left"/>
        <w:rPr>
          <w:color w:val="auto"/>
          <w:sz w:val="18"/>
          <w:szCs w:val="18"/>
        </w:rPr>
      </w:pPr>
      <w:bookmarkStart w:id="2" w:name="_Ref29903"/>
      <w:r>
        <w:rPr>
          <w:color w:val="auto"/>
          <w:sz w:val="18"/>
          <w:szCs w:val="18"/>
        </w:rPr>
        <w:t>Chang S C, Hsu T C, Jong M S Y. Integration of the peer assessment approach with a virtual reality design system for learning earth science[J]. Computers &amp; Education, 2020, 146: 103758.</w:t>
      </w:r>
      <w:bookmarkEnd w:id="2"/>
    </w:p>
    <w:p>
      <w:pPr>
        <w:numPr>
          <w:ilvl w:val="0"/>
          <w:numId w:val="2"/>
        </w:numPr>
        <w:autoSpaceDE w:val="0"/>
        <w:autoSpaceDN w:val="0"/>
        <w:adjustRightInd w:val="0"/>
        <w:ind w:left="454" w:leftChars="0" w:hanging="454" w:firstLineChars="0"/>
        <w:jc w:val="left"/>
        <w:rPr>
          <w:color w:val="auto"/>
          <w:sz w:val="18"/>
          <w:szCs w:val="18"/>
        </w:rPr>
      </w:pPr>
      <w:bookmarkStart w:id="3" w:name="_Ref29932"/>
      <w:r>
        <w:rPr>
          <w:color w:val="auto"/>
          <w:sz w:val="18"/>
          <w:szCs w:val="18"/>
        </w:rPr>
        <w:t>Hovardas T, Tsivitanidou O E, Zacharia Z C. Peer versus expert feedback: An investigation of the quality of peer feedback among secondary school students[J]. Computers &amp; Education, 2014, 71: 133-152.</w:t>
      </w:r>
      <w:bookmarkEnd w:id="3"/>
    </w:p>
    <w:p>
      <w:pPr>
        <w:numPr>
          <w:ilvl w:val="0"/>
          <w:numId w:val="2"/>
        </w:numPr>
        <w:autoSpaceDE w:val="0"/>
        <w:autoSpaceDN w:val="0"/>
        <w:adjustRightInd w:val="0"/>
        <w:ind w:left="454" w:leftChars="0" w:hanging="454" w:firstLineChars="0"/>
        <w:jc w:val="left"/>
        <w:rPr>
          <w:color w:val="auto"/>
          <w:sz w:val="18"/>
          <w:szCs w:val="18"/>
        </w:rPr>
      </w:pPr>
      <w:bookmarkStart w:id="4" w:name="_Ref29952"/>
      <w:r>
        <w:rPr>
          <w:color w:val="auto"/>
          <w:sz w:val="18"/>
          <w:szCs w:val="18"/>
        </w:rPr>
        <w:t>Li L, Liu X, Steckelberg A L. Assessor or assessee: How student learning improves by giving and receiving peer feedback[J]. British journal of educational technology, 2010, 41(3): 525-536.</w:t>
      </w:r>
      <w:bookmarkEnd w:id="4"/>
    </w:p>
    <w:p>
      <w:pPr>
        <w:numPr>
          <w:ilvl w:val="0"/>
          <w:numId w:val="2"/>
        </w:numPr>
        <w:autoSpaceDE w:val="0"/>
        <w:autoSpaceDN w:val="0"/>
        <w:adjustRightInd w:val="0"/>
        <w:ind w:left="454" w:leftChars="0" w:hanging="454" w:firstLineChars="0"/>
        <w:jc w:val="left"/>
        <w:rPr>
          <w:color w:val="auto"/>
          <w:sz w:val="18"/>
          <w:szCs w:val="18"/>
        </w:rPr>
      </w:pPr>
      <w:bookmarkStart w:id="5" w:name="_Ref29978"/>
      <w:r>
        <w:rPr>
          <w:color w:val="auto"/>
          <w:sz w:val="18"/>
          <w:szCs w:val="18"/>
        </w:rPr>
        <w:t>de Alfaro L, Shavlovsky M. Dynamics of peer grading: An empirical study[J]. 2021.</w:t>
      </w:r>
      <w:bookmarkEnd w:id="5"/>
    </w:p>
    <w:p>
      <w:pPr>
        <w:numPr>
          <w:ilvl w:val="0"/>
          <w:numId w:val="2"/>
        </w:numPr>
        <w:autoSpaceDE w:val="0"/>
        <w:autoSpaceDN w:val="0"/>
        <w:adjustRightInd w:val="0"/>
        <w:ind w:left="454" w:leftChars="0" w:hanging="454" w:firstLineChars="0"/>
        <w:jc w:val="left"/>
        <w:rPr>
          <w:color w:val="auto"/>
          <w:sz w:val="18"/>
          <w:szCs w:val="18"/>
        </w:rPr>
      </w:pPr>
      <w:bookmarkStart w:id="6" w:name="_Ref30001"/>
      <w:r>
        <w:rPr>
          <w:color w:val="auto"/>
          <w:sz w:val="18"/>
          <w:szCs w:val="18"/>
        </w:rPr>
        <w:t>Capuano N, Caballé S. Towards adaptive peer assessment for MOOCs[C]//2015 10th International Conference on P2P, Parallel, Grid, Cloud and Internet Computing (3PGCIC). IEEE, 2015: 64-69.</w:t>
      </w:r>
      <w:bookmarkEnd w:id="6"/>
    </w:p>
    <w:p>
      <w:pPr>
        <w:numPr>
          <w:ilvl w:val="0"/>
          <w:numId w:val="2"/>
        </w:numPr>
        <w:autoSpaceDE w:val="0"/>
        <w:autoSpaceDN w:val="0"/>
        <w:adjustRightInd w:val="0"/>
        <w:ind w:left="454" w:leftChars="0" w:hanging="454" w:firstLineChars="0"/>
        <w:jc w:val="left"/>
        <w:rPr>
          <w:color w:val="auto"/>
          <w:sz w:val="18"/>
          <w:szCs w:val="18"/>
        </w:rPr>
      </w:pPr>
      <w:bookmarkStart w:id="7" w:name="_Ref30030"/>
      <w:r>
        <w:rPr>
          <w:color w:val="auto"/>
          <w:sz w:val="18"/>
          <w:szCs w:val="18"/>
        </w:rPr>
        <w:t>Bradley R A, Terry M E. Rank analysis of incomplete block designs: I. The method of paired comparisons[J]. Biometrika, 1952, 39(3/4): 324-345.</w:t>
      </w:r>
      <w:bookmarkEnd w:id="7"/>
    </w:p>
    <w:p>
      <w:pPr>
        <w:numPr>
          <w:ilvl w:val="0"/>
          <w:numId w:val="2"/>
        </w:numPr>
        <w:autoSpaceDE w:val="0"/>
        <w:autoSpaceDN w:val="0"/>
        <w:adjustRightInd w:val="0"/>
        <w:ind w:left="454" w:leftChars="0" w:hanging="454" w:firstLineChars="0"/>
        <w:jc w:val="left"/>
        <w:rPr>
          <w:color w:val="auto"/>
          <w:sz w:val="18"/>
          <w:szCs w:val="18"/>
        </w:rPr>
      </w:pPr>
      <w:bookmarkStart w:id="8" w:name="_Ref31702"/>
      <w:r>
        <w:rPr>
          <w:color w:val="auto"/>
          <w:sz w:val="18"/>
          <w:szCs w:val="18"/>
        </w:rPr>
        <w:t>Shah N B, Bradley J K, Parekh A, et al. A case for ordinal peer-evaluation in MOOCs[C]//NIPS workshop on data driven education. 2013, 15: 67.</w:t>
      </w:r>
      <w:bookmarkEnd w:id="8"/>
    </w:p>
    <w:p>
      <w:pPr>
        <w:numPr>
          <w:ilvl w:val="0"/>
          <w:numId w:val="2"/>
        </w:numPr>
        <w:autoSpaceDE w:val="0"/>
        <w:autoSpaceDN w:val="0"/>
        <w:adjustRightInd w:val="0"/>
        <w:ind w:left="454" w:leftChars="0" w:hanging="454" w:firstLineChars="0"/>
        <w:jc w:val="left"/>
        <w:rPr>
          <w:color w:val="auto"/>
          <w:sz w:val="18"/>
          <w:szCs w:val="18"/>
        </w:rPr>
      </w:pPr>
      <w:bookmarkStart w:id="9" w:name="_Ref31735"/>
      <w:r>
        <w:rPr>
          <w:color w:val="auto"/>
          <w:sz w:val="18"/>
          <w:szCs w:val="18"/>
        </w:rPr>
        <w:t>Plackett R L. The analysis of permutations[J]. Journal of the Royal Statistical Society: Series C (Applied Statistics), 1975, 24(2): 193-202.</w:t>
      </w:r>
      <w:bookmarkEnd w:id="9"/>
    </w:p>
    <w:p>
      <w:pPr>
        <w:numPr>
          <w:ilvl w:val="0"/>
          <w:numId w:val="2"/>
        </w:numPr>
        <w:autoSpaceDE w:val="0"/>
        <w:autoSpaceDN w:val="0"/>
        <w:adjustRightInd w:val="0"/>
        <w:ind w:left="454" w:leftChars="0" w:hanging="454" w:firstLineChars="0"/>
        <w:jc w:val="left"/>
        <w:rPr>
          <w:color w:val="auto"/>
          <w:sz w:val="18"/>
          <w:szCs w:val="18"/>
        </w:rPr>
      </w:pPr>
      <w:bookmarkStart w:id="10" w:name="_Ref31767"/>
      <w:r>
        <w:rPr>
          <w:color w:val="auto"/>
          <w:sz w:val="18"/>
          <w:szCs w:val="18"/>
        </w:rPr>
        <w:t>Bradley R A, Terry M E. Rank analysis of incomplete block designs: I. The method of paired comparisons[J]. Biometrika, 1952, 39(3/4): 324-345.</w:t>
      </w:r>
      <w:bookmarkEnd w:id="10"/>
    </w:p>
    <w:p>
      <w:pPr>
        <w:numPr>
          <w:ilvl w:val="0"/>
          <w:numId w:val="2"/>
        </w:numPr>
        <w:autoSpaceDE w:val="0"/>
        <w:autoSpaceDN w:val="0"/>
        <w:adjustRightInd w:val="0"/>
        <w:ind w:left="454" w:leftChars="0" w:hanging="454" w:firstLineChars="0"/>
        <w:jc w:val="left"/>
        <w:rPr>
          <w:color w:val="auto"/>
          <w:sz w:val="18"/>
          <w:szCs w:val="18"/>
        </w:rPr>
      </w:pPr>
      <w:bookmarkStart w:id="11" w:name="_Ref31787"/>
      <w:r>
        <w:rPr>
          <w:color w:val="auto"/>
          <w:sz w:val="18"/>
          <w:szCs w:val="18"/>
        </w:rPr>
        <w:t>Thurstone L L. The method of paired comparisons for social values[J]. The Journal of Abnormal and Social Psychology, 1927, 21(4): 384.</w:t>
      </w:r>
      <w:bookmarkEnd w:id="11"/>
    </w:p>
    <w:p>
      <w:pPr>
        <w:numPr>
          <w:ilvl w:val="0"/>
          <w:numId w:val="2"/>
        </w:numPr>
        <w:autoSpaceDE w:val="0"/>
        <w:autoSpaceDN w:val="0"/>
        <w:adjustRightInd w:val="0"/>
        <w:ind w:left="454" w:leftChars="0" w:hanging="454" w:firstLineChars="0"/>
        <w:jc w:val="left"/>
        <w:rPr>
          <w:color w:val="auto"/>
          <w:sz w:val="18"/>
          <w:szCs w:val="18"/>
        </w:rPr>
      </w:pPr>
      <w:bookmarkStart w:id="12" w:name="_Ref31970"/>
      <w:r>
        <w:rPr>
          <w:color w:val="auto"/>
          <w:sz w:val="18"/>
          <w:szCs w:val="18"/>
        </w:rPr>
        <w:t>Plackett R L. The analysis of permutations[J]. Journal of the Royal Statistical Society: Series C (Applied Statistics), 1975, 24(2): 193-202.</w:t>
      </w:r>
      <w:bookmarkEnd w:id="12"/>
    </w:p>
    <w:p>
      <w:pPr>
        <w:numPr>
          <w:ilvl w:val="0"/>
          <w:numId w:val="2"/>
        </w:numPr>
        <w:autoSpaceDE w:val="0"/>
        <w:autoSpaceDN w:val="0"/>
        <w:adjustRightInd w:val="0"/>
        <w:ind w:left="454" w:leftChars="0" w:hanging="454" w:firstLineChars="0"/>
        <w:jc w:val="left"/>
        <w:rPr>
          <w:color w:val="auto"/>
          <w:sz w:val="18"/>
          <w:szCs w:val="18"/>
        </w:rPr>
      </w:pPr>
      <w:bookmarkStart w:id="13" w:name="_Ref31924"/>
      <w:r>
        <w:rPr>
          <w:color w:val="auto"/>
          <w:sz w:val="18"/>
          <w:szCs w:val="18"/>
        </w:rPr>
        <w:t>Capuano N, Loia V, Orciuoli F. A fuzzy group decision making model for ordinal peer assessment[J]. IEEE Transactions on Learning Technologies, 2016, 10(2): 247-259.</w:t>
      </w:r>
      <w:bookmarkEnd w:id="13"/>
    </w:p>
    <w:p>
      <w:pPr>
        <w:numPr>
          <w:ilvl w:val="0"/>
          <w:numId w:val="2"/>
        </w:numPr>
        <w:autoSpaceDE w:val="0"/>
        <w:autoSpaceDN w:val="0"/>
        <w:adjustRightInd w:val="0"/>
        <w:ind w:left="454" w:leftChars="0" w:hanging="454" w:firstLineChars="0"/>
        <w:jc w:val="left"/>
        <w:rPr>
          <w:color w:val="auto"/>
          <w:sz w:val="18"/>
          <w:szCs w:val="18"/>
        </w:rPr>
      </w:pPr>
      <w:bookmarkStart w:id="14" w:name="_Ref32218"/>
      <w:r>
        <w:rPr>
          <w:color w:val="auto"/>
          <w:sz w:val="18"/>
          <w:szCs w:val="18"/>
        </w:rPr>
        <w:t>Fang H, Wang Y, Jin Q, et al. RankwithTA: A robust and accurate peer grading mechanism for MOOCs[C]//2017 IEEE 6th International Conference on Teaching, Assessment, and Learning for Engineering (TALE). IEEE, 2017: 497-502.</w:t>
      </w:r>
      <w:bookmarkEnd w:id="14"/>
    </w:p>
    <w:p>
      <w:pPr>
        <w:numPr>
          <w:ilvl w:val="0"/>
          <w:numId w:val="2"/>
        </w:numPr>
        <w:autoSpaceDE w:val="0"/>
        <w:autoSpaceDN w:val="0"/>
        <w:adjustRightInd w:val="0"/>
        <w:ind w:left="454" w:leftChars="0" w:hanging="454" w:firstLineChars="0"/>
        <w:jc w:val="left"/>
        <w:rPr>
          <w:color w:val="auto"/>
          <w:sz w:val="18"/>
          <w:szCs w:val="18"/>
        </w:rPr>
      </w:pPr>
      <w:bookmarkStart w:id="15" w:name="_Ref32244"/>
      <w:r>
        <w:rPr>
          <w:color w:val="auto"/>
          <w:sz w:val="18"/>
          <w:szCs w:val="18"/>
        </w:rPr>
        <w:t>Wang Y, Fang H, Jin Q, et al. SSPA: An effective semi-supervised peer assessment method for large scale MOOCs[J]. Interactive Learning Environments, 2022, 30(1): 158-176.</w:t>
      </w:r>
      <w:bookmarkEnd w:id="15"/>
    </w:p>
    <w:p>
      <w:pPr>
        <w:numPr>
          <w:ilvl w:val="0"/>
          <w:numId w:val="2"/>
        </w:numPr>
        <w:autoSpaceDE w:val="0"/>
        <w:autoSpaceDN w:val="0"/>
        <w:adjustRightInd w:val="0"/>
        <w:ind w:left="454" w:leftChars="0" w:hanging="454" w:firstLineChars="0"/>
        <w:jc w:val="left"/>
        <w:rPr>
          <w:color w:val="auto"/>
          <w:sz w:val="18"/>
          <w:szCs w:val="18"/>
        </w:rPr>
      </w:pPr>
      <w:bookmarkStart w:id="16" w:name="_Ref32319"/>
      <w:r>
        <w:rPr>
          <w:color w:val="auto"/>
          <w:sz w:val="18"/>
          <w:szCs w:val="18"/>
        </w:rPr>
        <w:t>Piech C, Huang J, Chen Z, et al. Tuned models of peer assessment in MOOCs[J]. arXiv preprint arXiv:1307.2579, 2013.</w:t>
      </w:r>
      <w:bookmarkEnd w:id="16"/>
    </w:p>
    <w:p>
      <w:pPr>
        <w:numPr>
          <w:ilvl w:val="0"/>
          <w:numId w:val="2"/>
        </w:numPr>
        <w:autoSpaceDE w:val="0"/>
        <w:autoSpaceDN w:val="0"/>
        <w:adjustRightInd w:val="0"/>
        <w:ind w:left="454" w:leftChars="0" w:hanging="454" w:firstLineChars="0"/>
        <w:jc w:val="left"/>
        <w:rPr>
          <w:color w:val="auto"/>
          <w:sz w:val="18"/>
          <w:szCs w:val="18"/>
        </w:rPr>
      </w:pPr>
      <w:bookmarkStart w:id="17" w:name="_Ref32424"/>
      <w:r>
        <w:rPr>
          <w:color w:val="auto"/>
          <w:sz w:val="18"/>
          <w:szCs w:val="18"/>
        </w:rPr>
        <w:t>Mi F, Yeung D Y. Probabilistic graphical models for boosting cardinal and ordinal peer grading in MOOCs[C]//Twenty-Ninth AAAI Conference on Artificial Intelligence. 2015.</w:t>
      </w:r>
      <w:bookmarkEnd w:id="17"/>
    </w:p>
    <w:p>
      <w:pPr>
        <w:numPr>
          <w:ilvl w:val="0"/>
          <w:numId w:val="2"/>
        </w:numPr>
        <w:autoSpaceDE w:val="0"/>
        <w:autoSpaceDN w:val="0"/>
        <w:adjustRightInd w:val="0"/>
        <w:ind w:left="454" w:leftChars="0" w:hanging="454" w:firstLineChars="0"/>
        <w:jc w:val="left"/>
        <w:rPr>
          <w:color w:val="auto"/>
          <w:sz w:val="18"/>
          <w:szCs w:val="18"/>
        </w:rPr>
      </w:pPr>
      <w:bookmarkStart w:id="18" w:name="_Ref32515"/>
      <w:r>
        <w:rPr>
          <w:color w:val="auto"/>
          <w:sz w:val="18"/>
          <w:szCs w:val="18"/>
        </w:rPr>
        <w:t>Wang T, Jing X, Li Q, et al. Improving Peer Assessment Accuracy by Incorporating Relative Peer Grades[J]. International Educational Data Mining Society, 2019.</w:t>
      </w:r>
      <w:bookmarkEnd w:id="18"/>
    </w:p>
    <w:p>
      <w:pPr>
        <w:numPr>
          <w:ilvl w:val="0"/>
          <w:numId w:val="2"/>
        </w:numPr>
        <w:autoSpaceDE w:val="0"/>
        <w:autoSpaceDN w:val="0"/>
        <w:adjustRightInd w:val="0"/>
        <w:ind w:left="454" w:leftChars="0" w:hanging="454" w:firstLineChars="0"/>
        <w:jc w:val="left"/>
        <w:rPr>
          <w:color w:val="auto"/>
          <w:sz w:val="18"/>
          <w:szCs w:val="18"/>
        </w:rPr>
      </w:pPr>
      <w:bookmarkStart w:id="19" w:name="_Ref30366"/>
      <w:r>
        <w:rPr>
          <w:color w:val="auto"/>
          <w:sz w:val="18"/>
          <w:szCs w:val="18"/>
        </w:rPr>
        <w:t>Xu J, Liu J, Lv P, et al. Improving Peer Assessment Accuracy by Incorporating Grading Behaviors[C]//2021 IEEE 33rd International Conference on Tools with Artificial Intelligence (ICTAI). IEEE, 2021: 1162-1169.</w:t>
      </w:r>
      <w:bookmarkEnd w:id="19"/>
    </w:p>
    <w:p>
      <w:pPr>
        <w:numPr>
          <w:ilvl w:val="0"/>
          <w:numId w:val="2"/>
        </w:numPr>
        <w:autoSpaceDE w:val="0"/>
        <w:autoSpaceDN w:val="0"/>
        <w:adjustRightInd w:val="0"/>
        <w:ind w:left="454" w:leftChars="0" w:hanging="454" w:firstLineChars="0"/>
        <w:jc w:val="left"/>
        <w:rPr>
          <w:color w:val="auto"/>
          <w:sz w:val="18"/>
          <w:szCs w:val="18"/>
        </w:rPr>
      </w:pPr>
      <w:bookmarkStart w:id="20" w:name="_Ref31232"/>
      <w:r>
        <w:rPr>
          <w:color w:val="auto"/>
          <w:sz w:val="18"/>
          <w:szCs w:val="18"/>
        </w:rPr>
        <w:t>方慧. 众包系统中基于参与者互评的数据质量控制研究[D].南京邮电大学,</w:t>
      </w:r>
      <w:r>
        <w:rPr>
          <w:rFonts w:hint="eastAsia"/>
          <w:color w:val="auto"/>
          <w:sz w:val="18"/>
          <w:szCs w:val="18"/>
          <w:lang w:val="en-US" w:eastAsia="zh-CN"/>
        </w:rPr>
        <w:t xml:space="preserve"> </w:t>
      </w:r>
      <w:r>
        <w:rPr>
          <w:color w:val="auto"/>
          <w:sz w:val="18"/>
          <w:szCs w:val="18"/>
        </w:rPr>
        <w:t>2019.DOI:10.27251/d.cnki.gnjdc.2019.000458</w:t>
      </w:r>
      <w:r>
        <w:rPr>
          <w:rFonts w:ascii="微软雅黑" w:hAnsi="微软雅黑" w:eastAsia="微软雅黑" w:cs="微软雅黑"/>
          <w:i w:val="0"/>
          <w:iCs w:val="0"/>
          <w:caps w:val="0"/>
          <w:color w:val="666666"/>
          <w:spacing w:val="0"/>
          <w:sz w:val="14"/>
          <w:szCs w:val="14"/>
          <w:shd w:val="clear" w:fill="FFFFFF"/>
        </w:rPr>
        <w:t>.</w:t>
      </w:r>
      <w:bookmarkEnd w:id="20"/>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B4+CAJ FNT00">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新宋体">
    <w:panose1 w:val="02010609030101010101"/>
    <w:charset w:val="86"/>
    <w:family w:val="auto"/>
    <w:pitch w:val="default"/>
    <w:sig w:usb0="0000028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separate"/>
    </w:r>
    <w:r>
      <w:rPr>
        <w:rStyle w:val="13"/>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separate"/>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0751F"/>
    <w:multiLevelType w:val="singleLevel"/>
    <w:tmpl w:val="ACF0751F"/>
    <w:lvl w:ilvl="0" w:tentative="0">
      <w:start w:val="1"/>
      <w:numFmt w:val="decimal"/>
      <w:lvlText w:val="[%1]"/>
      <w:lvlJc w:val="left"/>
      <w:pPr>
        <w:tabs>
          <w:tab w:val="left" w:pos="397"/>
        </w:tabs>
        <w:ind w:left="454" w:leftChars="0" w:hanging="454" w:firstLineChars="0"/>
      </w:pPr>
      <w:rPr>
        <w:rFonts w:hint="default"/>
      </w:rPr>
    </w:lvl>
  </w:abstractNum>
  <w:abstractNum w:abstractNumId="1">
    <w:nsid w:val="F1B49A3B"/>
    <w:multiLevelType w:val="singleLevel"/>
    <w:tmpl w:val="F1B49A3B"/>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5NWQ2ZDVhYWVkYjcwYzkxMTljZTQzY2Y1NWQ2OTg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D2576"/>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8F4985"/>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0BB5"/>
    <w:rsid w:val="00CA3A38"/>
    <w:rsid w:val="00CC675D"/>
    <w:rsid w:val="00CF09B7"/>
    <w:rsid w:val="00D00085"/>
    <w:rsid w:val="00D35401"/>
    <w:rsid w:val="00D52390"/>
    <w:rsid w:val="00D5628F"/>
    <w:rsid w:val="00D64AE1"/>
    <w:rsid w:val="00D70F73"/>
    <w:rsid w:val="00DA4310"/>
    <w:rsid w:val="00DC1ED9"/>
    <w:rsid w:val="00E73E99"/>
    <w:rsid w:val="00E86464"/>
    <w:rsid w:val="00EE0D72"/>
    <w:rsid w:val="00EE5101"/>
    <w:rsid w:val="00FB2A76"/>
    <w:rsid w:val="00FE4C2D"/>
    <w:rsid w:val="00FE5DE6"/>
    <w:rsid w:val="01A90CEE"/>
    <w:rsid w:val="02685C0C"/>
    <w:rsid w:val="02FF5E45"/>
    <w:rsid w:val="03185F09"/>
    <w:rsid w:val="03991DF6"/>
    <w:rsid w:val="04553F6E"/>
    <w:rsid w:val="052D65D2"/>
    <w:rsid w:val="05387762"/>
    <w:rsid w:val="05ED6429"/>
    <w:rsid w:val="06113EC5"/>
    <w:rsid w:val="061E4834"/>
    <w:rsid w:val="062F6C1F"/>
    <w:rsid w:val="068F11DA"/>
    <w:rsid w:val="06980158"/>
    <w:rsid w:val="06D870D9"/>
    <w:rsid w:val="071023CF"/>
    <w:rsid w:val="074D717F"/>
    <w:rsid w:val="07612C2A"/>
    <w:rsid w:val="07764EA6"/>
    <w:rsid w:val="078057A6"/>
    <w:rsid w:val="07D65CF0"/>
    <w:rsid w:val="08FA1588"/>
    <w:rsid w:val="091361A6"/>
    <w:rsid w:val="096A77FA"/>
    <w:rsid w:val="0970184A"/>
    <w:rsid w:val="099F5C8C"/>
    <w:rsid w:val="09BB0D18"/>
    <w:rsid w:val="0A4725AB"/>
    <w:rsid w:val="0A51342A"/>
    <w:rsid w:val="0AC55BBC"/>
    <w:rsid w:val="0AF50259"/>
    <w:rsid w:val="0B0C7351"/>
    <w:rsid w:val="0B3643CE"/>
    <w:rsid w:val="0BAB4DBC"/>
    <w:rsid w:val="0BCD4D32"/>
    <w:rsid w:val="0BFF2A12"/>
    <w:rsid w:val="0C0A1245"/>
    <w:rsid w:val="0C247F7D"/>
    <w:rsid w:val="0C4D7C21"/>
    <w:rsid w:val="0C5E1E2E"/>
    <w:rsid w:val="0C6F5DE9"/>
    <w:rsid w:val="0C711B61"/>
    <w:rsid w:val="0C945850"/>
    <w:rsid w:val="0CD520F0"/>
    <w:rsid w:val="0D444B80"/>
    <w:rsid w:val="0D4607D5"/>
    <w:rsid w:val="0E855450"/>
    <w:rsid w:val="0E8B557C"/>
    <w:rsid w:val="0F494BFA"/>
    <w:rsid w:val="0F53554E"/>
    <w:rsid w:val="0F615EBD"/>
    <w:rsid w:val="0F943B03"/>
    <w:rsid w:val="0FB83603"/>
    <w:rsid w:val="10272B2C"/>
    <w:rsid w:val="10356198"/>
    <w:rsid w:val="10A976AA"/>
    <w:rsid w:val="11625F1D"/>
    <w:rsid w:val="116577BB"/>
    <w:rsid w:val="11D94A64"/>
    <w:rsid w:val="12411FD6"/>
    <w:rsid w:val="12490E8B"/>
    <w:rsid w:val="12502219"/>
    <w:rsid w:val="12505221"/>
    <w:rsid w:val="12624579"/>
    <w:rsid w:val="1267694C"/>
    <w:rsid w:val="12F31522"/>
    <w:rsid w:val="135F0966"/>
    <w:rsid w:val="13A66416"/>
    <w:rsid w:val="14031E6A"/>
    <w:rsid w:val="149C34F4"/>
    <w:rsid w:val="14A21D72"/>
    <w:rsid w:val="14B22D17"/>
    <w:rsid w:val="14DB6680"/>
    <w:rsid w:val="15001CD4"/>
    <w:rsid w:val="15173C06"/>
    <w:rsid w:val="1525330E"/>
    <w:rsid w:val="153951E6"/>
    <w:rsid w:val="156C2EC6"/>
    <w:rsid w:val="15806971"/>
    <w:rsid w:val="15943FE5"/>
    <w:rsid w:val="15FF19F8"/>
    <w:rsid w:val="161B48EC"/>
    <w:rsid w:val="163C5738"/>
    <w:rsid w:val="164200CB"/>
    <w:rsid w:val="165C118C"/>
    <w:rsid w:val="16C467B9"/>
    <w:rsid w:val="16D660E7"/>
    <w:rsid w:val="16E266C0"/>
    <w:rsid w:val="172B0ECD"/>
    <w:rsid w:val="17920BDE"/>
    <w:rsid w:val="17A032FB"/>
    <w:rsid w:val="17AD77C6"/>
    <w:rsid w:val="18706C6E"/>
    <w:rsid w:val="1921046B"/>
    <w:rsid w:val="19563462"/>
    <w:rsid w:val="198729C4"/>
    <w:rsid w:val="19AF614C"/>
    <w:rsid w:val="19C4670E"/>
    <w:rsid w:val="19CF7EC7"/>
    <w:rsid w:val="19E75211"/>
    <w:rsid w:val="1B083691"/>
    <w:rsid w:val="1BEA7699"/>
    <w:rsid w:val="1C2F050D"/>
    <w:rsid w:val="1C456127"/>
    <w:rsid w:val="1CEB5A11"/>
    <w:rsid w:val="1D7A7634"/>
    <w:rsid w:val="1DA023FE"/>
    <w:rsid w:val="1DB339E0"/>
    <w:rsid w:val="1E4D010E"/>
    <w:rsid w:val="1F136AA8"/>
    <w:rsid w:val="200A1C59"/>
    <w:rsid w:val="2037116F"/>
    <w:rsid w:val="207C5907"/>
    <w:rsid w:val="20855784"/>
    <w:rsid w:val="20A77466"/>
    <w:rsid w:val="20B61DE1"/>
    <w:rsid w:val="210E153D"/>
    <w:rsid w:val="21380A48"/>
    <w:rsid w:val="215A3157"/>
    <w:rsid w:val="219739C1"/>
    <w:rsid w:val="21B46707"/>
    <w:rsid w:val="221B7DC1"/>
    <w:rsid w:val="224D0523"/>
    <w:rsid w:val="227C6712"/>
    <w:rsid w:val="22806203"/>
    <w:rsid w:val="22943A5C"/>
    <w:rsid w:val="22C5455D"/>
    <w:rsid w:val="22C5630B"/>
    <w:rsid w:val="22EC6A43"/>
    <w:rsid w:val="23130AEE"/>
    <w:rsid w:val="234436D4"/>
    <w:rsid w:val="234C2589"/>
    <w:rsid w:val="241B7553"/>
    <w:rsid w:val="241E5CD3"/>
    <w:rsid w:val="245411E8"/>
    <w:rsid w:val="24A26904"/>
    <w:rsid w:val="24A60B06"/>
    <w:rsid w:val="24D26ABE"/>
    <w:rsid w:val="24F904EE"/>
    <w:rsid w:val="25A32711"/>
    <w:rsid w:val="25B20DC9"/>
    <w:rsid w:val="25C805EC"/>
    <w:rsid w:val="25D6438C"/>
    <w:rsid w:val="26664E9A"/>
    <w:rsid w:val="26795443"/>
    <w:rsid w:val="2689617A"/>
    <w:rsid w:val="26B62F9B"/>
    <w:rsid w:val="26F61189"/>
    <w:rsid w:val="26FE421A"/>
    <w:rsid w:val="271D4F12"/>
    <w:rsid w:val="271E248E"/>
    <w:rsid w:val="2840157B"/>
    <w:rsid w:val="28754330"/>
    <w:rsid w:val="28CC03F4"/>
    <w:rsid w:val="290A0F1C"/>
    <w:rsid w:val="29254455"/>
    <w:rsid w:val="293957C6"/>
    <w:rsid w:val="29876ECC"/>
    <w:rsid w:val="29F34A82"/>
    <w:rsid w:val="2B011EAB"/>
    <w:rsid w:val="2B0C0F7B"/>
    <w:rsid w:val="2BB4516F"/>
    <w:rsid w:val="2C2A71DF"/>
    <w:rsid w:val="2C5129BE"/>
    <w:rsid w:val="2C85724B"/>
    <w:rsid w:val="2C931228"/>
    <w:rsid w:val="2D0F4D53"/>
    <w:rsid w:val="2D260712"/>
    <w:rsid w:val="2D7B23E8"/>
    <w:rsid w:val="2D9D410D"/>
    <w:rsid w:val="2DD9710F"/>
    <w:rsid w:val="2DFB0E33"/>
    <w:rsid w:val="2E140F22"/>
    <w:rsid w:val="2E61338C"/>
    <w:rsid w:val="2E912E13"/>
    <w:rsid w:val="2EA65CFE"/>
    <w:rsid w:val="2EA661F2"/>
    <w:rsid w:val="2EB57234"/>
    <w:rsid w:val="2ECD39AB"/>
    <w:rsid w:val="2EE95130"/>
    <w:rsid w:val="2FB120F1"/>
    <w:rsid w:val="300C36FC"/>
    <w:rsid w:val="307F650E"/>
    <w:rsid w:val="30C145B6"/>
    <w:rsid w:val="30C43855"/>
    <w:rsid w:val="30DC09EE"/>
    <w:rsid w:val="31091BCD"/>
    <w:rsid w:val="310A5BCF"/>
    <w:rsid w:val="315A0567"/>
    <w:rsid w:val="31BB5FF9"/>
    <w:rsid w:val="31CF4AB1"/>
    <w:rsid w:val="321D581C"/>
    <w:rsid w:val="32316B26"/>
    <w:rsid w:val="324606E3"/>
    <w:rsid w:val="32676A97"/>
    <w:rsid w:val="32AE46C6"/>
    <w:rsid w:val="32C979F8"/>
    <w:rsid w:val="32E4458C"/>
    <w:rsid w:val="33056E6D"/>
    <w:rsid w:val="3321758E"/>
    <w:rsid w:val="33260CF8"/>
    <w:rsid w:val="332D5F33"/>
    <w:rsid w:val="33582884"/>
    <w:rsid w:val="338475D4"/>
    <w:rsid w:val="33FC7E90"/>
    <w:rsid w:val="34121B38"/>
    <w:rsid w:val="344863A2"/>
    <w:rsid w:val="344C063B"/>
    <w:rsid w:val="34B00BC9"/>
    <w:rsid w:val="352B0250"/>
    <w:rsid w:val="35374E47"/>
    <w:rsid w:val="35C91817"/>
    <w:rsid w:val="35EF4E1B"/>
    <w:rsid w:val="36511F38"/>
    <w:rsid w:val="365D08DD"/>
    <w:rsid w:val="36941E25"/>
    <w:rsid w:val="36B27D0B"/>
    <w:rsid w:val="36D93CDC"/>
    <w:rsid w:val="36F01751"/>
    <w:rsid w:val="371A1291"/>
    <w:rsid w:val="3733163E"/>
    <w:rsid w:val="37537F32"/>
    <w:rsid w:val="378620B5"/>
    <w:rsid w:val="37A442EA"/>
    <w:rsid w:val="37D07BFE"/>
    <w:rsid w:val="37F94635"/>
    <w:rsid w:val="384A4E91"/>
    <w:rsid w:val="38693A61"/>
    <w:rsid w:val="38AD08E7"/>
    <w:rsid w:val="38E44ECB"/>
    <w:rsid w:val="38E52E0C"/>
    <w:rsid w:val="3922196A"/>
    <w:rsid w:val="397E60B8"/>
    <w:rsid w:val="397F3113"/>
    <w:rsid w:val="39921F3B"/>
    <w:rsid w:val="3A04337D"/>
    <w:rsid w:val="3A270768"/>
    <w:rsid w:val="3A773F37"/>
    <w:rsid w:val="3A7906BF"/>
    <w:rsid w:val="3AAF1923"/>
    <w:rsid w:val="3ACD6E21"/>
    <w:rsid w:val="3AD13C8D"/>
    <w:rsid w:val="3AE01ADD"/>
    <w:rsid w:val="3AE8273F"/>
    <w:rsid w:val="3BD3519D"/>
    <w:rsid w:val="3C096E11"/>
    <w:rsid w:val="3C0D55FF"/>
    <w:rsid w:val="3C2105FF"/>
    <w:rsid w:val="3C74072E"/>
    <w:rsid w:val="3CFC6B49"/>
    <w:rsid w:val="3D033860"/>
    <w:rsid w:val="3D3542AD"/>
    <w:rsid w:val="3D7529B0"/>
    <w:rsid w:val="3E5325C6"/>
    <w:rsid w:val="3F204B9E"/>
    <w:rsid w:val="3F23643C"/>
    <w:rsid w:val="3F604F9A"/>
    <w:rsid w:val="3F6E4E57"/>
    <w:rsid w:val="3F8653E8"/>
    <w:rsid w:val="405426B6"/>
    <w:rsid w:val="41322966"/>
    <w:rsid w:val="41517290"/>
    <w:rsid w:val="41BA1803"/>
    <w:rsid w:val="42213106"/>
    <w:rsid w:val="42E5185A"/>
    <w:rsid w:val="42FA42A8"/>
    <w:rsid w:val="43A4391F"/>
    <w:rsid w:val="43AF64F0"/>
    <w:rsid w:val="443C2568"/>
    <w:rsid w:val="44757A8F"/>
    <w:rsid w:val="449C6A74"/>
    <w:rsid w:val="449D66C7"/>
    <w:rsid w:val="44A16FDE"/>
    <w:rsid w:val="45124F88"/>
    <w:rsid w:val="45522B18"/>
    <w:rsid w:val="45725A27"/>
    <w:rsid w:val="457E261E"/>
    <w:rsid w:val="45912351"/>
    <w:rsid w:val="462F4289"/>
    <w:rsid w:val="467653FB"/>
    <w:rsid w:val="469961B0"/>
    <w:rsid w:val="46C16C66"/>
    <w:rsid w:val="46FA2178"/>
    <w:rsid w:val="472B0583"/>
    <w:rsid w:val="47342347"/>
    <w:rsid w:val="4737361C"/>
    <w:rsid w:val="473D4B90"/>
    <w:rsid w:val="477F442B"/>
    <w:rsid w:val="478101A3"/>
    <w:rsid w:val="47B70069"/>
    <w:rsid w:val="483B47F6"/>
    <w:rsid w:val="486F5AC8"/>
    <w:rsid w:val="490C7F41"/>
    <w:rsid w:val="492C244A"/>
    <w:rsid w:val="494D2A33"/>
    <w:rsid w:val="49641B2B"/>
    <w:rsid w:val="498E00DE"/>
    <w:rsid w:val="49D92519"/>
    <w:rsid w:val="4A1C066B"/>
    <w:rsid w:val="4AB24681"/>
    <w:rsid w:val="4ABB04EC"/>
    <w:rsid w:val="4AC42904"/>
    <w:rsid w:val="4B022E83"/>
    <w:rsid w:val="4C625032"/>
    <w:rsid w:val="4C70382A"/>
    <w:rsid w:val="4C96024D"/>
    <w:rsid w:val="4CC761A6"/>
    <w:rsid w:val="4D150064"/>
    <w:rsid w:val="4D5325E2"/>
    <w:rsid w:val="4D8E6C34"/>
    <w:rsid w:val="4DD252B5"/>
    <w:rsid w:val="4DD94C11"/>
    <w:rsid w:val="4EE337D8"/>
    <w:rsid w:val="4EED102A"/>
    <w:rsid w:val="4EF851EF"/>
    <w:rsid w:val="4F165675"/>
    <w:rsid w:val="4F1C718D"/>
    <w:rsid w:val="4F626B0C"/>
    <w:rsid w:val="4F786B55"/>
    <w:rsid w:val="501C6CBB"/>
    <w:rsid w:val="50406E4E"/>
    <w:rsid w:val="50AA442F"/>
    <w:rsid w:val="50F25C6E"/>
    <w:rsid w:val="511E6A63"/>
    <w:rsid w:val="5147420C"/>
    <w:rsid w:val="51CF49C3"/>
    <w:rsid w:val="53066DB8"/>
    <w:rsid w:val="531F71EB"/>
    <w:rsid w:val="53873999"/>
    <w:rsid w:val="53980D4F"/>
    <w:rsid w:val="53A80A11"/>
    <w:rsid w:val="53BA0CC5"/>
    <w:rsid w:val="53D8739D"/>
    <w:rsid w:val="53F63159"/>
    <w:rsid w:val="543A1E06"/>
    <w:rsid w:val="544D38E7"/>
    <w:rsid w:val="54574766"/>
    <w:rsid w:val="547A2CC6"/>
    <w:rsid w:val="54E0475B"/>
    <w:rsid w:val="553E5926"/>
    <w:rsid w:val="55592760"/>
    <w:rsid w:val="561843C9"/>
    <w:rsid w:val="565847C5"/>
    <w:rsid w:val="569021B1"/>
    <w:rsid w:val="569A3030"/>
    <w:rsid w:val="57686C8A"/>
    <w:rsid w:val="578A30A4"/>
    <w:rsid w:val="579D2DD8"/>
    <w:rsid w:val="57FA3D86"/>
    <w:rsid w:val="5815538E"/>
    <w:rsid w:val="58343859"/>
    <w:rsid w:val="584D2347"/>
    <w:rsid w:val="58B54151"/>
    <w:rsid w:val="59050C34"/>
    <w:rsid w:val="5A647BDD"/>
    <w:rsid w:val="5A9304C2"/>
    <w:rsid w:val="5A985AD8"/>
    <w:rsid w:val="5B3468C9"/>
    <w:rsid w:val="5B3A6B8F"/>
    <w:rsid w:val="5BCB77E7"/>
    <w:rsid w:val="5CFD7E74"/>
    <w:rsid w:val="5D3B60DD"/>
    <w:rsid w:val="5D6410B1"/>
    <w:rsid w:val="5D6D0B56"/>
    <w:rsid w:val="5D944335"/>
    <w:rsid w:val="5DBE5856"/>
    <w:rsid w:val="5E1B14BE"/>
    <w:rsid w:val="5E2901BD"/>
    <w:rsid w:val="5EBF1885"/>
    <w:rsid w:val="5EE72B8A"/>
    <w:rsid w:val="5F812FDF"/>
    <w:rsid w:val="5FBE38EB"/>
    <w:rsid w:val="5FD2383A"/>
    <w:rsid w:val="5FD658F4"/>
    <w:rsid w:val="601362FC"/>
    <w:rsid w:val="60151098"/>
    <w:rsid w:val="602B208C"/>
    <w:rsid w:val="60D3786A"/>
    <w:rsid w:val="60EE1E17"/>
    <w:rsid w:val="60F63558"/>
    <w:rsid w:val="619012B7"/>
    <w:rsid w:val="61BA60F4"/>
    <w:rsid w:val="62015D11"/>
    <w:rsid w:val="62CF5E0F"/>
    <w:rsid w:val="62FF465C"/>
    <w:rsid w:val="630261E5"/>
    <w:rsid w:val="63212B0F"/>
    <w:rsid w:val="64271C24"/>
    <w:rsid w:val="644161A9"/>
    <w:rsid w:val="64BA2CD3"/>
    <w:rsid w:val="64DD0CB7"/>
    <w:rsid w:val="652F2B95"/>
    <w:rsid w:val="65515201"/>
    <w:rsid w:val="65683A9A"/>
    <w:rsid w:val="65753CDB"/>
    <w:rsid w:val="65AF3532"/>
    <w:rsid w:val="65C07C91"/>
    <w:rsid w:val="65EB7404"/>
    <w:rsid w:val="65F362B8"/>
    <w:rsid w:val="66625A64"/>
    <w:rsid w:val="66EA196D"/>
    <w:rsid w:val="670E0726"/>
    <w:rsid w:val="67A2269E"/>
    <w:rsid w:val="67B83316"/>
    <w:rsid w:val="67F8211F"/>
    <w:rsid w:val="689751E4"/>
    <w:rsid w:val="68AA3DCB"/>
    <w:rsid w:val="68FC521D"/>
    <w:rsid w:val="696E6889"/>
    <w:rsid w:val="69825989"/>
    <w:rsid w:val="69AD1ECC"/>
    <w:rsid w:val="6A4246B1"/>
    <w:rsid w:val="6A590DE0"/>
    <w:rsid w:val="6AC94DB7"/>
    <w:rsid w:val="6B19481B"/>
    <w:rsid w:val="6B357791"/>
    <w:rsid w:val="6BA90814"/>
    <w:rsid w:val="6C060AF4"/>
    <w:rsid w:val="6C117498"/>
    <w:rsid w:val="6C2E004A"/>
    <w:rsid w:val="6C611866"/>
    <w:rsid w:val="6C926196"/>
    <w:rsid w:val="6CA27A34"/>
    <w:rsid w:val="6CB1429F"/>
    <w:rsid w:val="6CEF77DA"/>
    <w:rsid w:val="6D8A5754"/>
    <w:rsid w:val="6DBD3434"/>
    <w:rsid w:val="6DD10D65"/>
    <w:rsid w:val="6E190503"/>
    <w:rsid w:val="6E677844"/>
    <w:rsid w:val="6E9308BF"/>
    <w:rsid w:val="6EA768C7"/>
    <w:rsid w:val="6EB32A89"/>
    <w:rsid w:val="6ECF5BC7"/>
    <w:rsid w:val="6F347726"/>
    <w:rsid w:val="6F926B42"/>
    <w:rsid w:val="6FBA3333"/>
    <w:rsid w:val="6FBB39A3"/>
    <w:rsid w:val="6FDD13BD"/>
    <w:rsid w:val="70057B4E"/>
    <w:rsid w:val="708720A4"/>
    <w:rsid w:val="70F32E2C"/>
    <w:rsid w:val="711C66C3"/>
    <w:rsid w:val="71657EE6"/>
    <w:rsid w:val="717772A0"/>
    <w:rsid w:val="71AA0173"/>
    <w:rsid w:val="71F4319C"/>
    <w:rsid w:val="72E6342D"/>
    <w:rsid w:val="72E74AAF"/>
    <w:rsid w:val="73387E16"/>
    <w:rsid w:val="734E4B2E"/>
    <w:rsid w:val="735369DB"/>
    <w:rsid w:val="73A17354"/>
    <w:rsid w:val="73EE20D2"/>
    <w:rsid w:val="74143C26"/>
    <w:rsid w:val="743A2A0E"/>
    <w:rsid w:val="746A5998"/>
    <w:rsid w:val="74AD5D64"/>
    <w:rsid w:val="74E90FB2"/>
    <w:rsid w:val="74F00559"/>
    <w:rsid w:val="74F636CF"/>
    <w:rsid w:val="7524023C"/>
    <w:rsid w:val="753C5586"/>
    <w:rsid w:val="760219AD"/>
    <w:rsid w:val="76051E1C"/>
    <w:rsid w:val="7608766F"/>
    <w:rsid w:val="76487F5B"/>
    <w:rsid w:val="764F3097"/>
    <w:rsid w:val="770F2826"/>
    <w:rsid w:val="775C0B63"/>
    <w:rsid w:val="77860D3A"/>
    <w:rsid w:val="77976BAF"/>
    <w:rsid w:val="77D71596"/>
    <w:rsid w:val="77DA1086"/>
    <w:rsid w:val="788D4F1D"/>
    <w:rsid w:val="78C015EB"/>
    <w:rsid w:val="78C55892"/>
    <w:rsid w:val="78D67A98"/>
    <w:rsid w:val="78FB7506"/>
    <w:rsid w:val="79047385"/>
    <w:rsid w:val="797F3C93"/>
    <w:rsid w:val="79A33E26"/>
    <w:rsid w:val="7A3A5E0C"/>
    <w:rsid w:val="7A8F43AA"/>
    <w:rsid w:val="7AC06311"/>
    <w:rsid w:val="7B2A40D3"/>
    <w:rsid w:val="7BE5408E"/>
    <w:rsid w:val="7C0937E6"/>
    <w:rsid w:val="7C2A29F8"/>
    <w:rsid w:val="7CAA7279"/>
    <w:rsid w:val="7CC65341"/>
    <w:rsid w:val="7CDA520E"/>
    <w:rsid w:val="7CF979A0"/>
    <w:rsid w:val="7E166FFE"/>
    <w:rsid w:val="7E215319"/>
    <w:rsid w:val="7E3239CA"/>
    <w:rsid w:val="7F360AC1"/>
    <w:rsid w:val="7F8518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annotation text"/>
    <w:basedOn w:val="1"/>
    <w:link w:val="16"/>
    <w:qFormat/>
    <w:uiPriority w:val="0"/>
    <w:pPr>
      <w:jc w:val="left"/>
    </w:pPr>
  </w:style>
  <w:style w:type="paragraph" w:styleId="3">
    <w:name w:val="Body Text Indent"/>
    <w:basedOn w:val="1"/>
    <w:qFormat/>
    <w:uiPriority w:val="0"/>
    <w:pPr>
      <w:spacing w:line="400" w:lineRule="exact"/>
      <w:ind w:firstLine="480" w:firstLineChars="200"/>
    </w:pPr>
    <w:rPr>
      <w:sz w:val="24"/>
    </w:rPr>
  </w:style>
  <w:style w:type="paragraph" w:styleId="4">
    <w:name w:val="Date"/>
    <w:basedOn w:val="1"/>
    <w:next w:val="1"/>
    <w:link w:val="17"/>
    <w:qFormat/>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0"/>
    <w:rPr>
      <w:sz w:val="24"/>
    </w:rPr>
  </w:style>
  <w:style w:type="paragraph" w:styleId="9">
    <w:name w:val="annotation subject"/>
    <w:basedOn w:val="2"/>
    <w:next w:val="2"/>
    <w:link w:val="19"/>
    <w:qFormat/>
    <w:uiPriority w:val="0"/>
    <w:rPr>
      <w:b/>
      <w:bCs/>
    </w:rPr>
  </w:style>
  <w:style w:type="table" w:styleId="11">
    <w:name w:val="Table Grid"/>
    <w:basedOn w:val="10"/>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Emphasis"/>
    <w:qFormat/>
    <w:uiPriority w:val="0"/>
    <w:rPr>
      <w:color w:val="CC0000"/>
    </w:rPr>
  </w:style>
  <w:style w:type="character" w:styleId="15">
    <w:name w:val="annotation reference"/>
    <w:qFormat/>
    <w:uiPriority w:val="0"/>
    <w:rPr>
      <w:sz w:val="21"/>
      <w:szCs w:val="21"/>
    </w:rPr>
  </w:style>
  <w:style w:type="character" w:customStyle="1" w:styleId="16">
    <w:name w:val="批注文字 Char"/>
    <w:link w:val="2"/>
    <w:qFormat/>
    <w:uiPriority w:val="0"/>
    <w:rPr>
      <w:kern w:val="2"/>
      <w:sz w:val="21"/>
      <w:szCs w:val="24"/>
    </w:rPr>
  </w:style>
  <w:style w:type="character" w:customStyle="1" w:styleId="17">
    <w:name w:val="日期 Char"/>
    <w:link w:val="4"/>
    <w:qFormat/>
    <w:uiPriority w:val="0"/>
    <w:rPr>
      <w:kern w:val="2"/>
      <w:sz w:val="21"/>
      <w:szCs w:val="24"/>
    </w:rPr>
  </w:style>
  <w:style w:type="character" w:customStyle="1" w:styleId="18">
    <w:name w:val="页眉 Char"/>
    <w:link w:val="7"/>
    <w:qFormat/>
    <w:uiPriority w:val="0"/>
    <w:rPr>
      <w:kern w:val="2"/>
      <w:sz w:val="18"/>
      <w:szCs w:val="18"/>
    </w:rPr>
  </w:style>
  <w:style w:type="character" w:customStyle="1" w:styleId="19">
    <w:name w:val="批注主题 Char"/>
    <w:link w:val="9"/>
    <w:qFormat/>
    <w:uiPriority w:val="0"/>
    <w:rPr>
      <w:b/>
      <w:bCs/>
      <w:kern w:val="2"/>
      <w:sz w:val="21"/>
      <w:szCs w:val="24"/>
    </w:rPr>
  </w:style>
  <w:style w:type="character" w:customStyle="1" w:styleId="20">
    <w:name w:val="high-light-bg4"/>
    <w:basedOn w:val="12"/>
    <w:qFormat/>
    <w:uiPriority w:val="0"/>
  </w:style>
  <w:style w:type="character" w:customStyle="1" w:styleId="21">
    <w:name w:val="def"/>
    <w:basedOn w:val="12"/>
    <w:qFormat/>
    <w:uiPriority w:val="0"/>
  </w:style>
  <w:style w:type="paragraph" w:customStyle="1" w:styleId="22">
    <w:name w:val="ordinary-output target-output"/>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styleId="23">
    <w:name w:val="List Paragraph"/>
    <w:basedOn w:val="1"/>
    <w:qFormat/>
    <w:uiPriority w:val="0"/>
    <w:pPr>
      <w:ind w:firstLine="420" w:firstLineChars="200"/>
    </w:pPr>
    <w:rPr>
      <w:rFonts w:ascii="Calibri" w:hAnsi="Calibri"/>
      <w:szCs w:val="22"/>
    </w:rPr>
  </w:style>
  <w:style w:type="character" w:customStyle="1" w:styleId="24">
    <w:name w:val="表头 Char"/>
    <w:link w:val="25"/>
    <w:qFormat/>
    <w:uiPriority w:val="0"/>
    <w:rPr>
      <w:rFonts w:eastAsia="楷体_GB2312"/>
      <w:bCs/>
      <w:kern w:val="44"/>
      <w:sz w:val="21"/>
      <w:szCs w:val="44"/>
    </w:rPr>
  </w:style>
  <w:style w:type="paragraph" w:customStyle="1" w:styleId="25">
    <w:name w:val="表头"/>
    <w:basedOn w:val="1"/>
    <w:link w:val="24"/>
    <w:qFormat/>
    <w:uiPriority w:val="0"/>
    <w:pPr>
      <w:widowControl/>
      <w:jc w:val="center"/>
    </w:pPr>
    <w:rPr>
      <w:rFonts w:eastAsia="楷体_GB2312"/>
      <w:bCs/>
      <w:kern w:val="44"/>
      <w:szCs w:val="44"/>
    </w:rPr>
  </w:style>
  <w:style w:type="character" w:customStyle="1" w:styleId="26">
    <w:name w:val="表内容 Char"/>
    <w:link w:val="27"/>
    <w:qFormat/>
    <w:uiPriority w:val="0"/>
    <w:rPr>
      <w:rFonts w:hAnsi="宋体"/>
      <w:sz w:val="21"/>
      <w:szCs w:val="21"/>
      <w:lang w:val="en-US" w:eastAsia="zh-CN" w:bidi="ar-SA"/>
    </w:rPr>
  </w:style>
  <w:style w:type="paragraph" w:customStyle="1" w:styleId="27">
    <w:name w:val="表内容"/>
    <w:link w:val="26"/>
    <w:qFormat/>
    <w:uiPriority w:val="0"/>
    <w:pPr>
      <w:jc w:val="center"/>
    </w:pPr>
    <w:rPr>
      <w:rFonts w:ascii="Times New Roman" w:hAnsi="宋体" w:eastAsia="宋体" w:cs="Times New Roman"/>
      <w:sz w:val="21"/>
      <w:szCs w:val="21"/>
      <w:lang w:val="en-US" w:eastAsia="zh-CN" w:bidi="ar-SA"/>
    </w:rPr>
  </w:style>
  <w:style w:type="paragraph" w:customStyle="1" w:styleId="28">
    <w:name w:val="ql-long-13535339"/>
    <w:basedOn w:val="1"/>
    <w:qFormat/>
    <w:uiPriority w:val="0"/>
    <w:pPr>
      <w:widowControl/>
      <w:spacing w:before="100" w:beforeAutospacing="1" w:after="100" w:afterAutospacing="1"/>
      <w:jc w:val="left"/>
    </w:pPr>
    <w:rPr>
      <w:rFonts w:ascii="宋体" w:hAnsi="宋体" w:cs="宋体"/>
      <w:kern w:val="0"/>
      <w:sz w:val="24"/>
    </w:rPr>
  </w:style>
  <w:style w:type="character" w:customStyle="1" w:styleId="29">
    <w:name w:val="ql-author-1353533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9</Pages>
  <Words>9380</Words>
  <Characters>12926</Characters>
  <Lines>26</Lines>
  <Paragraphs>7</Paragraphs>
  <TotalTime>2</TotalTime>
  <ScaleCrop>false</ScaleCrop>
  <LinksUpToDate>false</LinksUpToDate>
  <CharactersWithSpaces>13639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 ? ?</cp:lastModifiedBy>
  <cp:lastPrinted>2014-10-13T07:27:00Z</cp:lastPrinted>
  <dcterms:modified xsi:type="dcterms:W3CDTF">2022-12-23T11:29:14Z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D35582AAD533437B9BA4762D46151752</vt:lpwstr>
  </property>
</Properties>
</file>