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ind w:left="567" w:leftChars="270" w:right="565" w:rightChars="269"/>
        <w:rPr>
          <w:rFonts w:hint="eastAsia"/>
          <w:color w:val="auto"/>
          <w:kern w:val="0"/>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2"/>
        <w:spacing w:line="360" w:lineRule="auto"/>
        <w:ind w:firstLine="0" w:firstLineChars="0"/>
        <w:rPr>
          <w:rFonts w:ascii="Times New Roman" w:hAnsi="Times New Roman"/>
          <w:b/>
          <w:color w:val="auto"/>
          <w:sz w:val="28"/>
          <w:szCs w:val="28"/>
        </w:rPr>
      </w:pP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2"/>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2"/>
        <w:rPr>
          <w:rFonts w:hint="default"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等在线教育平台逐渐兴起，为学生提供了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w:t>
      </w:r>
      <w:r>
        <w:rPr>
          <w:rFonts w:hint="default" w:ascii="Times New Roman" w:hAnsi="Times New Roman" w:cs="Times New Roman"/>
          <w:color w:val="auto"/>
          <w:szCs w:val="21"/>
          <w:lang w:val="en-US" w:eastAsia="zh-CN"/>
        </w:rPr>
        <w:t>Coursera1、edX2和ICourse3</w:t>
      </w:r>
      <w:r>
        <w:rPr>
          <w:rFonts w:hint="eastAsia" w:ascii="Times New Roman" w:hAnsi="Times New Roman"/>
          <w:color w:val="auto"/>
          <w:szCs w:val="21"/>
          <w:lang w:val="en-US" w:eastAsia="zh-CN"/>
        </w:rPr>
        <w:t>，都采用同行互评的方法来帮助教师评估学生提交的开放式作业。</w:t>
      </w:r>
      <w:r>
        <w:rPr>
          <w:rFonts w:hint="eastAsia" w:ascii="宋体" w:hAnsi="宋体"/>
          <w:color w:val="auto"/>
          <w:szCs w:val="21"/>
          <w:lang w:val="en-US" w:eastAsia="zh-CN"/>
        </w:rPr>
        <w:t>同行互评与众包类似，它要求所有提交作业的学生扮演同行评价者，根据教师提供的评分细则，以匿名的方式对所有提交的作业进行评价。最后将每份作业的所有评价结果进行汇总，得到每份作业最终评价。其中，使用最为广泛的同行互评技术是基数估计技术，即同行评价者必须给每份评价作业一个数值型的分数。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平台</w:t>
      </w:r>
      <w:r>
        <w:rPr>
          <w:rFonts w:hint="eastAsia" w:ascii="宋体" w:hAnsi="宋体" w:eastAsia="宋体" w:cs="Times New Roman"/>
          <w:color w:val="auto"/>
          <w:kern w:val="2"/>
          <w:sz w:val="21"/>
          <w:szCs w:val="21"/>
          <w:lang w:val="en-US" w:eastAsia="zh-CN" w:bidi="ar-SA"/>
        </w:rPr>
        <w:t>（例如</w:t>
      </w:r>
      <w:r>
        <w:rPr>
          <w:rFonts w:hint="default" w:ascii="Times New Roman" w:hAnsi="Times New Roman"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Times New Roman" w:hAnsi="Times New Roman" w:eastAsia="宋体" w:cs="Times New Roman"/>
          <w:color w:val="auto"/>
          <w:kern w:val="2"/>
          <w:sz w:val="21"/>
          <w:szCs w:val="21"/>
          <w:lang w:val="en-US" w:eastAsia="zh-CN" w:bidi="ar-SA"/>
        </w:rPr>
        <w:t>M</w:t>
      </w:r>
      <w:r>
        <w:rPr>
          <w:rFonts w:hint="eastAsia" w:cs="Times New Roman"/>
          <w:color w:val="auto"/>
          <w:kern w:val="2"/>
          <w:sz w:val="21"/>
          <w:szCs w:val="21"/>
          <w:lang w:val="en-US" w:eastAsia="zh-CN" w:bidi="ar-SA"/>
        </w:rPr>
        <w:t>OO</w:t>
      </w:r>
      <w:r>
        <w:rPr>
          <w:rFonts w:hint="default" w:ascii="Times New Roman" w:hAnsi="Times New Roman" w:eastAsia="宋体" w:cs="Times New Roman"/>
          <w:color w:val="auto"/>
          <w:kern w:val="2"/>
          <w:sz w:val="21"/>
          <w:szCs w:val="21"/>
          <w:lang w:val="en-US" w:eastAsia="zh-CN" w:bidi="ar-SA"/>
        </w:rPr>
        <w:t>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分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w:t>
      </w:r>
      <w:r>
        <w:rPr>
          <w:rFonts w:hint="eastAsia" w:ascii="宋体" w:hAnsi="宋体" w:cs="Times New Roman"/>
          <w:color w:val="auto"/>
          <w:szCs w:val="21"/>
          <w:lang w:val="en-US" w:eastAsia="zh-CN"/>
        </w:rPr>
        <w:t>考虑了在本次作业上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最终分数（因为评价者也提交了作业）</w:t>
      </w:r>
      <w:r>
        <w:rPr>
          <w:rFonts w:hint="eastAsia" w:ascii="宋体" w:hAnsi="宋体" w:eastAsia="宋体" w:cs="Times New Roman"/>
          <w:color w:val="auto"/>
          <w:szCs w:val="21"/>
          <w:lang w:val="en-US" w:eastAsia="zh-CN"/>
        </w:rPr>
        <w:t>。虽然学生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的区别在于，</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假设评价者可靠性服从伽马分布，而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假设评价者可靠性服从正态分布。</w:t>
      </w:r>
      <w:r>
        <w:rPr>
          <w:rFonts w:hint="eastAsia" w:ascii="宋体" w:hAnsi="宋体" w:cs="Times New Roman"/>
          <w:color w:val="auto"/>
          <w:szCs w:val="21"/>
          <w:lang w:val="en-US" w:eastAsia="zh-CN"/>
        </w:rPr>
        <w:t>为了能够更准确的得到评价能力，</w:t>
      </w:r>
      <w:r>
        <w:rPr>
          <w:rFonts w:hint="eastAsia" w:ascii="宋体" w:hAnsi="宋体" w:eastAsia="宋体" w:cs="Times New Roman"/>
          <w:color w:val="auto"/>
          <w:szCs w:val="21"/>
          <w:lang w:val="en-US" w:eastAsia="zh-CN"/>
        </w:rPr>
        <w:t>我们还</w:t>
      </w:r>
      <w:r>
        <w:rPr>
          <w:rFonts w:hint="eastAsia" w:ascii="宋体" w:hAnsi="宋体" w:cs="Times New Roman"/>
          <w:color w:val="auto"/>
          <w:szCs w:val="21"/>
          <w:lang w:val="en-US" w:eastAsia="zh-CN"/>
        </w:rPr>
        <w:t>结合了教师抽查的方式</w:t>
      </w:r>
      <w:r>
        <w:rPr>
          <w:rFonts w:hint="eastAsia" w:ascii="宋体" w:hAnsi="宋体" w:eastAsia="宋体" w:cs="Times New Roman"/>
          <w:color w:val="auto"/>
          <w:szCs w:val="21"/>
          <w:lang w:val="en-US" w:eastAsia="zh-CN"/>
        </w:rPr>
        <w:t>来</w:t>
      </w:r>
      <w:r>
        <w:rPr>
          <w:rFonts w:hint="eastAsia" w:ascii="宋体" w:hAnsi="宋体" w:cs="Times New Roman"/>
          <w:color w:val="auto"/>
          <w:szCs w:val="21"/>
          <w:lang w:val="en-US" w:eastAsia="zh-CN"/>
        </w:rPr>
        <w:t>更好量化</w:t>
      </w:r>
      <w:r>
        <w:rPr>
          <w:rFonts w:hint="eastAsia" w:ascii="宋体" w:hAnsi="宋体" w:eastAsia="宋体" w:cs="Times New Roman"/>
          <w:color w:val="auto"/>
          <w:szCs w:val="21"/>
          <w:lang w:val="en-US" w:eastAsia="zh-CN"/>
        </w:rPr>
        <w:t>学生的评价能力，最后通过真实数据集与传统的概率模型进行了对比，验证了该模型的有效性。</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2"/>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同行评价者的</w:t>
      </w:r>
      <w:r>
        <w:rPr>
          <w:rFonts w:hint="eastAsia" w:cs="Times New Roman"/>
          <w:color w:val="auto"/>
          <w:szCs w:val="21"/>
          <w:lang w:val="en-US" w:eastAsia="zh-CN"/>
        </w:rPr>
        <w:t>可靠性和偏置</w:t>
      </w:r>
      <w:r>
        <w:rPr>
          <w:rFonts w:hint="eastAsia" w:ascii="Times New Roman" w:hAnsi="Times New Roman" w:eastAsia="宋体" w:cs="Times New Roman"/>
          <w:color w:val="auto"/>
          <w:szCs w:val="21"/>
          <w:lang w:val="en-US" w:eastAsia="zh-CN"/>
        </w:rPr>
        <w:t>建模为隐变量概率分布模型，然后通过可观测的</w:t>
      </w:r>
      <w:r>
        <w:rPr>
          <w:rFonts w:hint="eastAsia" w:cs="Times New Roman"/>
          <w:color w:val="auto"/>
          <w:szCs w:val="21"/>
          <w:lang w:val="en-US" w:eastAsia="zh-CN"/>
        </w:rPr>
        <w:t>互评分数</w:t>
      </w:r>
      <w:r>
        <w:rPr>
          <w:rFonts w:hint="eastAsia" w:ascii="Times New Roman" w:hAnsi="Times New Roman" w:eastAsia="宋体" w:cs="Times New Roman"/>
          <w:color w:val="auto"/>
          <w:szCs w:val="21"/>
          <w:lang w:val="en-US" w:eastAsia="zh-CN"/>
        </w:rPr>
        <w:t>推演隐变量</w:t>
      </w:r>
      <w:r>
        <w:rPr>
          <w:rFonts w:hint="eastAsia" w:cs="Times New Roman"/>
          <w:color w:val="auto"/>
          <w:szCs w:val="21"/>
          <w:lang w:val="en-US" w:eastAsia="zh-CN"/>
        </w:rPr>
        <w:t>，即真实分数的值</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同行互评的</w:t>
      </w:r>
      <w:r>
        <w:rPr>
          <w:rFonts w:hint="eastAsia" w:ascii="Times New Roman" w:hAnsi="Times New Roman" w:eastAsia="宋体" w:cs="Times New Roman"/>
          <w:color w:val="auto"/>
          <w:szCs w:val="21"/>
          <w:lang w:val="en-US" w:eastAsia="zh-CN"/>
        </w:rPr>
        <w:t>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1</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2</w:t>
      </w:r>
      <w:r>
        <w:rPr>
          <w:rFonts w:hint="eastAsia" w:ascii="Times New Roman" w:hAnsi="Times New Roman" w:eastAsia="宋体" w:cs="Times New Roman"/>
          <w:color w:val="auto"/>
          <w:szCs w:val="21"/>
          <w:lang w:val="en-US" w:eastAsia="zh-CN"/>
        </w:rPr>
        <w:t>，</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认为同行评价者的可靠性与其作业的真实分数之间存在联系，于是在两者之间建立了线性关系进行转化，在实验的数据中，</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w:t>
      </w:r>
      <w:r>
        <w:rPr>
          <w:rFonts w:hint="eastAsia" w:ascii="Times New Roman" w:hAnsi="Times New Roman" w:eastAsia="宋体" w:cs="Times New Roman"/>
          <w:i/>
          <w:iCs/>
          <w:color w:val="auto"/>
          <w:szCs w:val="21"/>
          <w:lang w:val="en-US" w:eastAsia="zh-CN"/>
        </w:rPr>
        <w:t>PG</w:t>
      </w:r>
      <w:r>
        <w:rPr>
          <w:rFonts w:hint="eastAsia" w:ascii="Times New Roman" w:hAnsi="Times New Roman" w:eastAsia="宋体" w:cs="Times New Roman"/>
          <w:color w:val="auto"/>
          <w:szCs w:val="21"/>
          <w:vertAlign w:val="subscript"/>
          <w:lang w:val="en-US" w:eastAsia="zh-CN"/>
        </w:rPr>
        <w:t>3</w:t>
      </w:r>
      <w:r>
        <w:rPr>
          <w:rFonts w:hint="eastAsia" w:ascii="Times New Roman" w:hAnsi="Times New Roman" w:eastAsia="宋体" w:cs="Times New Roman"/>
          <w:color w:val="auto"/>
          <w:szCs w:val="21"/>
          <w:lang w:val="en-US" w:eastAsia="zh-CN"/>
        </w:rPr>
        <w:t>的基础上，将同行评价者的可靠性建模为均值为真实分数的概率分布模型，提出了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5</w:t>
      </w:r>
      <w:r>
        <w:rPr>
          <w:rFonts w:hint="eastAsia" w:ascii="Times New Roman" w:hAnsi="Times New Roman" w:eastAsia="宋体" w:cs="Times New Roman"/>
          <w:color w:val="auto"/>
          <w:szCs w:val="21"/>
          <w:lang w:val="en-US" w:eastAsia="zh-CN"/>
        </w:rPr>
        <w:t>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服从高斯分布。然而，上诉模型都只依靠互评</w:t>
      </w:r>
      <w:r>
        <w:rPr>
          <w:rFonts w:hint="eastAsia" w:cs="Times New Roman"/>
          <w:color w:val="auto"/>
          <w:szCs w:val="21"/>
          <w:lang w:val="en-US" w:eastAsia="zh-CN"/>
        </w:rPr>
        <w:t>分数</w:t>
      </w:r>
      <w:r>
        <w:rPr>
          <w:rFonts w:hint="eastAsia" w:ascii="Times New Roman" w:hAnsi="Times New Roman" w:eastAsia="宋体" w:cs="Times New Roman"/>
          <w:color w:val="auto"/>
          <w:szCs w:val="21"/>
          <w:lang w:val="en-US" w:eastAsia="zh-CN"/>
        </w:rPr>
        <w:t>这一个可观测的变量，使得预测模型存在数据稀疏的缺陷。因此，Wang在</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4</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i w:val="0"/>
          <w:iCs w:val="0"/>
          <w:color w:val="auto"/>
          <w:szCs w:val="21"/>
          <w:vertAlign w:val="subscript"/>
          <w:lang w:val="en-US" w:eastAsia="zh-CN"/>
        </w:rPr>
        <w:t>5</w:t>
      </w:r>
      <w:r>
        <w:rPr>
          <w:rFonts w:hint="eastAsia" w:ascii="Times New Roman" w:hAnsi="Times New Roman" w:eastAsia="宋体" w:cs="Times New Roman"/>
          <w:color w:val="auto"/>
          <w:szCs w:val="21"/>
          <w:lang w:val="en-US" w:eastAsia="zh-CN"/>
        </w:rPr>
        <w:t>上加入了相对分数等级，即同一评分者不同提交成绩的绝对同伴等级的差异，构成了</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6</w:t>
      </w:r>
      <w:r>
        <w:rPr>
          <w:rFonts w:hint="eastAsia" w:ascii="Times New Roman" w:hAnsi="Times New Roman" w:eastAsia="宋体" w:cs="Times New Roman"/>
          <w:color w:val="auto"/>
          <w:szCs w:val="21"/>
          <w:lang w:val="en-US" w:eastAsia="zh-CN"/>
        </w:rPr>
        <w:t>和</w:t>
      </w:r>
      <w:r>
        <w:rPr>
          <w:rFonts w:hint="eastAsia" w:ascii="Times New Roman" w:hAnsi="Times New Roman" w:eastAsia="宋体" w:cs="Times New Roman"/>
          <w:i/>
          <w:iCs/>
          <w:color w:val="auto"/>
          <w:szCs w:val="21"/>
          <w:lang w:val="en-US" w:eastAsia="zh-CN"/>
        </w:rPr>
        <w:t>PG</w:t>
      </w:r>
      <w:r>
        <w:rPr>
          <w:rFonts w:hint="eastAsia" w:cs="Times New Roman"/>
          <w:color w:val="auto"/>
          <w:szCs w:val="21"/>
          <w:vertAlign w:val="subscript"/>
          <w:lang w:val="en-US" w:eastAsia="zh-CN"/>
        </w:rPr>
        <w:t>7</w:t>
      </w:r>
      <w:r>
        <w:rPr>
          <w:rFonts w:hint="eastAsia" w:cs="Times New Roman"/>
          <w:color w:val="auto"/>
          <w:szCs w:val="21"/>
          <w:lang w:val="en-US" w:eastAsia="zh-CN"/>
        </w:rPr>
        <w:t>【】。两者在原有的模型基础上，加入了一个相对分数这一可观测变量，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w:t>
      </w:r>
      <w:r>
        <w:rPr>
          <w:rFonts w:hint="eastAsia" w:cs="Times New Roman"/>
          <w:color w:val="auto"/>
          <w:szCs w:val="21"/>
          <w:lang w:val="en-US" w:eastAsia="zh-CN"/>
        </w:rPr>
        <w:t>定义</w:t>
      </w:r>
      <w:r>
        <w:rPr>
          <w:rFonts w:hint="eastAsia" w:ascii="Times New Roman" w:hAnsi="Times New Roman" w:eastAsia="宋体" w:cs="Times New Roman"/>
          <w:color w:val="auto"/>
          <w:szCs w:val="21"/>
          <w:lang w:val="en-US" w:eastAsia="zh-CN"/>
        </w:rPr>
        <w:t>学生的评价</w:t>
      </w:r>
      <w:r>
        <w:rPr>
          <w:rFonts w:hint="eastAsia" w:cs="Times New Roman"/>
          <w:color w:val="auto"/>
          <w:szCs w:val="21"/>
          <w:lang w:val="en-US" w:eastAsia="zh-CN"/>
        </w:rPr>
        <w:t>能力</w:t>
      </w:r>
      <w:r>
        <w:rPr>
          <w:rFonts w:hint="eastAsia" w:ascii="Times New Roman" w:hAnsi="Times New Roman" w:eastAsia="宋体" w:cs="Times New Roman"/>
          <w:color w:val="auto"/>
          <w:szCs w:val="21"/>
          <w:lang w:val="en-US" w:eastAsia="zh-CN"/>
        </w:rPr>
        <w:t>的方法，将其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w:t>
      </w:r>
      <w:r>
        <w:rPr>
          <w:rFonts w:hint="eastAsia" w:cs="Times New Roman"/>
          <w:color w:val="auto"/>
          <w:szCs w:val="21"/>
          <w:lang w:val="en-US" w:eastAsia="zh-CN"/>
        </w:rPr>
        <w:t>参数</w:t>
      </w:r>
      <w:r>
        <w:rPr>
          <w:rFonts w:hint="eastAsia" w:ascii="Times New Roman" w:hAnsi="Times New Roman" w:eastAsia="宋体" w:cs="Times New Roman"/>
          <w:color w:val="auto"/>
          <w:szCs w:val="21"/>
          <w:lang w:val="en-US" w:eastAsia="zh-CN"/>
        </w:rPr>
        <w:t>。评价</w:t>
      </w:r>
      <w:r>
        <w:rPr>
          <w:rFonts w:hint="eastAsia" w:cs="Times New Roman"/>
          <w:color w:val="auto"/>
          <w:szCs w:val="21"/>
          <w:lang w:val="en-US" w:eastAsia="zh-CN"/>
        </w:rPr>
        <w:t>能力可以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w:t>
      </w:r>
      <w:bookmarkStart w:id="2" w:name="_GoBack"/>
      <w:bookmarkEnd w:id="2"/>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cs="Times New Roman"/>
          <w:color w:val="auto"/>
          <w:szCs w:val="21"/>
          <w:lang w:val="en-US" w:eastAsia="zh-CN"/>
        </w:rPr>
        <w:t>（你要不要吧）</w:t>
      </w: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p>
    <w:p>
      <w:pPr>
        <w:pStyle w:val="22"/>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default" w:cs="Times New Roman"/>
          <w:color w:val="0000FF"/>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。我们用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作为评价者，评价的所有作业的集合</w:t>
      </w:r>
      <w:r>
        <w:rPr>
          <w:rFonts w:hint="eastAsia" w:cs="Times New Roman"/>
          <w:color w:val="auto"/>
          <w:kern w:val="2"/>
          <w:sz w:val="21"/>
          <w:szCs w:val="21"/>
          <w:lang w:val="en-US" w:eastAsia="zh-CN"/>
        </w:rPr>
        <w:t>。用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在互评活动中，一名同行评价者要求为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eastAsia" w:cs="Times New Roman"/>
          <w:color w:val="auto"/>
          <w:kern w:val="2"/>
          <w:sz w:val="21"/>
          <w:szCs w:val="21"/>
          <w:lang w:val="en-US" w:eastAsia="zh-CN"/>
        </w:rPr>
        <w:t>，其作业的满分为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：真实分数是隐变量，表示一份作业严格按照评分准则得到的分数。本文中，我们将教师对作业的评分视为该作业的真实分数。真实分数用字母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：偏见是隐变量，表示一个同行互评者在互评时夸大和缩小一定分数的倾向,作为同行评价者的评价属性。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的可靠性。传统的概率模型中，评价者的可靠性取决于学生的真实分数，在我们的概率模型中，评价者的可靠性将取决于评分能力。</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color w:val="auto"/>
          <w:kern w:val="2"/>
          <w:sz w:val="21"/>
          <w:szCs w:val="21"/>
          <w:lang w:eastAsia="zh-CN"/>
        </w:rPr>
      </w:pPr>
      <w:r>
        <w:rPr>
          <w:rFonts w:hint="default" w:ascii="Times New Roman" w:hAnsi="Times New Roman" w:cs="Times New Roman"/>
          <w:color w:val="auto"/>
          <w:kern w:val="2"/>
          <w:sz w:val="21"/>
          <w:szCs w:val="21"/>
          <w:lang w:eastAsia="zh-CN"/>
        </w:rPr>
        <w:t>Table 1 Main notations and their descriptions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通过公式，我们可以得到每个学生的评价能力，用于下一次的同行互评。通过实验，我们验证了每个学生的评价能力在迭代互评过程中很少发生变化。也就是说，认真的人会一直认真。所以为了能够最大程度得到学生的准确性，我们通过最大限度分配审查资源的方式以得到更多的准确性</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，我们会推导出所有评价者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r>
          <m:rPr/>
          <w:rPr>
            <w:rFonts w:hint="default" w:ascii="Cambria Math" w:hAnsi="Cambria Math" w:cs="Times New Roman"/>
            <w:color w:val="auto"/>
            <w:kern w:val="2"/>
            <w:sz w:val="21"/>
            <w:szCs w:val="21"/>
            <w:lang w:val="en-US" w:eastAsia="zh-CN"/>
          </w:rPr>
          <m:t>s</m:t>
        </m:r>
      </m:oMath>
      <w:r>
        <w:rPr>
          <w:rFonts w:hint="eastAsia" w:cs="Times New Roman"/>
          <w:color w:val="auto"/>
          <w:kern w:val="2"/>
          <w:sz w:val="21"/>
          <w:szCs w:val="21"/>
          <w:lang w:val="en-US" w:eastAsia="zh-CN"/>
        </w:rPr>
        <w:t>。下面，我们将介绍我们提出的概率模型，以及如何通过概率模型和可观测变量，推导隐变量。</w:t>
      </w:r>
    </w:p>
    <w:p>
      <w:pPr>
        <w:pStyle w:val="22"/>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模型中，我们假设真实的分数</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服从高斯分布，均值为</w:t>
      </w:r>
      <m:oMath>
        <m:r>
          <m:rPr/>
          <w:rPr>
            <w:rFonts w:hint="default" w:ascii="Cambria Math" w:hAnsi="Cambria Math" w:cs="Times New Roman"/>
            <w:color w:val="auto"/>
            <w:kern w:val="2"/>
            <w:sz w:val="21"/>
            <w:szCs w:val="21"/>
            <w:lang w:val="en-US"/>
          </w:rPr>
          <m:t>α</m:t>
        </m:r>
      </m:oMath>
      <w:r>
        <w:rPr>
          <w:rFonts w:hint="eastAsia" w:hAnsi="Cambria Math" w:cs="Times New Roman"/>
          <w:i w:val="0"/>
          <w:color w:val="auto"/>
          <w:kern w:val="2"/>
          <w:sz w:val="21"/>
          <w:szCs w:val="21"/>
          <w:lang w:val="en-US" w:eastAsia="zh-CN"/>
        </w:rPr>
        <w:t>，方差为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γ</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。虽然评价者在同行互评中可能有不同的偏见，我们认为偏见的均值为0.并且假设</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服从均值为0，方差为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η</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的高斯分布。对于可靠性</w:t>
      </w:r>
      <m:oMath>
        <m:r>
          <m:rPr/>
          <w:rPr>
            <w:rFonts w:hint="default"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，我们在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iCs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中假设其服从伽马分布，其形状参数等于评价能力</w:t>
      </w:r>
      <w:r>
        <w:rPr>
          <w:rFonts w:hint="default" w:ascii="Times New Roman" w:hAnsi="Times New Roman" w:cs="Times New Roman"/>
          <w:i/>
          <w:iCs/>
          <w:color w:val="auto"/>
          <w:kern w:val="2"/>
          <w:sz w:val="21"/>
          <w:szCs w:val="21"/>
          <w:lang w:val="en-US" w:eastAsia="zh-CN"/>
        </w:rPr>
        <w:t>r</w:t>
      </w:r>
      <w:r>
        <w:rPr>
          <w:rFonts w:hint="eastAsia" w:hAnsi="Cambria Math" w:cs="Times New Roman"/>
          <w:i w:val="0"/>
          <w:color w:val="auto"/>
          <w:kern w:val="2"/>
          <w:sz w:val="21"/>
          <w:szCs w:val="21"/>
          <w:lang w:val="en-US" w:eastAsia="zh-CN"/>
        </w:rPr>
        <w:t>，和率参数等于</w:t>
      </w:r>
      <m:oMath>
        <m:r>
          <m:rPr/>
          <w:rPr>
            <w:rFonts w:hint="default" w:ascii="Cambria Math" w:hAnsi="Cambria Math" w:cs="Times New Roman"/>
            <w:color w:val="auto"/>
            <w:kern w:val="2"/>
            <w:sz w:val="21"/>
            <w:szCs w:val="21"/>
            <w:lang w:val="en-US"/>
          </w:rPr>
          <m:t>β</m:t>
        </m:r>
      </m:oMath>
      <w:r>
        <w:rPr>
          <w:rFonts w:hint="eastAsia" w:hAnsi="Cambria Math" w:cs="Times New Roman"/>
          <w:i w:val="0"/>
          <w:color w:val="auto"/>
          <w:kern w:val="2"/>
          <w:sz w:val="21"/>
          <w:szCs w:val="21"/>
          <w:lang w:val="en-US" w:eastAsia="zh-CN"/>
        </w:rPr>
        <w:t>。互评分数</w:t>
      </w:r>
      <w:r>
        <w:rPr>
          <w:rFonts w:hint="default" w:ascii="Times New Roman" w:hAnsi="Times New Roman" w:cs="Times New Roman"/>
          <w:i/>
          <w:iCs/>
          <w:color w:val="auto"/>
          <w:kern w:val="2"/>
          <w:sz w:val="21"/>
          <w:szCs w:val="21"/>
          <w:lang w:val="en-US" w:eastAsia="zh-CN"/>
        </w:rPr>
        <w:t>z</w:t>
      </w:r>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，方差与评分者的可靠性成反比。相对分数的</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，和方差等于</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模型假设同行评价者的可靠性满足伽马分布，而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则假设同行评价者的可靠性满足高斯分布。</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模型拓展了现有的</w:t>
      </w:r>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模型，其</w:t>
      </w:r>
      <w:r>
        <w:rPr>
          <w:rFonts w:hint="eastAsia" w:cs="Times New Roman"/>
          <w:color w:val="auto"/>
          <w:kern w:val="2"/>
          <w:sz w:val="21"/>
          <w:szCs w:val="21"/>
          <w:lang w:val="en-US" w:eastAsia="zh-CN"/>
        </w:rPr>
        <w:t>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w:r>
        <w:rPr>
          <w:rFonts w:hint="eastAsia" w:hAnsi="Cambria Math" w:cs="Times New Roman"/>
          <w:i w:val="0"/>
          <w:color w:val="auto"/>
          <w:kern w:val="2"/>
          <w:sz w:val="21"/>
          <w:szCs w:val="21"/>
          <w:lang w:val="en-US" w:eastAsia="zh-CN"/>
        </w:rPr>
        <w:t>由于概率模型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中的隐含变量</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没有闭式解（</w:t>
      </w:r>
      <w:r>
        <w:rPr>
          <w:rFonts w:hint="default" w:ascii="Times New Roman" w:hAnsi="Times New Roman" w:cs="Times New Roman"/>
          <w:i/>
          <w:iCs/>
          <w:color w:val="auto"/>
          <w:kern w:val="2"/>
          <w:sz w:val="21"/>
          <w:szCs w:val="21"/>
          <w:lang w:val="en-US" w:eastAsia="zh-CN"/>
        </w:rPr>
        <w:t>closeform solution</w:t>
      </w:r>
      <w:r>
        <w:rPr>
          <w:rFonts w:hint="eastAsia" w:hAnsi="Cambria Math" w:cs="Times New Roman"/>
          <w:i w:val="0"/>
          <w:color w:val="auto"/>
          <w:kern w:val="2"/>
          <w:sz w:val="21"/>
          <w:szCs w:val="21"/>
          <w:lang w:val="en-US" w:eastAsia="zh-CN"/>
        </w:rPr>
        <w:t>），因而采用近似离散推断的策略得到该隐含变量的近似后验分布。对于</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中的后验分布推断结果是一样的。其中</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w:rPr>
              <w:rFonts w:hint="default" w:ascii="Cambria Math" w:hAnsi="Cambria Math" w:cs="Times New Roman"/>
              <w:color w:val="auto"/>
              <w:kern w:val="2"/>
              <w:sz w:val="21"/>
              <w:szCs w:val="21"/>
              <w:lang w:val="en-US" w:eastAsia="zh-CN" w:bidi="ar-SA"/>
            </w:rPr>
            <m:t>u</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b</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η</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i/>
          <w:iCs/>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bidi="ar-SA"/>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r>
            <m:rPr/>
            <w:rPr>
              <w:rFonts w:ascii="Cambria Math" w:hAnsi="Cambria Math" w:cs="Times New Roman"/>
              <w:color w:val="auto"/>
              <w:kern w:val="2"/>
              <w:sz w:val="21"/>
              <w:szCs w:val="21"/>
              <w:lang w:val="en-US"/>
            </w:rPr>
            <m:t>Γ</m:t>
          </m:r>
          <m:d>
            <m:dPr>
              <m:ctrlPr>
                <w:rPr>
                  <w:rFonts w:ascii="Cambria Math" w:hAnsi="Cambria Math" w:cs="Times New Roman"/>
                  <w:i/>
                  <w:color w:val="auto"/>
                  <w:kern w:val="2"/>
                  <w:sz w:val="21"/>
                  <w:szCs w:val="21"/>
                  <w:lang w:val="en-US"/>
                </w:rPr>
              </m:ctrlPr>
            </m:dPr>
            <m:e>
              <m:f>
                <m:fPr>
                  <m:ctrlPr>
                    <w:rPr>
                      <w:rFonts w:ascii="Cambria Math" w:hAnsi="Cambria Math" w:cs="Times New Roman"/>
                      <w:i/>
                      <w:color w:val="auto"/>
                      <w:kern w:val="2"/>
                      <w:sz w:val="21"/>
                      <w:szCs w:val="21"/>
                      <w:lang w:val="en-US"/>
                    </w:rPr>
                  </m:ctrlPr>
                </m:fPr>
                <m:num>
                  <m:sSup>
                    <m:sSupPr>
                      <m:ctrlPr>
                        <w:rPr>
                          <w:rFonts w:ascii="Cambria Math" w:hAnsi="Cambria Math" w:cs="Times New Roman"/>
                          <w:i/>
                          <w:color w:val="auto"/>
                          <w:kern w:val="2"/>
                          <w:sz w:val="21"/>
                          <w:szCs w:val="21"/>
                          <w:lang w:val="en-US"/>
                        </w:rPr>
                      </m:ctrlPr>
                    </m:sSupPr>
                    <m:e>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ctrlPr>
                        <w:rPr>
                          <w:rFonts w:ascii="Cambria Math" w:hAnsi="Cambria Math" w:cs="Times New Roman"/>
                          <w:i/>
                          <w:color w:val="auto"/>
                          <w:kern w:val="2"/>
                          <w:sz w:val="21"/>
                          <w:szCs w:val="21"/>
                          <w:lang w:val="en-US"/>
                        </w:rPr>
                      </m:ctrlPr>
                    </m:e>
                    <m:sup>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sup>
                  </m:sSup>
                  <m:ctrlPr>
                    <w:rPr>
                      <w:rFonts w:ascii="Cambria Math" w:hAnsi="Cambria Math" w:cs="Times New Roman"/>
                      <w:i/>
                      <w:color w:val="auto"/>
                      <w:kern w:val="2"/>
                      <w:sz w:val="21"/>
                      <w:szCs w:val="21"/>
                      <w:lang w:val="en-US"/>
                    </w:rPr>
                  </m:ctrlPr>
                </m:num>
                <m:den>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den>
              </m:f>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 xml:space="preserve">, </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nary>
                    <m:naryPr>
                      <m:chr m:val="∑"/>
                      <m:limLoc m:val="undOvr"/>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r>
                        <m:rPr/>
                        <w:rPr>
                          <w:rFonts w:hint="default" w:ascii="Cambria Math" w:hAnsi="Cambria Math" w:cs="Times New Roman"/>
                          <w:color w:val="auto"/>
                          <w:kern w:val="2"/>
                          <w:sz w:val="21"/>
                          <w:szCs w:val="21"/>
                          <w:lang w:val="en-US" w:eastAsia="zh-CN"/>
                        </w:rPr>
                        <m:t>+</m:t>
                      </m:r>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ctrlPr>
                <w:rPr>
                  <w:rFonts w:ascii="Cambria Math" w:hAnsi="Cambria Math" w:cs="Times New Roman"/>
                  <w:i/>
                  <w:color w:val="auto"/>
                  <w:kern w:val="2"/>
                  <w:sz w:val="21"/>
                  <w:szCs w:val="21"/>
                  <w:lang w:val="en-US"/>
                </w:rPr>
              </m:ctrlPr>
            </m:e>
          </m:d>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sSubSup>
            <m:sSubSupPr>
              <m:ctrlPr>
                <w:rPr>
                  <w:rFonts w:ascii="Cambria Math" w:hAnsi="Cambria Math" w:cs="Times New Roman"/>
                  <w:i/>
                  <w:color w:val="auto"/>
                  <w:kern w:val="2"/>
                  <w:sz w:val="21"/>
                  <w:szCs w:val="21"/>
                  <w:lang w:val="en-US" w:bidi="ar-SA"/>
                </w:rPr>
              </m:ctrlPr>
            </m:sSubSup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up>
              <m:f>
                <m:fPr>
                  <m:ctrlPr>
                    <w:rPr>
                      <w:rFonts w:ascii="Cambria Math" w:hAnsi="Cambria Math" w:cs="Times New Roman"/>
                      <w:i/>
                      <w:color w:val="auto"/>
                      <w:kern w:val="2"/>
                      <w:sz w:val="21"/>
                      <w:szCs w:val="21"/>
                      <w:lang w:val="en-US" w:bidi="ar-SA"/>
                    </w:rPr>
                  </m:ctrlPr>
                </m:fPr>
                <m:num>
                  <m:sSup>
                    <m:sSupPr>
                      <m:ctrlPr>
                        <w:rPr>
                          <w:rFonts w:ascii="Cambria Math" w:hAnsi="Cambria Math" w:cs="Times New Roman"/>
                          <w:i/>
                          <w:color w:val="auto"/>
                          <w:kern w:val="2"/>
                          <w:sz w:val="21"/>
                          <w:szCs w:val="21"/>
                          <w:lang w:val="en-US" w:bidi="ar-SA"/>
                        </w:rPr>
                      </m:ctrlPr>
                    </m:sSupPr>
                    <m:e>
                      <m:d>
                        <m:dPr>
                          <m:begChr m:val="|"/>
                          <m:endChr m:val="|"/>
                          <m:ctrlPr>
                            <w:rPr>
                              <w:rFonts w:ascii="Cambria Math" w:hAnsi="Cambria Math" w:cs="Times New Roman"/>
                              <w:i/>
                              <w:color w:val="auto"/>
                              <w:kern w:val="2"/>
                              <w:sz w:val="21"/>
                              <w:szCs w:val="21"/>
                              <w:lang w:val="en-US" w:bidi="ar-SA"/>
                            </w:rPr>
                          </m:ctrlPr>
                        </m:dPr>
                        <m:e>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e>
                      </m:d>
                      <m:ctrlPr>
                        <w:rPr>
                          <w:rFonts w:ascii="Cambria Math" w:hAnsi="Cambria Math" w:cs="Times New Roman"/>
                          <w:i/>
                          <w:color w:val="auto"/>
                          <w:kern w:val="2"/>
                          <w:sz w:val="21"/>
                          <w:szCs w:val="21"/>
                          <w:lang w:val="en-US" w:bidi="ar-SA"/>
                        </w:rPr>
                      </m:ctrlPr>
                    </m:e>
                    <m:sup>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sup>
                  </m:sSup>
                  <m:ctrlPr>
                    <w:rPr>
                      <w:rFonts w:ascii="Cambria Math" w:hAnsi="Cambria Math" w:cs="Times New Roman"/>
                      <w:i/>
                      <w:color w:val="auto"/>
                      <w:kern w:val="2"/>
                      <w:sz w:val="21"/>
                      <w:szCs w:val="21"/>
                      <w:lang w:val="en-US" w:bidi="ar-SA"/>
                    </w:rPr>
                  </m:ctrlPr>
                </m:num>
                <m:den>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den>
              </m:f>
              <m:ctrlPr>
                <w:rPr>
                  <w:rFonts w:ascii="Cambria Math" w:hAnsi="Cambria Math" w:cs="Times New Roman"/>
                  <w:i/>
                  <w:color w:val="auto"/>
                  <w:kern w:val="2"/>
                  <w:sz w:val="21"/>
                  <w:szCs w:val="21"/>
                  <w:lang w:val="en-US" w:bidi="ar-SA"/>
                </w:rPr>
              </m:ctrlPr>
            </m:sup>
          </m:sSubSup>
          <m:r>
            <m:rPr/>
            <w:rPr>
              <w:rFonts w:hint="default" w:ascii="Cambria Math" w:hAnsi="Cambria Math" w:cs="Times New Roman"/>
              <w:color w:val="auto"/>
              <w:kern w:val="2"/>
              <w:sz w:val="21"/>
              <w:szCs w:val="21"/>
              <w:lang w:val="en-US" w:eastAsia="zh-CN" w:bidi="ar-SA"/>
            </w:rPr>
            <m:t>exp(−</m:t>
          </m:r>
          <m:f>
            <m:fPr>
              <m:ctrlPr>
                <w:rPr>
                  <w:rFonts w:hint="default" w:ascii="Cambria Math" w:hAnsi="Cambria Math" w:cs="Times New Roman"/>
                  <w:i/>
                  <w:color w:val="auto"/>
                  <w:kern w:val="2"/>
                  <w:sz w:val="21"/>
                  <w:szCs w:val="21"/>
                  <w:lang w:val="en-US" w:eastAsia="zh-CN" w:bidi="ar-SA"/>
                </w:rPr>
              </m:ctrlPr>
            </m:fPr>
            <m:num>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ascii="Cambria Math" w:hAnsi="Cambria Math" w:cs="Times New Roman"/>
                  <w:color w:val="auto"/>
                  <w:kern w:val="2"/>
                  <w:sz w:val="21"/>
                  <w:szCs w:val="21"/>
                  <w:lang w:val="en-US" w:bidi="ar-SA"/>
                </w:rPr>
                <m:t>τ</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α</m:t>
          </m:r>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eastAsia="宋体"/>
          <w:color w:val="auto"/>
          <w:szCs w:val="21"/>
          <w:lang w:val="en-US" w:eastAsia="zh-CN"/>
        </w:rPr>
      </w:pPr>
      <w:r>
        <w:rPr>
          <w:rFonts w:hint="eastAsia"/>
          <w:color w:val="auto"/>
          <w:szCs w:val="21"/>
          <w:lang w:val="en-US" w:eastAsia="zh-CN"/>
        </w:rPr>
        <w:t>通过收集的真实同行互评数据集，本节对本文中提出的基于评价能力的同行互评模型RPG6、RPG7和相关的同行互评技术进行了实验比较。</w:t>
      </w:r>
      <w:r>
        <w:rPr>
          <w:rFonts w:hint="eastAsia" w:ascii="黑体" w:hAnsi="宋体" w:eastAsia="黑体" w:cs="黑体"/>
          <w:color w:val="000000"/>
          <w:kern w:val="0"/>
          <w:sz w:val="16"/>
          <w:szCs w:val="16"/>
          <w:lang w:val="en-US" w:eastAsia="zh-CN" w:bidi="ar"/>
        </w:rPr>
        <w:t xml:space="preserve"> </w:t>
      </w: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3.1</w:t>
      </w:r>
      <w:r>
        <w:rPr>
          <w:rFonts w:hint="eastAsia" w:ascii="Times New Roman" w:hAnsi="Times New Roman"/>
          <w:b/>
          <w:color w:val="auto"/>
          <w:szCs w:val="21"/>
          <w:lang w:val="en-US" w:eastAsia="zh-CN"/>
        </w:rPr>
        <w:t xml:space="preserve"> 数据集</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实验中使用的</w:t>
      </w:r>
      <w:r>
        <w:rPr>
          <w:rFonts w:hint="eastAsia"/>
          <w:color w:val="auto"/>
          <w:szCs w:val="21"/>
          <w:lang w:val="en-US" w:eastAsia="zh-CN"/>
        </w:rPr>
        <w:t>同行互评</w:t>
      </w:r>
      <w:r>
        <w:rPr>
          <w:rFonts w:hint="default" w:ascii="Times New Roman" w:hAnsi="Times New Roman" w:eastAsia="宋体" w:cs="Times New Roman"/>
          <w:color w:val="auto"/>
          <w:kern w:val="2"/>
          <w:sz w:val="21"/>
          <w:szCs w:val="21"/>
          <w:lang w:val="en-US" w:eastAsia="zh-CN" w:bidi="ar-SA"/>
        </w:rPr>
        <w:t>数据集收集</w:t>
      </w:r>
      <w:r>
        <w:rPr>
          <w:rFonts w:hint="eastAsia" w:ascii="Times New Roman" w:hAnsi="Times New Roman" w:cs="Times New Roman"/>
          <w:color w:val="auto"/>
          <w:kern w:val="2"/>
          <w:sz w:val="21"/>
          <w:szCs w:val="21"/>
          <w:lang w:val="en-US" w:eastAsia="zh-CN" w:bidi="ar-SA"/>
        </w:rPr>
        <w:t>于自主研发的“会了吗”</w:t>
      </w:r>
      <w:r>
        <w:rPr>
          <w:rFonts w:hint="default" w:ascii="Times New Roman" w:hAnsi="Times New Roman" w:eastAsia="宋体" w:cs="Times New Roman"/>
          <w:color w:val="auto"/>
          <w:kern w:val="2"/>
          <w:sz w:val="21"/>
          <w:szCs w:val="21"/>
          <w:lang w:val="en-US" w:eastAsia="zh-CN" w:bidi="ar-SA"/>
        </w:rPr>
        <w:t>MOOC</w:t>
      </w:r>
      <w:r>
        <w:rPr>
          <w:rFonts w:hint="eastAsia" w:ascii="Times New Roman" w:hAnsi="Times New Roman" w:cs="Times New Roman"/>
          <w:color w:val="auto"/>
          <w:kern w:val="2"/>
          <w:sz w:val="21"/>
          <w:szCs w:val="21"/>
          <w:lang w:val="en-US" w:eastAsia="zh-CN" w:bidi="ar-SA"/>
        </w:rPr>
        <w:t>系统。这些数据来自三门课程上举行的同行互评任务，这些课程分别是</w:t>
      </w:r>
      <w:r>
        <w:rPr>
          <w:rFonts w:hint="default" w:ascii="Times New Roman" w:hAnsi="Times New Roman" w:eastAsia="宋体" w:cs="Times New Roman"/>
          <w:color w:val="auto"/>
          <w:kern w:val="2"/>
          <w:sz w:val="21"/>
          <w:szCs w:val="21"/>
          <w:lang w:val="en-US" w:eastAsia="zh-CN" w:bidi="ar-SA"/>
        </w:rPr>
        <w:t>“数据库原理”、“</w:t>
      </w:r>
      <w:r>
        <w:rPr>
          <w:rFonts w:hint="eastAsia" w:ascii="Times New Roman" w:hAnsi="Times New Roman" w:cs="Times New Roman"/>
          <w:color w:val="auto"/>
          <w:kern w:val="2"/>
          <w:sz w:val="21"/>
          <w:szCs w:val="21"/>
          <w:lang w:val="en-US" w:eastAsia="zh-CN" w:bidi="ar-SA"/>
        </w:rPr>
        <w:t>数据结构</w:t>
      </w:r>
      <w:r>
        <w:rPr>
          <w:rFonts w:hint="default" w:ascii="Times New Roman" w:hAnsi="Times New Roman" w:eastAsia="宋体" w:cs="Times New Roman"/>
          <w:color w:val="auto"/>
          <w:kern w:val="2"/>
          <w:sz w:val="21"/>
          <w:szCs w:val="21"/>
          <w:lang w:val="en-US" w:eastAsia="zh-CN" w:bidi="ar-SA"/>
        </w:rPr>
        <w:t>”和“</w:t>
      </w:r>
      <w:r>
        <w:rPr>
          <w:rFonts w:hint="eastAsia" w:ascii="Times New Roman" w:hAnsi="Times New Roman" w:cs="Times New Roman"/>
          <w:color w:val="auto"/>
          <w:kern w:val="2"/>
          <w:sz w:val="21"/>
          <w:szCs w:val="21"/>
          <w:lang w:val="en-US" w:eastAsia="zh-CN" w:bidi="ar-SA"/>
        </w:rPr>
        <w:t>计算机网络</w:t>
      </w:r>
      <w:r>
        <w:rPr>
          <w:rFonts w:hint="default" w:ascii="Times New Roman" w:hAnsi="Times New Roman" w:eastAsia="宋体" w:cs="Times New Roman"/>
          <w:color w:val="auto"/>
          <w:kern w:val="2"/>
          <w:sz w:val="21"/>
          <w:szCs w:val="21"/>
          <w:lang w:val="en-US" w:eastAsia="zh-CN" w:bidi="ar-SA"/>
        </w:rPr>
        <w:t>”。</w:t>
      </w:r>
      <w:r>
        <w:rPr>
          <w:rFonts w:hint="eastAsia" w:ascii="Times New Roman" w:hAnsi="Times New Roman" w:cs="Times New Roman"/>
          <w:color w:val="auto"/>
          <w:kern w:val="2"/>
          <w:sz w:val="21"/>
          <w:szCs w:val="21"/>
          <w:lang w:val="en-US" w:eastAsia="zh-CN" w:bidi="ar-SA"/>
        </w:rPr>
        <w:t>表中给出了课程中的同行互评数据集的统计信息。</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表2 同行互评数据集的统计信息</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2 Statistical information on the peer review dataset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互评次数</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互评记录</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711</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771</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作业总分</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r>
    </w:tbl>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auto"/>
          <w:kern w:val="2"/>
          <w:sz w:val="21"/>
          <w:szCs w:val="21"/>
          <w:lang w:val="en-US" w:eastAsia="zh-CN" w:bidi="ar-SA"/>
        </w:rPr>
      </w:pP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3.2</w:t>
      </w:r>
      <w:r>
        <w:rPr>
          <w:rFonts w:hint="eastAsia" w:ascii="Times New Roman" w:hAnsi="Times New Roman"/>
          <w:b/>
          <w:color w:val="auto"/>
          <w:szCs w:val="21"/>
          <w:lang w:val="en-US" w:eastAsia="zh-CN"/>
        </w:rPr>
        <w:t xml:space="preserve"> 对比方法</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为了评估RPG6和RPG7的效果，我们将它与以下4种方法进行了比较。</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均值：将互评分数的平均值作为最终分数。</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中位数：将互评分数的中位数作为最终分数。</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：目前准确性最好的概率模型之一，引入了相对同伴的分数，假设同行评价者可靠性满足伽马分布，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模型扩展于该模型。</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：与</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类似，但假设同</w:t>
      </w:r>
      <w:r>
        <w:rPr>
          <w:rFonts w:hint="eastAsia" w:ascii="Times New Roman" w:hAnsi="Times New Roman"/>
          <w:b w:val="0"/>
          <w:bCs/>
          <w:color w:val="auto"/>
          <w:szCs w:val="21"/>
          <w:lang w:val="en-US" w:eastAsia="zh-CN"/>
        </w:rPr>
        <w:t>行评价者可靠性满足高斯分布，引入了相对同伴的分数，假设同行评价者可靠性满足伽马分布，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i w:val="0"/>
          <w:iCs w:val="0"/>
          <w:color w:val="auto"/>
          <w:szCs w:val="21"/>
          <w:vertAlign w:val="subscript"/>
          <w:lang w:val="en-US" w:eastAsia="zh-CN"/>
        </w:rPr>
        <w:t>7</w:t>
      </w:r>
      <w:r>
        <w:rPr>
          <w:rFonts w:hint="eastAsia" w:ascii="Times New Roman" w:hAnsi="Times New Roman"/>
          <w:b w:val="0"/>
          <w:bCs/>
          <w:i w:val="0"/>
          <w:iCs w:val="0"/>
          <w:color w:val="auto"/>
          <w:szCs w:val="21"/>
          <w:vertAlign w:val="baseline"/>
          <w:lang w:val="en-US" w:eastAsia="zh-CN"/>
        </w:rPr>
        <w:t>模型</w:t>
      </w:r>
      <w:r>
        <w:rPr>
          <w:rFonts w:hint="eastAsia" w:ascii="Times New Roman" w:hAnsi="Times New Roman"/>
          <w:b w:val="0"/>
          <w:bCs/>
          <w:color w:val="auto"/>
          <w:szCs w:val="21"/>
          <w:lang w:val="en-US" w:eastAsia="zh-CN"/>
        </w:rPr>
        <w:t>扩展于该模型。</w:t>
      </w:r>
    </w:p>
    <w:p>
      <w:pPr>
        <w:pStyle w:val="2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b w:val="0"/>
          <w:bCs/>
          <w:color w:val="auto"/>
          <w:szCs w:val="21"/>
          <w:lang w:val="en-US" w:eastAsia="zh-CN"/>
        </w:rPr>
      </w:pP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3.3</w:t>
      </w:r>
      <w:r>
        <w:rPr>
          <w:rFonts w:hint="eastAsia" w:ascii="Times New Roman" w:hAnsi="Times New Roman"/>
          <w:b/>
          <w:color w:val="auto"/>
          <w:szCs w:val="21"/>
          <w:lang w:val="en-US" w:eastAsia="zh-CN"/>
        </w:rPr>
        <w:t xml:space="preserve"> 实验设置</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数据集中同行互评任务的载体是教学平台上布置的作业，所有的作业内容只包含一道开放式的主观题。每位参与作业的学生都将作为同行评价者，根据教师提供的互评准则来评估其他三份提交的作业，以确保每份提交的作业都有三个互评分数。所有的同行互评活动都是双盲的，同行评价者和被评价者都不知道彼此的身份。</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本文提出的概率模型</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在建模时用到了一些超参数，为这些超参数设置合理的值对概率模型的准确性来说非常重要。由于所提出的模型是【】中</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模型的扩展，为了更好的验证在离散变量中的取值，我们对和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模型中共享的超参数设置了相同的值。</w:t>
      </w:r>
      <w:r>
        <w:rPr>
          <w:rFonts w:hint="eastAsia" w:ascii="Times New Roman" w:hAnsi="Times New Roman"/>
          <w:b w:val="0"/>
          <w:bCs/>
          <w:color w:val="auto"/>
          <w:szCs w:val="21"/>
          <w:lang w:val="en-US" w:eastAsia="zh-CN"/>
        </w:rPr>
        <w:t>对于概率模型中的真实分数</w:t>
      </w:r>
      <w:r>
        <w:rPr>
          <w:rFonts w:hint="eastAsia" w:ascii="Times New Roman" w:hAnsi="Times New Roman"/>
          <w:b w:val="0"/>
          <w:bCs/>
          <w:i/>
          <w:iCs/>
          <w:color w:val="auto"/>
          <w:szCs w:val="21"/>
          <w:lang w:val="en-US" w:eastAsia="zh-CN"/>
        </w:rPr>
        <w:t>s</w:t>
      </w:r>
      <w:r>
        <w:rPr>
          <w:rFonts w:hint="eastAsia" w:ascii="Times New Roman" w:hAnsi="Times New Roman"/>
          <w:b w:val="0"/>
          <w:bCs/>
          <w:color w:val="auto"/>
          <w:szCs w:val="21"/>
          <w:lang w:val="en-US" w:eastAsia="zh-CN"/>
        </w:rPr>
        <w:t>的超参数，即均值</w:t>
      </w:r>
      <m:oMath>
        <m:r>
          <m:rPr/>
          <w:rPr>
            <w:rFonts w:hint="default" w:ascii="Cambria Math" w:hAnsi="Cambria Math"/>
            <w:color w:val="auto"/>
            <w:szCs w:val="21"/>
            <w:lang w:val="en-US"/>
          </w:rPr>
          <m:t>α</m:t>
        </m:r>
      </m:oMath>
      <w:r>
        <w:rPr>
          <w:rFonts w:hint="eastAsia" w:ascii="Times New Roman" w:hAnsi="Times New Roman"/>
          <w:b w:val="0"/>
          <w:bCs/>
          <w:color w:val="auto"/>
          <w:szCs w:val="21"/>
          <w:lang w:val="en-US" w:eastAsia="zh-CN"/>
        </w:rPr>
        <w:t>和方差</w:t>
      </w:r>
      <m:oMath>
        <m:r>
          <m:rPr/>
          <w:rPr>
            <w:rFonts w:hint="default" w:ascii="Cambria Math" w:hAnsi="Cambria Math"/>
            <w:color w:val="auto"/>
            <w:szCs w:val="21"/>
            <w:lang w:val="en-US"/>
          </w:rPr>
          <m:t>γ</m:t>
        </m:r>
      </m:oMath>
      <w:r>
        <w:rPr>
          <w:rFonts w:hint="eastAsia" w:ascii="Times New Roman" w:hAnsi="Times New Roman"/>
          <w:b w:val="0"/>
          <w:bCs/>
          <w:color w:val="auto"/>
          <w:szCs w:val="21"/>
          <w:lang w:val="en-US" w:eastAsia="zh-CN"/>
        </w:rPr>
        <w:t>, 分别设置为当前作业互评分数的均值和方差。对于偏见</w:t>
      </w:r>
      <w:r>
        <w:rPr>
          <w:rFonts w:hint="eastAsia" w:ascii="Times New Roman" w:hAnsi="Times New Roman"/>
          <w:b w:val="0"/>
          <w:bCs/>
          <w:i/>
          <w:iCs/>
          <w:color w:val="auto"/>
          <w:szCs w:val="21"/>
          <w:lang w:val="en-US" w:eastAsia="zh-CN"/>
        </w:rPr>
        <w:t>b</w:t>
      </w:r>
      <w:r>
        <w:rPr>
          <w:rFonts w:hint="eastAsia" w:ascii="Times New Roman" w:hAnsi="Times New Roman"/>
          <w:b w:val="0"/>
          <w:bCs/>
          <w:i w:val="0"/>
          <w:iCs w:val="0"/>
          <w:color w:val="auto"/>
          <w:szCs w:val="21"/>
          <w:lang w:val="en-US" w:eastAsia="zh-CN"/>
        </w:rPr>
        <w:t>的超参数</w:t>
      </w:r>
      <m:oMath>
        <m:r>
          <m:rPr/>
          <w:rPr>
            <w:rFonts w:ascii="Cambria Math" w:hAnsi="Cambria Math"/>
            <w:color w:val="auto"/>
            <w:szCs w:val="21"/>
            <w:lang w:val="en-US"/>
          </w:rPr>
          <m:t>η</m:t>
        </m:r>
      </m:oMath>
      <w:r>
        <w:rPr>
          <w:rFonts w:hint="eastAsia" w:hAnsi="Cambria Math"/>
          <w:bCs/>
          <w:i w:val="0"/>
          <w:iCs w:val="0"/>
          <w:color w:val="auto"/>
          <w:szCs w:val="21"/>
          <w:lang w:val="en-US" w:eastAsia="zh-CN"/>
        </w:rPr>
        <w:t>，我们设置为1。对于可靠性</w:t>
      </w:r>
      <m:oMath>
        <m:r>
          <m:rPr/>
          <w:rPr>
            <w:rFonts w:hint="default" w:ascii="Cambria Math" w:hAnsi="Cambria Math"/>
            <w:color w:val="auto"/>
            <w:szCs w:val="21"/>
            <w:lang w:val="en-US"/>
          </w:rPr>
          <m:t>τ</m:t>
        </m:r>
      </m:oMath>
      <w:r>
        <w:rPr>
          <w:rFonts w:hint="eastAsia" w:hAnsi="Cambria Math"/>
          <w:bCs/>
          <w:i w:val="0"/>
          <w:iCs w:val="0"/>
          <w:color w:val="auto"/>
          <w:szCs w:val="21"/>
          <w:lang w:val="en-US" w:eastAsia="zh-CN"/>
        </w:rPr>
        <w:t>的超参数</w:t>
      </w:r>
      <m:oMath>
        <m:r>
          <m:rPr/>
          <w:rPr>
            <w:rFonts w:hint="default" w:ascii="Cambria Math" w:hAnsi="Cambria Math"/>
            <w:color w:val="auto"/>
            <w:szCs w:val="21"/>
            <w:lang w:val="en-US"/>
          </w:rPr>
          <m:t>β</m:t>
        </m:r>
      </m:oMath>
      <w:r>
        <w:rPr>
          <w:rFonts w:hint="eastAsia" w:hAnsi="Cambria Math"/>
          <w:bCs/>
          <w:i w:val="0"/>
          <w:iCs/>
          <w:color w:val="auto"/>
          <w:szCs w:val="21"/>
          <w:lang w:val="en-US" w:eastAsia="zh-CN"/>
        </w:rPr>
        <w:t>，</w:t>
      </w:r>
      <w:r>
        <w:rPr>
          <w:rFonts w:hint="eastAsia" w:ascii="Times New Roman" w:hAnsi="Times New Roman"/>
          <w:b w:val="0"/>
          <w:bCs/>
          <w:color w:val="auto"/>
          <w:szCs w:val="21"/>
          <w:lang w:val="en-US" w:eastAsia="zh-CN"/>
        </w:rPr>
        <w:t>在其它参数取值固定的前提下，以100为步长尝试在［100,700］范围中的不同取值，然后以其中所得到的对真实分数最准确的估计值为该模型的最终估计值。由于概率模型的估计具有一定的随机性，对于所有概率模型，超参数</w:t>
      </w:r>
      <m:oMath>
        <m:r>
          <m:rPr/>
          <w:rPr>
            <w:rFonts w:hint="default" w:ascii="Cambria Math" w:hAnsi="Cambria Math"/>
            <w:color w:val="auto"/>
            <w:szCs w:val="21"/>
            <w:lang w:val="en-US"/>
          </w:rPr>
          <m:t>β</m:t>
        </m:r>
      </m:oMath>
      <w:r>
        <w:rPr>
          <w:rFonts w:hint="eastAsia" w:ascii="Times New Roman" w:hAnsi="Times New Roman"/>
          <w:b w:val="0"/>
          <w:bCs/>
          <w:color w:val="auto"/>
          <w:szCs w:val="21"/>
          <w:lang w:val="en-US" w:eastAsia="zh-CN"/>
        </w:rPr>
        <w:t>的每种取值都执行10次真实分数的估计。</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对于基于概率模型的同行互评技术中每个需要估计的隐含变量,推断算法均迭代运行600次Gibbs采样获取隐含变量的样本值，并设定前60次采样得到的样本为老化阶段的样本，这些老化阶段的样郴不参与对真实分数的估计运算.</w:t>
      </w: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lang w:val="en-US" w:eastAsia="zh-CN"/>
        </w:rPr>
        <w:t>3.4 实验结果</w:t>
      </w:r>
    </w:p>
    <w:p>
      <w:pPr>
        <w:pStyle w:val="22"/>
        <w:ind w:firstLine="0" w:firstLineChars="0"/>
        <w:rPr>
          <w:rFonts w:hint="eastAsia"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.1</w:t>
      </w:r>
      <w:r>
        <w:rPr>
          <w:rFonts w:hint="eastAsia" w:ascii="Times New Roman" w:hAnsi="Times New Roman"/>
          <w:color w:val="auto"/>
          <w:szCs w:val="21"/>
          <w:lang w:val="en-US" w:eastAsia="zh-CN"/>
        </w:rPr>
        <w:t xml:space="preserve"> 同行互评汇总技术的评估准确性</w:t>
      </w:r>
    </w:p>
    <w:p>
      <w:pPr>
        <w:pStyle w:val="22"/>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和【】一样，我们采用RMSE来评估</w:t>
      </w:r>
      <w:r>
        <w:rPr>
          <w:rFonts w:hint="default" w:ascii="Times New Roman" w:hAnsi="Times New Roman"/>
          <w:b w:val="0"/>
          <w:bCs/>
          <w:color w:val="auto"/>
          <w:szCs w:val="21"/>
          <w:lang w:val="en-US" w:eastAsia="zh-CN"/>
        </w:rPr>
        <w:t>不同</w:t>
      </w:r>
      <w:r>
        <w:rPr>
          <w:rFonts w:hint="eastAsia" w:ascii="Times New Roman" w:hAnsi="Times New Roman"/>
          <w:color w:val="auto"/>
          <w:szCs w:val="21"/>
          <w:lang w:val="en-US" w:eastAsia="zh-CN"/>
        </w:rPr>
        <w:t>互评汇总</w:t>
      </w:r>
      <w:r>
        <w:rPr>
          <w:rFonts w:hint="default" w:ascii="Times New Roman" w:hAnsi="Times New Roman"/>
          <w:b w:val="0"/>
          <w:bCs/>
          <w:color w:val="auto"/>
          <w:szCs w:val="21"/>
          <w:lang w:val="en-US" w:eastAsia="zh-CN"/>
        </w:rPr>
        <w:t>技术</w:t>
      </w:r>
      <w:r>
        <w:rPr>
          <w:rFonts w:hint="eastAsia" w:ascii="Times New Roman" w:hAnsi="Times New Roman"/>
          <w:b w:val="0"/>
          <w:bCs/>
          <w:color w:val="auto"/>
          <w:szCs w:val="21"/>
          <w:lang w:val="en-US" w:eastAsia="zh-CN"/>
        </w:rPr>
        <w:t>的准确性差异。RMSE的计算公式如下：</w:t>
      </w:r>
    </w:p>
    <w:p>
      <w:pPr>
        <w:pStyle w:val="22"/>
        <w:keepNext w:val="0"/>
        <w:keepLines w:val="0"/>
        <w:pageBreakBefore w:val="0"/>
        <w:widowControl w:val="0"/>
        <w:kinsoku/>
        <w:wordWrap/>
        <w:overflowPunct/>
        <w:topLinePunct w:val="0"/>
        <w:autoSpaceDE/>
        <w:autoSpaceDN/>
        <w:bidi w:val="0"/>
        <w:adjustRightInd/>
        <w:snapToGrid/>
        <w:textAlignment w:val="auto"/>
        <w:rPr>
          <w:rFonts w:hint="default" w:hAnsi="Cambria Math" w:cs="Times New Roman"/>
          <w:b w:val="0"/>
          <w:bCs/>
          <w:i w:val="0"/>
          <w:iCs/>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RMSE=</m:t>
          </m:r>
          <m:rad>
            <m:radPr>
              <m:degHide m:val="1"/>
              <m:ctrlPr>
                <w:rPr>
                  <w:rFonts w:hint="default" w:ascii="Cambria Math" w:hAnsi="Cambria Math" w:cs="Times New Roman"/>
                  <w:b w:val="0"/>
                  <w:bCs/>
                  <w:i/>
                  <w:iCs/>
                  <w:color w:val="auto"/>
                  <w:kern w:val="2"/>
                  <w:sz w:val="21"/>
                  <w:szCs w:val="21"/>
                  <w:lang w:val="en-US" w:eastAsia="zh-CN" w:bidi="ar-SA"/>
                </w:rPr>
              </m:ctrlPr>
            </m:radPr>
            <m:deg>
              <m:ctrlPr>
                <w:rPr>
                  <w:rFonts w:hint="default" w:ascii="Cambria Math" w:hAnsi="Cambria Math" w:cs="Times New Roman"/>
                  <w:b w:val="0"/>
                  <w:bCs/>
                  <w:i/>
                  <w:iCs/>
                  <w:color w:val="auto"/>
                  <w:kern w:val="2"/>
                  <w:sz w:val="21"/>
                  <w:szCs w:val="21"/>
                  <w:lang w:val="en-US" w:eastAsia="zh-CN" w:bidi="ar-SA"/>
                </w:rPr>
              </m:ctrlPr>
            </m:deg>
            <m:e>
              <m:f>
                <m:fPr>
                  <m:ctrlPr>
                    <w:rPr>
                      <w:rFonts w:hint="default" w:ascii="Cambria Math" w:hAnsi="Cambria Math" w:cs="Times New Roman"/>
                      <w:b w:val="0"/>
                      <w:bCs/>
                      <w:i/>
                      <w:iCs/>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b w:val="0"/>
                      <w:bCs/>
                      <w:i/>
                      <w:iCs/>
                      <w:color w:val="auto"/>
                      <w:kern w:val="2"/>
                      <w:sz w:val="21"/>
                      <w:szCs w:val="21"/>
                      <w:lang w:val="en-US" w:eastAsia="zh-CN" w:bidi="ar-SA"/>
                    </w:rPr>
                  </m:ctrlPr>
                </m:num>
                <m:den>
                  <m:d>
                    <m:dPr>
                      <m:begChr m:val="|"/>
                      <m:endChr m:val="|"/>
                      <m:ctrlPr>
                        <w:rPr>
                          <w:rFonts w:hint="default" w:ascii="Cambria Math" w:hAnsi="Cambria Math" w:cs="Times New Roman"/>
                          <w:b w:val="0"/>
                          <w:bCs/>
                          <w:i/>
                          <w:iCs/>
                          <w:color w:val="auto"/>
                          <w:kern w:val="2"/>
                          <w:sz w:val="21"/>
                          <w:szCs w:val="21"/>
                          <w:lang w:val="en-US" w:eastAsia="zh-CN" w:bidi="ar-SA"/>
                        </w:rPr>
                      </m:ctrlPr>
                    </m:dPr>
                    <m:e>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e>
                  </m:d>
                  <m:ctrlPr>
                    <w:rPr>
                      <w:rFonts w:hint="default" w:ascii="Cambria Math" w:hAnsi="Cambria Math" w:cs="Times New Roman"/>
                      <w:b w:val="0"/>
                      <w:bCs/>
                      <w:i/>
                      <w:iCs/>
                      <w:color w:val="auto"/>
                      <w:kern w:val="2"/>
                      <w:sz w:val="21"/>
                      <w:szCs w:val="21"/>
                      <w:lang w:val="en-US" w:eastAsia="zh-CN" w:bidi="ar-SA"/>
                    </w:rPr>
                  </m:ctrlPr>
                </m:den>
              </m:f>
              <m:nary>
                <m:naryPr>
                  <m:chr m:val="∑"/>
                  <m:limLoc m:val="subSup"/>
                  <m:supHide m:val="1"/>
                  <m:ctrlPr>
                    <w:rPr>
                      <w:rFonts w:hint="default" w:ascii="Cambria Math" w:hAnsi="Cambria Math" w:cs="Times New Roman"/>
                      <w:b w:val="0"/>
                      <w:bCs/>
                      <w:i/>
                      <w:iCs/>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ctrlPr>
                    <w:rPr>
                      <w:rFonts w:hint="default" w:ascii="Cambria Math" w:hAnsi="Cambria Math" w:cs="Times New Roman"/>
                      <w:b w:val="0"/>
                      <w:bCs/>
                      <w:i/>
                      <w:iCs/>
                      <w:color w:val="auto"/>
                      <w:kern w:val="2"/>
                      <w:sz w:val="21"/>
                      <w:szCs w:val="21"/>
                      <w:lang w:val="en-US" w:eastAsia="zh-CN" w:bidi="ar-SA"/>
                    </w:rPr>
                  </m:ctrlPr>
                </m:sub>
                <m:sup>
                  <m:ctrlPr>
                    <w:rPr>
                      <w:rFonts w:hint="default" w:ascii="Cambria Math" w:hAnsi="Cambria Math" w:cs="Times New Roman"/>
                      <w:b w:val="0"/>
                      <w:bCs/>
                      <w:i/>
                      <w:iCs/>
                      <w:color w:val="auto"/>
                      <w:kern w:val="2"/>
                      <w:sz w:val="21"/>
                      <w:szCs w:val="21"/>
                      <w:lang w:val="en-US" w:eastAsia="zh-CN" w:bidi="ar-SA"/>
                    </w:rPr>
                  </m:ctrlPr>
                </m:sup>
                <m:e>
                  <m:sSup>
                    <m:sSupPr>
                      <m:ctrlPr>
                        <w:rPr>
                          <w:rFonts w:hint="default" w:ascii="Cambria Math" w:hAnsi="Cambria Math" w:cs="Times New Roman"/>
                          <w:b w:val="0"/>
                          <w:bCs/>
                          <w:i/>
                          <w:iCs/>
                          <w:color w:val="auto"/>
                          <w:kern w:val="2"/>
                          <w:sz w:val="21"/>
                          <w:szCs w:val="21"/>
                          <w:lang w:val="en-US" w:eastAsia="zh-CN" w:bidi="ar-SA"/>
                        </w:rPr>
                      </m:ctrlPr>
                    </m:sSupPr>
                    <m:e>
                      <m:d>
                        <m:dPr>
                          <m:ctrlPr>
                            <w:rPr>
                              <w:rFonts w:hint="default" w:ascii="Cambria Math" w:hAnsi="Cambria Math" w:cs="Times New Roman"/>
                              <w:b w:val="0"/>
                              <w:bCs/>
                              <w:i/>
                              <w:iCs/>
                              <w:color w:val="auto"/>
                              <w:kern w:val="2"/>
                              <w:sz w:val="21"/>
                              <w:szCs w:val="21"/>
                              <w:lang w:val="en-US" w:eastAsia="zh-CN" w:bidi="ar-SA"/>
                            </w:rPr>
                          </m:ctrlPr>
                        </m:dPr>
                        <m:e>
                          <m:sSub>
                            <m:sSubPr>
                              <m:ctrl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b w:val="0"/>
                                  <w:bCs/>
                                  <w:i/>
                                  <w:iCs/>
                                  <w:color w:val="auto"/>
                                  <w:kern w:val="2"/>
                                  <w:sz w:val="21"/>
                                  <w:szCs w:val="21"/>
                                  <w:lang w:val="en-US" w:eastAsia="zh-CN" w:bidi="ar-SA"/>
                                </w:rPr>
                              </m:ctrlPr>
                            </m:sSubPr>
                            <m:e>
                              <m:acc>
                                <m:accPr>
                                  <m:ctrl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b w:val="0"/>
                                      <w:bCs/>
                                      <w:i/>
                                      <w:iCs/>
                                      <w:color w:val="auto"/>
                                      <w:kern w:val="2"/>
                                      <w:sz w:val="21"/>
                                      <w:szCs w:val="21"/>
                                      <w:lang w:val="en-US" w:eastAsia="zh-CN" w:bidi="ar-SA"/>
                                    </w:rPr>
                                  </m:ctrlPr>
                                </m:e>
                              </m:acc>
                              <m:ctrl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b w:val="0"/>
                                  <w:bCs/>
                                  <w:i/>
                                  <w:iCs/>
                                  <w:color w:val="auto"/>
                                  <w:kern w:val="2"/>
                                  <w:sz w:val="21"/>
                                  <w:szCs w:val="21"/>
                                  <w:lang w:val="en-US" w:eastAsia="zh-CN" w:bidi="ar-SA"/>
                                </w:rPr>
                              </m:ctrlPr>
                            </m:sub>
                          </m:sSub>
                          <m:ctrlPr>
                            <w:rPr>
                              <w:rFonts w:hint="default" w:ascii="Cambria Math" w:hAnsi="Cambria Math" w:cs="Times New Roman"/>
                              <w:b w:val="0"/>
                              <w:bCs/>
                              <w:i/>
                              <w:iCs/>
                              <w:color w:val="auto"/>
                              <w:kern w:val="2"/>
                              <w:sz w:val="21"/>
                              <w:szCs w:val="21"/>
                              <w:lang w:val="en-US" w:eastAsia="zh-CN" w:bidi="ar-SA"/>
                            </w:rPr>
                          </m:ctrlPr>
                        </m:e>
                      </m:d>
                      <m:ctrlPr>
                        <w:rPr>
                          <w:rFonts w:hint="default" w:ascii="Cambria Math" w:hAnsi="Cambria Math" w:cs="Times New Roman"/>
                          <w:b w:val="0"/>
                          <w:bCs/>
                          <w:i/>
                          <w:iCs/>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b w:val="0"/>
                          <w:bCs/>
                          <w:i/>
                          <w:iCs/>
                          <w:color w:val="auto"/>
                          <w:kern w:val="2"/>
                          <w:sz w:val="21"/>
                          <w:szCs w:val="21"/>
                          <w:lang w:val="en-US" w:eastAsia="zh-CN" w:bidi="ar-SA"/>
                        </w:rPr>
                      </m:ctrlPr>
                    </m:sup>
                  </m:sSup>
                  <m:ctrlPr>
                    <w:rPr>
                      <w:rFonts w:hint="default" w:ascii="Cambria Math" w:hAnsi="Cambria Math" w:cs="Times New Roman"/>
                      <w:b w:val="0"/>
                      <w:bCs/>
                      <w:i/>
                      <w:iCs/>
                      <w:color w:val="auto"/>
                      <w:kern w:val="2"/>
                      <w:sz w:val="21"/>
                      <w:szCs w:val="21"/>
                      <w:lang w:val="en-US" w:eastAsia="zh-CN" w:bidi="ar-SA"/>
                    </w:rPr>
                  </m:ctrlPr>
                </m:e>
              </m:nary>
              <m:ctrlPr>
                <w:rPr>
                  <w:rFonts w:hint="default" w:ascii="Cambria Math" w:hAnsi="Cambria Math" w:cs="Times New Roman"/>
                  <w:b w:val="0"/>
                  <w:bCs/>
                  <w:i/>
                  <w:iCs/>
                  <w:color w:val="auto"/>
                  <w:kern w:val="2"/>
                  <w:sz w:val="21"/>
                  <w:szCs w:val="21"/>
                  <w:lang w:val="en-US" w:eastAsia="zh-CN" w:bidi="ar-SA"/>
                </w:rPr>
              </m:ctrlPr>
            </m:e>
          </m:rad>
        </m:oMath>
      </m:oMathPara>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表3 </w:t>
      </w:r>
      <w:r>
        <w:rPr>
          <w:rFonts w:hint="eastAsia" w:ascii="Times New Roman" w:hAnsi="Times New Roman"/>
          <w:color w:val="auto"/>
          <w:szCs w:val="21"/>
          <w:lang w:val="en-US" w:eastAsia="zh-CN"/>
        </w:rPr>
        <w:t>同行互评汇总技术的RMSE（粗体表示最优结果）</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3 RMSE for peer assessment aggregation techniques (best results in bold)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RMSE</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3.746</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4.168</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3.744</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4.213</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3.637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3.832</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3.587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3.151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3.357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3.146</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3.284</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4.951</w:t>
            </w:r>
          </w:p>
        </w:tc>
      </w:tr>
    </w:tbl>
    <w:p>
      <w:pPr>
        <w:pStyle w:val="22"/>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表3展示了不同</w:t>
      </w:r>
      <w:r>
        <w:rPr>
          <w:rFonts w:hint="eastAsia" w:ascii="Times New Roman" w:hAnsi="Times New Roman"/>
          <w:color w:val="auto"/>
          <w:szCs w:val="21"/>
          <w:lang w:val="en-US" w:eastAsia="zh-CN"/>
        </w:rPr>
        <w:t>同行互评汇总技术</w:t>
      </w:r>
      <w:r>
        <w:rPr>
          <w:rFonts w:hint="eastAsia" w:ascii="Times New Roman" w:hAnsi="Times New Roman"/>
          <w:b w:val="0"/>
          <w:bCs/>
          <w:color w:val="auto"/>
          <w:szCs w:val="21"/>
          <w:lang w:val="en-US" w:eastAsia="zh-CN"/>
        </w:rPr>
        <w:t>的在数据集中的表现。由表3可知，本文提出的基于评价能力的同行互评技术</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在3门课程中RMSE均小于其他技术。由于使用了比真实分数更好的概括学生可靠性的评价能力为可靠性建模，</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平均降低了XX</w:t>
      </w:r>
      <w:r>
        <w:rPr>
          <w:rFonts w:hint="eastAsia" w:ascii="Times New Roman" w:hAnsi="Times New Roman"/>
          <w:b w:val="0"/>
          <w:bCs/>
          <w:color w:val="auto"/>
          <w:szCs w:val="21"/>
          <w:lang w:val="en-US" w:eastAsia="zh-CN"/>
        </w:rPr>
        <w:t>。实验结果证实了结合学生的评价能力建模可靠性比学生的真实分数的建模要更加准确。</w:t>
      </w:r>
    </w:p>
    <w:p>
      <w:pPr>
        <w:pStyle w:val="2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2 同行互评汇总技术的最大偏差</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除了RMSE，我们还</w:t>
      </w:r>
      <w:r>
        <w:rPr>
          <w:rFonts w:hint="default" w:ascii="Times New Roman" w:hAnsi="Times New Roman"/>
          <w:color w:val="auto"/>
          <w:szCs w:val="21"/>
          <w:lang w:val="en-US" w:eastAsia="zh-CN"/>
        </w:rPr>
        <w:t>通过真实分数</w:t>
      </w:r>
      <w:r>
        <w:rPr>
          <w:rFonts w:hint="eastAsia" w:ascii="Times New Roman" w:hAnsi="Times New Roman"/>
          <w:color w:val="auto"/>
          <w:szCs w:val="21"/>
          <w:lang w:val="en-US" w:eastAsia="zh-CN"/>
        </w:rPr>
        <w:t>与汇总分数</w:t>
      </w:r>
      <w:r>
        <w:rPr>
          <w:rFonts w:hint="default" w:ascii="Times New Roman" w:hAnsi="Times New Roman"/>
          <w:color w:val="auto"/>
          <w:szCs w:val="21"/>
          <w:lang w:val="en-US" w:eastAsia="zh-CN"/>
        </w:rPr>
        <w:t>之间的最大偏差来分析同行互评</w:t>
      </w:r>
      <w:r>
        <w:rPr>
          <w:rFonts w:hint="eastAsia" w:ascii="Times New Roman" w:hAnsi="Times New Roman"/>
          <w:color w:val="auto"/>
          <w:szCs w:val="21"/>
          <w:lang w:val="en-US" w:eastAsia="zh-CN"/>
        </w:rPr>
        <w:t>汇总</w:t>
      </w:r>
      <w:r>
        <w:rPr>
          <w:rFonts w:hint="default" w:ascii="Times New Roman" w:hAnsi="Times New Roman"/>
          <w:color w:val="auto"/>
          <w:szCs w:val="21"/>
          <w:lang w:val="en-US" w:eastAsia="zh-CN"/>
        </w:rPr>
        <w:t>技术的</w:t>
      </w:r>
      <w:r>
        <w:rPr>
          <w:rFonts w:hint="eastAsia" w:ascii="Times New Roman" w:hAnsi="Times New Roman"/>
          <w:color w:val="auto"/>
          <w:szCs w:val="21"/>
          <w:lang w:val="en-US" w:eastAsia="zh-CN"/>
        </w:rPr>
        <w:t>准确性。</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表4 </w:t>
      </w:r>
      <w:r>
        <w:rPr>
          <w:rFonts w:hint="eastAsia" w:ascii="Times New Roman" w:hAnsi="Times New Roman"/>
          <w:color w:val="auto"/>
          <w:szCs w:val="21"/>
          <w:lang w:val="en-US" w:eastAsia="zh-CN"/>
        </w:rPr>
        <w:t>同行互评汇总技术的</w:t>
      </w:r>
      <w:r>
        <w:rPr>
          <w:rFonts w:hint="default" w:ascii="Times New Roman" w:hAnsi="Times New Roman"/>
          <w:color w:val="auto"/>
          <w:szCs w:val="21"/>
          <w:lang w:val="en-US" w:eastAsia="zh-CN"/>
        </w:rPr>
        <w:t>最大偏差</w:t>
      </w:r>
      <w:r>
        <w:rPr>
          <w:rFonts w:hint="eastAsia" w:ascii="Times New Roman" w:hAnsi="Times New Roman"/>
          <w:color w:val="auto"/>
          <w:szCs w:val="21"/>
          <w:lang w:val="en-US" w:eastAsia="zh-CN"/>
        </w:rPr>
        <w:t>（粗体表示最优结果）</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Table 3 Maximum bias in peer assessment </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aggregation techniques (best results in bold)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最大偏差</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5.171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5.518</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6.766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8.447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4.331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5.07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7.366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4.349</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5.423</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7.589</w:t>
            </w:r>
          </w:p>
        </w:tc>
      </w:tr>
    </w:tbl>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olor w:val="auto"/>
          <w:szCs w:val="21"/>
          <w:lang w:val="en-US" w:eastAsia="zh-CN"/>
        </w:rPr>
      </w:pPr>
      <w:r>
        <w:rPr>
          <w:rFonts w:hint="default" w:ascii="Times New Roman" w:hAnsi="Times New Roman"/>
          <w:color w:val="auto"/>
          <w:szCs w:val="21"/>
          <w:lang w:val="en-US" w:eastAsia="zh-CN"/>
        </w:rPr>
        <w:t>如表4 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从表中可看出，基于</w:t>
      </w:r>
      <w:r>
        <w:rPr>
          <w:rFonts w:hint="eastAsia" w:ascii="Times New Roman" w:hAnsi="Times New Roman"/>
          <w:color w:val="auto"/>
          <w:szCs w:val="21"/>
          <w:lang w:val="en-US" w:eastAsia="zh-CN"/>
        </w:rPr>
        <w:t>评价能力</w:t>
      </w:r>
      <w:r>
        <w:rPr>
          <w:rFonts w:hint="default" w:ascii="Times New Roman" w:hAnsi="Times New Roman"/>
          <w:color w:val="auto"/>
          <w:szCs w:val="21"/>
          <w:lang w:val="en-US" w:eastAsia="zh-CN"/>
        </w:rPr>
        <w:t>的</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w:t>
      </w:r>
      <w:r>
        <w:rPr>
          <w:rFonts w:hint="default" w:ascii="Times New Roman" w:hAnsi="Times New Roman"/>
          <w:color w:val="auto"/>
          <w:szCs w:val="21"/>
          <w:lang w:val="en-US" w:eastAsia="zh-CN"/>
        </w:rPr>
        <w:t>在3</w:t>
      </w:r>
      <w:r>
        <w:rPr>
          <w:rFonts w:hint="eastAsia" w:ascii="Times New Roman" w:hAnsi="Times New Roman"/>
          <w:color w:val="auto"/>
          <w:szCs w:val="21"/>
          <w:lang w:val="en-US" w:eastAsia="zh-CN"/>
        </w:rPr>
        <w:t>门课程</w:t>
      </w:r>
      <w:r>
        <w:rPr>
          <w:rFonts w:hint="default" w:ascii="Times New Roman" w:hAnsi="Times New Roman"/>
          <w:color w:val="auto"/>
          <w:szCs w:val="21"/>
          <w:lang w:val="en-US" w:eastAsia="zh-CN"/>
        </w:rPr>
        <w:t>中的最大评分偏差是最小的，说明</w:t>
      </w:r>
      <w:r>
        <w:rPr>
          <w:rFonts w:hint="eastAsia" w:ascii="Times New Roman" w:hAnsi="Times New Roman"/>
          <w:color w:val="auto"/>
          <w:szCs w:val="21"/>
          <w:lang w:val="en-US" w:eastAsia="zh-CN"/>
        </w:rPr>
        <w:t>在学生的可靠性建模中，评价能力确实比真实分数具有更好的效果。</w:t>
      </w:r>
    </w:p>
    <w:p>
      <w:pPr>
        <w:pStyle w:val="22"/>
        <w:ind w:firstLine="0" w:firstLineChars="0"/>
        <w:rPr>
          <w:rFonts w:hint="default"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3 同行互评汇总技术的超参数敏感性</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default" w:ascii="Times New Roman" w:hAnsi="Times New Roman"/>
          <w:color w:val="auto"/>
          <w:szCs w:val="21"/>
          <w:lang w:val="en-US" w:eastAsia="zh-CN"/>
        </w:rPr>
        <w:t xml:space="preserve"> 为了</w:t>
      </w:r>
      <w:r>
        <w:rPr>
          <w:rFonts w:hint="eastAsia" w:ascii="Times New Roman" w:hAnsi="Times New Roman"/>
          <w:color w:val="auto"/>
          <w:szCs w:val="21"/>
          <w:lang w:val="en-US" w:eastAsia="zh-CN"/>
        </w:rPr>
        <w:t>展示</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模型中</w:t>
      </w:r>
      <w:r>
        <w:rPr>
          <w:rFonts w:hint="default" w:ascii="Times New Roman" w:hAnsi="Times New Roman"/>
          <w:color w:val="auto"/>
          <w:szCs w:val="21"/>
          <w:lang w:val="en-US" w:eastAsia="zh-CN"/>
        </w:rPr>
        <w:t>的超参数超参数</w:t>
      </w:r>
      <w:r>
        <w:rPr>
          <w:rFonts w:hint="eastAsia" w:ascii="Times New Roman" w:hAnsi="Times New Roman"/>
          <w:color w:val="auto"/>
          <w:szCs w:val="21"/>
          <w:lang w:val="en-US" w:eastAsia="zh-CN"/>
        </w:rPr>
        <w:t>对估计结果</w:t>
      </w:r>
      <w:r>
        <w:rPr>
          <w:rFonts w:hint="default" w:ascii="Times New Roman" w:hAnsi="Times New Roman"/>
          <w:color w:val="auto"/>
          <w:szCs w:val="21"/>
          <w:lang w:val="en-US" w:eastAsia="zh-CN"/>
        </w:rPr>
        <w:t>的影响</w:t>
      </w:r>
      <w:r>
        <w:rPr>
          <w:rFonts w:hint="eastAsia" w:ascii="Times New Roman" w:hAnsi="Times New Roman"/>
          <w:color w:val="auto"/>
          <w:szCs w:val="21"/>
          <w:lang w:val="en-US" w:eastAsia="zh-CN"/>
        </w:rPr>
        <w:t>，实验</w:t>
      </w:r>
      <w:r>
        <w:rPr>
          <w:rFonts w:hint="default" w:ascii="Times New Roman" w:hAnsi="Times New Roman"/>
          <w:color w:val="auto"/>
          <w:szCs w:val="21"/>
          <w:lang w:val="en-US" w:eastAsia="zh-CN"/>
        </w:rPr>
        <w:t>采取</w:t>
      </w:r>
      <w:r>
        <w:rPr>
          <w:rFonts w:hint="eastAsia" w:ascii="Times New Roman" w:hAnsi="Times New Roman"/>
          <w:color w:val="auto"/>
          <w:szCs w:val="21"/>
          <w:lang w:val="en-US" w:eastAsia="zh-CN"/>
        </w:rPr>
        <w:t>了</w:t>
      </w:r>
      <w:r>
        <w:rPr>
          <w:rFonts w:hint="default" w:ascii="Times New Roman" w:hAnsi="Times New Roman"/>
          <w:color w:val="auto"/>
          <w:szCs w:val="21"/>
          <w:lang w:val="en-US" w:eastAsia="zh-CN"/>
        </w:rPr>
        <w:t>固定其他超参数值的策略并对</w:t>
      </w:r>
      <w:r>
        <w:rPr>
          <w:rFonts w:hint="eastAsia" w:ascii="Times New Roman" w:hAnsi="Times New Roman"/>
          <w:color w:val="auto"/>
          <w:szCs w:val="21"/>
          <w:lang w:val="en-US" w:eastAsia="zh-CN"/>
        </w:rPr>
        <w:t>可靠性建模的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超参数进行了实验分析</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在实验中为了测试模型的敏感性，将</w:t>
      </w:r>
      <w:r>
        <w:rPr>
          <w:rFonts w:hint="eastAsia" w:ascii="Times New Roman" w:hAnsi="Times New Roman"/>
          <w:color w:val="auto"/>
          <w:szCs w:val="21"/>
          <w:lang w:val="en-US" w:eastAsia="zh-CN"/>
        </w:rPr>
        <w:t>两个模型</w:t>
      </w:r>
      <w:r>
        <w:rPr>
          <w:rFonts w:hint="default" w:ascii="Times New Roman" w:hAnsi="Times New Roman"/>
          <w:color w:val="auto"/>
          <w:szCs w:val="21"/>
          <w:lang w:val="en-US" w:eastAsia="zh-CN"/>
        </w:rPr>
        <w:t>中的超参数设置在 ［1</w:t>
      </w:r>
      <w:r>
        <w:rPr>
          <w:rFonts w:hint="eastAsia" w:ascii="Times New Roman" w:hAnsi="Times New Roman"/>
          <w:color w:val="auto"/>
          <w:szCs w:val="21"/>
          <w:lang w:val="en-US" w:eastAsia="zh-CN"/>
        </w:rPr>
        <w:t>00，7</w:t>
      </w:r>
      <w:r>
        <w:rPr>
          <w:rFonts w:hint="default" w:ascii="Times New Roman" w:hAnsi="Times New Roman"/>
          <w:color w:val="auto"/>
          <w:szCs w:val="21"/>
          <w:lang w:val="en-US" w:eastAsia="zh-CN"/>
        </w:rPr>
        <w:t>00］范围内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以</w:t>
      </w:r>
      <w:r>
        <w:rPr>
          <w:rFonts w:hint="eastAsia" w:ascii="Times New Roman" w:hAnsi="Times New Roman"/>
          <w:color w:val="auto"/>
          <w:szCs w:val="21"/>
          <w:lang w:val="en-US" w:eastAsia="zh-CN"/>
        </w:rPr>
        <w:t>100</w:t>
      </w:r>
      <w:r>
        <w:rPr>
          <w:rFonts w:hint="default" w:ascii="Times New Roman" w:hAnsi="Times New Roman"/>
          <w:color w:val="auto"/>
          <w:szCs w:val="21"/>
          <w:lang w:val="en-US" w:eastAsia="zh-CN"/>
        </w:rPr>
        <w:t>为步长变化</w:t>
      </w:r>
      <w:r>
        <w:rPr>
          <w:rFonts w:hint="eastAsia" w:ascii="Times New Roman" w:hAnsi="Times New Roman"/>
          <w:color w:val="auto"/>
          <w:szCs w:val="21"/>
          <w:lang w:val="en-US" w:eastAsia="zh-CN"/>
        </w:rPr>
        <w:t>，得到</w:t>
      </w:r>
      <w:r>
        <w:rPr>
          <w:rFonts w:hint="default" w:ascii="Times New Roman" w:hAnsi="Times New Roman"/>
          <w:color w:val="auto"/>
          <w:szCs w:val="21"/>
          <w:lang w:val="en-US" w:eastAsia="zh-CN"/>
        </w:rPr>
        <w:t>实验结果如图4</w:t>
      </w:r>
      <w:r>
        <w:rPr>
          <w:rFonts w:hint="eastAsia" w:ascii="Times New Roman" w:hAnsi="Times New Roman"/>
          <w:color w:val="auto"/>
          <w:szCs w:val="21"/>
          <w:lang w:val="en-US" w:eastAsia="zh-CN"/>
        </w:rPr>
        <w:t>和图5</w:t>
      </w:r>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图4和图5的结果表明</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在合理的取值范围内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这两种技术对超参数值具有鲁棒性，它们对作业真实分数的估计误差都控制在可接受的范围</w:t>
      </w:r>
      <w:r>
        <w:rPr>
          <w:rFonts w:hint="eastAsia" w:ascii="Times New Roman" w:hAnsi="Times New Roman"/>
          <w:color w:val="auto"/>
          <w:szCs w:val="21"/>
          <w:lang w:val="en-US" w:eastAsia="zh-CN"/>
        </w:rPr>
        <w:t>。</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2694305" cy="1757045"/>
            <wp:effectExtent l="0" t="0" r="31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694305" cy="1757045"/>
                    </a:xfrm>
                    <a:prstGeom prst="rect">
                      <a:avLst/>
                    </a:prstGeom>
                    <a:noFill/>
                    <a:ln>
                      <a:noFill/>
                    </a:ln>
                  </pic:spPr>
                </pic:pic>
              </a:graphicData>
            </a:graphic>
          </wp:inline>
        </w:drawing>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drawing>
          <wp:inline distT="0" distB="0" distL="114300" distR="114300">
            <wp:extent cx="2696210" cy="1758950"/>
            <wp:effectExtent l="0" t="0" r="127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696210" cy="1758950"/>
                    </a:xfrm>
                    <a:prstGeom prst="rect">
                      <a:avLst/>
                    </a:prstGeom>
                    <a:noFill/>
                    <a:ln>
                      <a:noFill/>
                    </a:ln>
                  </pic:spPr>
                </pic:pic>
              </a:graphicData>
            </a:graphic>
          </wp:inline>
        </w:drawing>
      </w:r>
    </w:p>
    <w:p>
      <w:pPr>
        <w:pStyle w:val="22"/>
        <w:rPr>
          <w:rFonts w:hint="eastAsia" w:ascii="Times New Roman" w:hAnsi="Times New Roman"/>
          <w:color w:val="auto"/>
          <w:szCs w:val="21"/>
        </w:rPr>
      </w:pPr>
      <w:r>
        <w:rPr>
          <w:rFonts w:ascii="宋体" w:hAnsi="宋体"/>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2"/>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2"/>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rFonts w:hint="eastAsia"/>
          <w:b/>
          <w:color w:val="auto"/>
          <w:szCs w:val="21"/>
        </w:rPr>
      </w:pPr>
      <w:r>
        <w:rPr>
          <w:rFonts w:hint="eastAsia"/>
          <w:b/>
          <w:color w:val="auto"/>
          <w:szCs w:val="21"/>
        </w:rPr>
        <w:t>参考文献：</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7"/>
      <w:bookmarkStart w:id="1" w:name="OLE_LINK8"/>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Caragiannis I, Krimpas G A, Voudouris A A. Aggregating partial rankings with applications to peer grading in massive online open courses[J]. arXiv preprint arXiv:1411.4619, 2014.</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Paré D E, Joordens S. Peering into large lectures: examining peer and expert mark agreement using peerScholar, an online peer assessment tool[J]. Journal of Computer Assisted Learning, 2008, 24(6): 526-540.</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Chang S C, Hsu T C, Jong M S Y. Integration of the peer assessment approach with a virtual reality design system for learning earth science[J]. Computers &amp; Education, 2020, 146: 103758.</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Hovardas T, Tsivitanidou O E, Zacharia Z C. Peer versus expert feedback: An investigation of the quality of peer feedback among secondary school students[J]. Computers &amp; Education, 2014, 71: 133-152.</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Li L, Liu X, Steckelberg A L. Assessor or assessee: How student learning improves by giving and receiving peer feedback[J]. British journal of educational technology, 2010, 41(3): 525-536.</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de Alfaro L, Shavlovsky M. Dynamics of peer grading: An empirical study[J]. 2021.</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Capuano N, Caballé S. Towards adaptive peer assessment for MOOCs[C]//2015 10th International Conference on P2P, Parallel, Grid, Cloud and Internet Computing (3PGCIC). IEEE, 2015: 64-69.</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Bradley R A, Terry M E. Rank analysis of incomplete block designs: I. The method of paired comparisons[J]. Biometrika, 1952, 39(3/4): 324-345.</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Shah N B, Bradley J K, Parekh A, et al. A case for ordinal peer-evaluation in MOOCs[C]//NIPS workshop on data driven education. 2013, 15: 67.</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Plackett R L. The analysis of permutations[J]. Journal of the Royal Statistical Society: Series C (Applied Statistics), 1975, 24(2): 193-202.</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Bradley R A, Terry M E. Rank analysis of incomplete block designs: I. The method of paired comparisons[J]. Biometrika, 1952, 39(3/4): 324-345.</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Thurstone L L. The method of paired comparisons for social values[J]. The Journal of Abnormal and Social Psychology, 1927, 21(4): 384.</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Plackett R L. The analysis of permutations[J]. Journal of the Royal Statistical Society: Series C (Applied Statistics), 1975, 24(2): 193-202.</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Capuano N, Loia V, Orciuoli F. A fuzzy group decision making model for ordinal peer assessment[J]. IEEE Transactions on Learning Technologies, 2016, 10(2): 247-259.</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Fang H, Wang Y, Jin Q, et al. RankwithTA: A robust and accurate peer grading mechanism for MOOCs[C]//2017 IEEE 6th International Conference on Teaching, Assessment, and Learning for Engineering (TALE). IEEE, 2017: 497-502.</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Wang Y, Fang H, Jin Q, et al. SSPA: An effective semi-supervised peer assessment method for large scale MOOCs[J]. Interactive Learning Environments, 2022, 30(1): 158-176.</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Piech C, Huang J, Chen Z, et al. Tuned models of peer assessment in MOOCs[J]. arXiv preprint arXiv:1307.2579, 2013.</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Mi F, Yeung D Y. Probabilistic graphical models for boosting cardinal and ordinal peer grading in MOOCs[C]//Twenty-Ninth AAAI Conference on Artificial Intelligence. 2015.</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Wang T, Jing X, Li Q, et al. Improving Peer Assessment Accuracy by Incorporating Relative Peer Grades[J]. International Educational Data Mining Society, 2019.</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0751F"/>
    <w:multiLevelType w:val="singleLevel"/>
    <w:tmpl w:val="ACF0751F"/>
    <w:lvl w:ilvl="0" w:tentative="0">
      <w:start w:val="1"/>
      <w:numFmt w:val="decimal"/>
      <w:lvlText w:val="[%1]"/>
      <w:lvlJc w:val="left"/>
      <w:pPr>
        <w:tabs>
          <w:tab w:val="left" w:pos="397"/>
        </w:tabs>
        <w:ind w:left="454" w:leftChars="0" w:hanging="454" w:firstLineChars="0"/>
      </w:pPr>
      <w:rPr>
        <w:rFonts w:hint="default"/>
      </w:rPr>
    </w:lvl>
  </w:abstractNum>
  <w:abstractNum w:abstractNumId="1">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NWQ2ZDVhYWVkYjcwYzkxMTljZTQzY2Y1NWQ2O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64AE1"/>
    <w:rsid w:val="00D70F73"/>
    <w:rsid w:val="00DA4310"/>
    <w:rsid w:val="00DC1ED9"/>
    <w:rsid w:val="00E73E99"/>
    <w:rsid w:val="00E86464"/>
    <w:rsid w:val="00EE0D72"/>
    <w:rsid w:val="00EE5101"/>
    <w:rsid w:val="00FB2A76"/>
    <w:rsid w:val="00FE4C2D"/>
    <w:rsid w:val="00FE5DE6"/>
    <w:rsid w:val="01A90CEE"/>
    <w:rsid w:val="02685C0C"/>
    <w:rsid w:val="03185F09"/>
    <w:rsid w:val="03991DF6"/>
    <w:rsid w:val="052D65D2"/>
    <w:rsid w:val="05387762"/>
    <w:rsid w:val="061E4834"/>
    <w:rsid w:val="062F6C1F"/>
    <w:rsid w:val="068F11DA"/>
    <w:rsid w:val="06D870D9"/>
    <w:rsid w:val="07612C2A"/>
    <w:rsid w:val="078057A6"/>
    <w:rsid w:val="07D65CF0"/>
    <w:rsid w:val="091361A6"/>
    <w:rsid w:val="096A77FA"/>
    <w:rsid w:val="0970184A"/>
    <w:rsid w:val="09BB0D18"/>
    <w:rsid w:val="0A4725AB"/>
    <w:rsid w:val="0A51342A"/>
    <w:rsid w:val="0AC55BBC"/>
    <w:rsid w:val="0AF50259"/>
    <w:rsid w:val="0B0C7351"/>
    <w:rsid w:val="0B3643CE"/>
    <w:rsid w:val="0BAB4DBC"/>
    <w:rsid w:val="0BCD4D32"/>
    <w:rsid w:val="0C0A1245"/>
    <w:rsid w:val="0C247F7D"/>
    <w:rsid w:val="0C5E1E2E"/>
    <w:rsid w:val="0C6F5DE9"/>
    <w:rsid w:val="0C945850"/>
    <w:rsid w:val="0CD520F0"/>
    <w:rsid w:val="0D444B80"/>
    <w:rsid w:val="0D4607D5"/>
    <w:rsid w:val="0E855450"/>
    <w:rsid w:val="0E8B557C"/>
    <w:rsid w:val="0F943B03"/>
    <w:rsid w:val="10272B2C"/>
    <w:rsid w:val="10356198"/>
    <w:rsid w:val="10A976AA"/>
    <w:rsid w:val="116577BB"/>
    <w:rsid w:val="12502219"/>
    <w:rsid w:val="12505221"/>
    <w:rsid w:val="12624579"/>
    <w:rsid w:val="1267694C"/>
    <w:rsid w:val="135F0966"/>
    <w:rsid w:val="13A66416"/>
    <w:rsid w:val="14031E6A"/>
    <w:rsid w:val="14A21D72"/>
    <w:rsid w:val="14B22D17"/>
    <w:rsid w:val="14DB6680"/>
    <w:rsid w:val="15001CD4"/>
    <w:rsid w:val="15173C06"/>
    <w:rsid w:val="1525330E"/>
    <w:rsid w:val="153951E6"/>
    <w:rsid w:val="156C2EC6"/>
    <w:rsid w:val="15806971"/>
    <w:rsid w:val="15943FE5"/>
    <w:rsid w:val="15FF19F8"/>
    <w:rsid w:val="161B48EC"/>
    <w:rsid w:val="163C5738"/>
    <w:rsid w:val="164200CB"/>
    <w:rsid w:val="165C118C"/>
    <w:rsid w:val="16C467B9"/>
    <w:rsid w:val="16D660E7"/>
    <w:rsid w:val="16E266C0"/>
    <w:rsid w:val="172B0ECD"/>
    <w:rsid w:val="17920BDE"/>
    <w:rsid w:val="17A032FB"/>
    <w:rsid w:val="17AD77C6"/>
    <w:rsid w:val="18706C6E"/>
    <w:rsid w:val="1921046B"/>
    <w:rsid w:val="198729C4"/>
    <w:rsid w:val="19AF614C"/>
    <w:rsid w:val="19C4670E"/>
    <w:rsid w:val="19CF7EC7"/>
    <w:rsid w:val="19E75211"/>
    <w:rsid w:val="1B083691"/>
    <w:rsid w:val="1C456127"/>
    <w:rsid w:val="1CEB5A11"/>
    <w:rsid w:val="1D7A7634"/>
    <w:rsid w:val="1DA023FE"/>
    <w:rsid w:val="1DB339E0"/>
    <w:rsid w:val="1E4D010E"/>
    <w:rsid w:val="1F136AA8"/>
    <w:rsid w:val="2037116F"/>
    <w:rsid w:val="207C5907"/>
    <w:rsid w:val="20B61DE1"/>
    <w:rsid w:val="210E153D"/>
    <w:rsid w:val="21380A48"/>
    <w:rsid w:val="215A3157"/>
    <w:rsid w:val="221B7DC1"/>
    <w:rsid w:val="224D0523"/>
    <w:rsid w:val="227C6712"/>
    <w:rsid w:val="22C5455D"/>
    <w:rsid w:val="22EC6A43"/>
    <w:rsid w:val="234436D4"/>
    <w:rsid w:val="234C2589"/>
    <w:rsid w:val="241B7553"/>
    <w:rsid w:val="24A26904"/>
    <w:rsid w:val="24A60B06"/>
    <w:rsid w:val="24D26ABE"/>
    <w:rsid w:val="24F904EE"/>
    <w:rsid w:val="25A32711"/>
    <w:rsid w:val="25B20DC9"/>
    <w:rsid w:val="25C805EC"/>
    <w:rsid w:val="26664E9A"/>
    <w:rsid w:val="2689617A"/>
    <w:rsid w:val="26B62F9B"/>
    <w:rsid w:val="26FE421A"/>
    <w:rsid w:val="271D4F12"/>
    <w:rsid w:val="2840157B"/>
    <w:rsid w:val="28CC03F4"/>
    <w:rsid w:val="290A0F1C"/>
    <w:rsid w:val="29254455"/>
    <w:rsid w:val="293957C6"/>
    <w:rsid w:val="29876ECC"/>
    <w:rsid w:val="29F34A82"/>
    <w:rsid w:val="2B0C0F7B"/>
    <w:rsid w:val="2BB4516F"/>
    <w:rsid w:val="2C931228"/>
    <w:rsid w:val="2D0F4D53"/>
    <w:rsid w:val="2D260712"/>
    <w:rsid w:val="2D7B23E8"/>
    <w:rsid w:val="2D9D410D"/>
    <w:rsid w:val="2DFB0E33"/>
    <w:rsid w:val="2E140F22"/>
    <w:rsid w:val="2E61338C"/>
    <w:rsid w:val="2E912E13"/>
    <w:rsid w:val="2EA65CFE"/>
    <w:rsid w:val="2EA661F2"/>
    <w:rsid w:val="2EB57234"/>
    <w:rsid w:val="2ECD39AB"/>
    <w:rsid w:val="2EE95130"/>
    <w:rsid w:val="2FB120F1"/>
    <w:rsid w:val="300C36FC"/>
    <w:rsid w:val="307F650E"/>
    <w:rsid w:val="30C43855"/>
    <w:rsid w:val="30DC09EE"/>
    <w:rsid w:val="310A5BCF"/>
    <w:rsid w:val="315A0567"/>
    <w:rsid w:val="31BB5FF9"/>
    <w:rsid w:val="32316B26"/>
    <w:rsid w:val="32676A97"/>
    <w:rsid w:val="32AE46C6"/>
    <w:rsid w:val="33056E6D"/>
    <w:rsid w:val="3321758E"/>
    <w:rsid w:val="33260CF8"/>
    <w:rsid w:val="33582884"/>
    <w:rsid w:val="338475D4"/>
    <w:rsid w:val="33FC7E90"/>
    <w:rsid w:val="344C063B"/>
    <w:rsid w:val="34B00BC9"/>
    <w:rsid w:val="352B0250"/>
    <w:rsid w:val="35374E47"/>
    <w:rsid w:val="35C91817"/>
    <w:rsid w:val="35EF4E1B"/>
    <w:rsid w:val="36511F38"/>
    <w:rsid w:val="365D08DD"/>
    <w:rsid w:val="36941E25"/>
    <w:rsid w:val="36B27D0B"/>
    <w:rsid w:val="36D93CDC"/>
    <w:rsid w:val="36F01751"/>
    <w:rsid w:val="371A1291"/>
    <w:rsid w:val="37537F32"/>
    <w:rsid w:val="37A442EA"/>
    <w:rsid w:val="37F94635"/>
    <w:rsid w:val="384A4E91"/>
    <w:rsid w:val="38693A61"/>
    <w:rsid w:val="38AD08E7"/>
    <w:rsid w:val="38E44ECB"/>
    <w:rsid w:val="38E52E0C"/>
    <w:rsid w:val="3922196A"/>
    <w:rsid w:val="397F3113"/>
    <w:rsid w:val="3A04337D"/>
    <w:rsid w:val="3A773F37"/>
    <w:rsid w:val="3AAF1923"/>
    <w:rsid w:val="3AE01ADD"/>
    <w:rsid w:val="3AE8273F"/>
    <w:rsid w:val="3BD3519D"/>
    <w:rsid w:val="3C0D55FF"/>
    <w:rsid w:val="3C74072E"/>
    <w:rsid w:val="3CFC6B49"/>
    <w:rsid w:val="3D3542AD"/>
    <w:rsid w:val="3E5325C6"/>
    <w:rsid w:val="3F23643C"/>
    <w:rsid w:val="3F604F9A"/>
    <w:rsid w:val="3F6E4E57"/>
    <w:rsid w:val="3F8653E8"/>
    <w:rsid w:val="405426B6"/>
    <w:rsid w:val="41517290"/>
    <w:rsid w:val="41BA1803"/>
    <w:rsid w:val="42213106"/>
    <w:rsid w:val="42E5185A"/>
    <w:rsid w:val="43A4391F"/>
    <w:rsid w:val="43AF64F0"/>
    <w:rsid w:val="44757A8F"/>
    <w:rsid w:val="449C6A74"/>
    <w:rsid w:val="449D66C7"/>
    <w:rsid w:val="45124F88"/>
    <w:rsid w:val="45725A27"/>
    <w:rsid w:val="457E261E"/>
    <w:rsid w:val="462F4289"/>
    <w:rsid w:val="467653FB"/>
    <w:rsid w:val="469961B0"/>
    <w:rsid w:val="46C16C66"/>
    <w:rsid w:val="46FA2178"/>
    <w:rsid w:val="472B0583"/>
    <w:rsid w:val="47342347"/>
    <w:rsid w:val="4737361C"/>
    <w:rsid w:val="473D4B90"/>
    <w:rsid w:val="477F442B"/>
    <w:rsid w:val="478101A3"/>
    <w:rsid w:val="490C7F41"/>
    <w:rsid w:val="492C244A"/>
    <w:rsid w:val="494D2A33"/>
    <w:rsid w:val="49641B2B"/>
    <w:rsid w:val="498E00DE"/>
    <w:rsid w:val="4A1C066B"/>
    <w:rsid w:val="4AB24681"/>
    <w:rsid w:val="4ABB04EC"/>
    <w:rsid w:val="4AC42904"/>
    <w:rsid w:val="4C625032"/>
    <w:rsid w:val="4C70382A"/>
    <w:rsid w:val="4CC761A6"/>
    <w:rsid w:val="4D150064"/>
    <w:rsid w:val="4D5325E2"/>
    <w:rsid w:val="4D8E6C34"/>
    <w:rsid w:val="4DD252B5"/>
    <w:rsid w:val="4EED102A"/>
    <w:rsid w:val="4F1C718D"/>
    <w:rsid w:val="4F626B0C"/>
    <w:rsid w:val="4F786B55"/>
    <w:rsid w:val="501C6CBB"/>
    <w:rsid w:val="50406E4E"/>
    <w:rsid w:val="511E6A63"/>
    <w:rsid w:val="5147420C"/>
    <w:rsid w:val="53066DB8"/>
    <w:rsid w:val="531F71EB"/>
    <w:rsid w:val="53873999"/>
    <w:rsid w:val="53980D4F"/>
    <w:rsid w:val="53A80A11"/>
    <w:rsid w:val="53D8739D"/>
    <w:rsid w:val="53F63159"/>
    <w:rsid w:val="543A1E06"/>
    <w:rsid w:val="54574766"/>
    <w:rsid w:val="547A2CC6"/>
    <w:rsid w:val="54E0475B"/>
    <w:rsid w:val="553E5926"/>
    <w:rsid w:val="561843C9"/>
    <w:rsid w:val="565847C5"/>
    <w:rsid w:val="569A3030"/>
    <w:rsid w:val="57686C8A"/>
    <w:rsid w:val="578A30A4"/>
    <w:rsid w:val="57FA3D86"/>
    <w:rsid w:val="5815538E"/>
    <w:rsid w:val="58343859"/>
    <w:rsid w:val="584D2347"/>
    <w:rsid w:val="58B54151"/>
    <w:rsid w:val="59050C34"/>
    <w:rsid w:val="5A647BDD"/>
    <w:rsid w:val="5A9304C2"/>
    <w:rsid w:val="5CFD7E74"/>
    <w:rsid w:val="5D3B60DD"/>
    <w:rsid w:val="5D6D0B56"/>
    <w:rsid w:val="5E1B14BE"/>
    <w:rsid w:val="5E2901BD"/>
    <w:rsid w:val="5EBF1885"/>
    <w:rsid w:val="5EE72B8A"/>
    <w:rsid w:val="5F812FDF"/>
    <w:rsid w:val="5FBE38EB"/>
    <w:rsid w:val="5FD2383A"/>
    <w:rsid w:val="601362FC"/>
    <w:rsid w:val="60151098"/>
    <w:rsid w:val="602B208C"/>
    <w:rsid w:val="60D3786A"/>
    <w:rsid w:val="60F63558"/>
    <w:rsid w:val="619012B7"/>
    <w:rsid w:val="61BA60F4"/>
    <w:rsid w:val="62015D11"/>
    <w:rsid w:val="62CF5E0F"/>
    <w:rsid w:val="62FF465C"/>
    <w:rsid w:val="630261E5"/>
    <w:rsid w:val="63212B0F"/>
    <w:rsid w:val="64271C24"/>
    <w:rsid w:val="644161A9"/>
    <w:rsid w:val="64BA2CD3"/>
    <w:rsid w:val="64DD0CB7"/>
    <w:rsid w:val="652F2B95"/>
    <w:rsid w:val="65515201"/>
    <w:rsid w:val="65683A9A"/>
    <w:rsid w:val="65753CDB"/>
    <w:rsid w:val="65AF3532"/>
    <w:rsid w:val="65EB7404"/>
    <w:rsid w:val="65F362B8"/>
    <w:rsid w:val="66625A64"/>
    <w:rsid w:val="670E0726"/>
    <w:rsid w:val="67B83316"/>
    <w:rsid w:val="689751E4"/>
    <w:rsid w:val="68AA3DCB"/>
    <w:rsid w:val="68FC521D"/>
    <w:rsid w:val="696E6889"/>
    <w:rsid w:val="69825989"/>
    <w:rsid w:val="6A4246B1"/>
    <w:rsid w:val="6A590DE0"/>
    <w:rsid w:val="6AC94DB7"/>
    <w:rsid w:val="6B19481B"/>
    <w:rsid w:val="6B357791"/>
    <w:rsid w:val="6C060AF4"/>
    <w:rsid w:val="6C2E004A"/>
    <w:rsid w:val="6C926196"/>
    <w:rsid w:val="6CA27A34"/>
    <w:rsid w:val="6D8A5754"/>
    <w:rsid w:val="6E677844"/>
    <w:rsid w:val="6E9308BF"/>
    <w:rsid w:val="6EA768C7"/>
    <w:rsid w:val="6ECF5BC7"/>
    <w:rsid w:val="6F347726"/>
    <w:rsid w:val="6F926B42"/>
    <w:rsid w:val="6FBA3333"/>
    <w:rsid w:val="70057B4E"/>
    <w:rsid w:val="708720A4"/>
    <w:rsid w:val="70F32E2C"/>
    <w:rsid w:val="711C66C3"/>
    <w:rsid w:val="71657EE6"/>
    <w:rsid w:val="71AA0173"/>
    <w:rsid w:val="72E74AAF"/>
    <w:rsid w:val="73387E16"/>
    <w:rsid w:val="735369DB"/>
    <w:rsid w:val="73A17354"/>
    <w:rsid w:val="73EE20D2"/>
    <w:rsid w:val="74143C26"/>
    <w:rsid w:val="743A2A0E"/>
    <w:rsid w:val="74AD5D64"/>
    <w:rsid w:val="74E90FB2"/>
    <w:rsid w:val="74F00559"/>
    <w:rsid w:val="74F636CF"/>
    <w:rsid w:val="7524023C"/>
    <w:rsid w:val="76051E1C"/>
    <w:rsid w:val="7608766F"/>
    <w:rsid w:val="76487F5B"/>
    <w:rsid w:val="764F3097"/>
    <w:rsid w:val="770F2826"/>
    <w:rsid w:val="77D71596"/>
    <w:rsid w:val="77DA1086"/>
    <w:rsid w:val="788D4F1D"/>
    <w:rsid w:val="78C015EB"/>
    <w:rsid w:val="78C55892"/>
    <w:rsid w:val="78D67A98"/>
    <w:rsid w:val="78FB7506"/>
    <w:rsid w:val="79047385"/>
    <w:rsid w:val="79A33E26"/>
    <w:rsid w:val="7A3A5E0C"/>
    <w:rsid w:val="7A8F43AA"/>
    <w:rsid w:val="7AC06311"/>
    <w:rsid w:val="7C0937E6"/>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6"/>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8"/>
    <w:qFormat/>
    <w:uiPriority w:val="0"/>
    <w:rPr>
      <w:b/>
      <w:bCs/>
    </w:rPr>
  </w:style>
  <w:style w:type="table" w:styleId="10">
    <w:name w:val="Table Grid"/>
    <w:basedOn w:val="9"/>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Emphasis"/>
    <w:qFormat/>
    <w:uiPriority w:val="0"/>
    <w:rPr>
      <w:color w:val="CC0000"/>
    </w:rPr>
  </w:style>
  <w:style w:type="character" w:styleId="14">
    <w:name w:val="annotation reference"/>
    <w:qFormat/>
    <w:uiPriority w:val="0"/>
    <w:rPr>
      <w:sz w:val="21"/>
      <w:szCs w:val="21"/>
    </w:rPr>
  </w:style>
  <w:style w:type="character" w:customStyle="1" w:styleId="15">
    <w:name w:val="批注文字 Char"/>
    <w:link w:val="2"/>
    <w:qFormat/>
    <w:uiPriority w:val="0"/>
    <w:rPr>
      <w:kern w:val="2"/>
      <w:sz w:val="21"/>
      <w:szCs w:val="24"/>
    </w:rPr>
  </w:style>
  <w:style w:type="character" w:customStyle="1" w:styleId="16">
    <w:name w:val="日期 Char"/>
    <w:link w:val="4"/>
    <w:qFormat/>
    <w:uiPriority w:val="0"/>
    <w:rPr>
      <w:kern w:val="2"/>
      <w:sz w:val="21"/>
      <w:szCs w:val="24"/>
    </w:rPr>
  </w:style>
  <w:style w:type="character" w:customStyle="1" w:styleId="17">
    <w:name w:val="页眉 Char"/>
    <w:link w:val="7"/>
    <w:qFormat/>
    <w:uiPriority w:val="0"/>
    <w:rPr>
      <w:kern w:val="2"/>
      <w:sz w:val="18"/>
      <w:szCs w:val="18"/>
    </w:rPr>
  </w:style>
  <w:style w:type="character" w:customStyle="1" w:styleId="18">
    <w:name w:val="批注主题 Char"/>
    <w:link w:val="8"/>
    <w:qFormat/>
    <w:uiPriority w:val="0"/>
    <w:rPr>
      <w:b/>
      <w:bCs/>
      <w:kern w:val="2"/>
      <w:sz w:val="21"/>
      <w:szCs w:val="24"/>
    </w:rPr>
  </w:style>
  <w:style w:type="character" w:customStyle="1" w:styleId="19">
    <w:name w:val="high-light-bg4"/>
    <w:basedOn w:val="11"/>
    <w:qFormat/>
    <w:uiPriority w:val="0"/>
  </w:style>
  <w:style w:type="character" w:customStyle="1" w:styleId="20">
    <w:name w:val="def"/>
    <w:basedOn w:val="11"/>
    <w:qFormat/>
    <w:uiPriority w:val="0"/>
  </w:style>
  <w:style w:type="paragraph" w:customStyle="1" w:styleId="21">
    <w:name w:val="ordinary-output target-output"/>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styleId="22">
    <w:name w:val="List Paragraph"/>
    <w:basedOn w:val="1"/>
    <w:qFormat/>
    <w:uiPriority w:val="0"/>
    <w:pPr>
      <w:ind w:firstLine="420" w:firstLineChars="200"/>
    </w:pPr>
    <w:rPr>
      <w:rFonts w:ascii="Calibri" w:hAnsi="Calibri"/>
      <w:szCs w:val="22"/>
    </w:rPr>
  </w:style>
  <w:style w:type="character" w:customStyle="1" w:styleId="23">
    <w:name w:val="表头 Char"/>
    <w:link w:val="24"/>
    <w:qFormat/>
    <w:uiPriority w:val="0"/>
    <w:rPr>
      <w:rFonts w:eastAsia="楷体_GB2312"/>
      <w:bCs/>
      <w:kern w:val="44"/>
      <w:sz w:val="21"/>
      <w:szCs w:val="44"/>
    </w:rPr>
  </w:style>
  <w:style w:type="paragraph" w:customStyle="1" w:styleId="24">
    <w:name w:val="表头"/>
    <w:basedOn w:val="1"/>
    <w:link w:val="23"/>
    <w:qFormat/>
    <w:uiPriority w:val="0"/>
    <w:pPr>
      <w:widowControl/>
      <w:jc w:val="center"/>
    </w:pPr>
    <w:rPr>
      <w:rFonts w:eastAsia="楷体_GB2312"/>
      <w:bCs/>
      <w:kern w:val="44"/>
      <w:szCs w:val="44"/>
    </w:rPr>
  </w:style>
  <w:style w:type="character" w:customStyle="1" w:styleId="25">
    <w:name w:val="表内容 Char"/>
    <w:link w:val="26"/>
    <w:qFormat/>
    <w:uiPriority w:val="0"/>
    <w:rPr>
      <w:rFonts w:hAnsi="宋体"/>
      <w:sz w:val="21"/>
      <w:szCs w:val="21"/>
      <w:lang w:val="en-US" w:eastAsia="zh-CN" w:bidi="ar-SA"/>
    </w:rPr>
  </w:style>
  <w:style w:type="paragraph" w:customStyle="1" w:styleId="26">
    <w:name w:val="表内容"/>
    <w:link w:val="25"/>
    <w:qFormat/>
    <w:uiPriority w:val="0"/>
    <w:pPr>
      <w:jc w:val="center"/>
    </w:pPr>
    <w:rPr>
      <w:rFonts w:ascii="Times New Roman" w:hAnsi="宋体" w:eastAsia="宋体" w:cs="Times New Roman"/>
      <w:sz w:val="21"/>
      <w:szCs w:val="21"/>
      <w:lang w:val="en-US" w:eastAsia="zh-CN" w:bidi="ar-SA"/>
    </w:rPr>
  </w:style>
  <w:style w:type="paragraph" w:customStyle="1" w:styleId="27">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28">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9</Pages>
  <Words>9665</Words>
  <Characters>12803</Characters>
  <Lines>26</Lines>
  <Paragraphs>7</Paragraphs>
  <TotalTime>1</TotalTime>
  <ScaleCrop>false</ScaleCrop>
  <LinksUpToDate>false</LinksUpToDate>
  <CharactersWithSpaces>13357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2022-12-17T09:19:41Z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D35582AAD533437B9BA4762D46151752</vt:lpwstr>
  </property>
</Properties>
</file>