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InvestmentStory</w:t>
        <w:br/>
        <w:t>CSV照合評価と修正案</w:t>
      </w:r>
    </w:p>
    <w:p>
      <w:pPr>
        <w:snapToGrid w:val="0"/>
      </w:pPr>
      <w:r>
        <w:t>対象 2026年10月14日取得のCSV 8ファイル</w:t>
        <w:br/>
        <w:t>作成日 2026年10月14日  |  対象者 アプリ利用者および修正担当者</w:t>
      </w:r>
    </w:p>
    <w:p>
      <w:pPr>
        <w:pStyle w:val="Heading2"/>
        <w:snapToGrid w:val="0"/>
      </w:pPr>
      <w:r>
        <w:t>評価結果</w:t>
      </w:r>
    </w:p>
    <w:p>
      <w:pPr>
        <w:snapToGrid w:val="0"/>
      </w:pPr>
      <w:r>
        <w:t>最新CSVの取込履歴はありますが、全件が正しく反映されているとはいえません。保有数量と主要な残高は一致する一方、取得額、配当の分類、入金済み配当と予定の照合に修正が必要です。追加調査では取引台帳の欠落、為替未取得時の換算、NISAの税設定にも問題を確認しました。まず集計の根拠を修正してください。</w:t>
      </w:r>
    </w:p>
    <w:tbl>
      <w:tblPr>
        <w:tblW w:type="auto" w:w="0"/>
        <w:jc w:val="center"/>
        <w:tblLayout w:type="fixed"/>
        <w:tblLook w:firstColumn="1" w:firstRow="1" w:lastColumn="0" w:lastRow="0" w:noHBand="0" w:noVBand="1" w:val="04A0"/>
      </w:tblPr>
      <w:tblGrid>
        <w:gridCol w:w="3289"/>
        <w:gridCol w:w="3289"/>
        <w:gridCol w:w="3289"/>
      </w:tblGrid>
      <w:tr>
        <w:trPr>
          <w:cantSplit/>
          <w:tblHeader/>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優先度</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項目</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確認した影響</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高 P1</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売買台帳の欠落</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8593の同条件100株2行が1行へ縮約。残高と100株差</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高 P1</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取得為替の未取得</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CMBT特定の158.10 USDを158.10円として計算</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高 P1</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NISA予定の税設定</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NISA用設定が選ばれず一般口座の設定を適用</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高 P1</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取得額と含み損益</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野村10銘柄の取得額がCSVより合計29,332.76円多い</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高 P1</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国内株と外国株の配当分類</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外国株配当のうち105,710.30円が国内株側に分類される</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高 P1</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実績と予定の照合</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10月の入金に近接する予定6,404.43円が残る</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高 P1</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残高の鮮度判定</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野村保有残高10件が競合扱いで反映されない</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中 P2</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過去実績と少額の差</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2023年の重複候補766.86円、2026年の野村差額6円</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中 P2</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表示の意味と範囲</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未取得税額の0表示、総資産の範囲、予定と推定の混在</w:t>
            </w:r>
          </w:p>
        </w:tc>
      </w:tr>
    </w:tbl>
    <w:p>
      <w:pPr>
        <w:spacing w:after="0"/>
        <w:snapToGrid w:val="0"/>
      </w:pPr>
    </w:p>
    <w:p>
      <w:pPr>
        <w:pStyle w:val="Heading2"/>
        <w:snapToGrid w:val="0"/>
      </w:pPr>
      <w:r>
        <w:t>評価の範囲</w:t>
      </w:r>
    </w:p>
    <w:p>
      <w:pPr>
        <w:snapToGrid w:val="0"/>
      </w:pPr>
      <w:r>
        <w:t>本番DBを読み取り専用で複製し、現行ソースのパーサーと計算処理を複製に対して実行しました。数値の基準はDBに保存された2026年10月14日8時42分頃の状態です。画面構成・凡例・ツールチップは現行の画面定義と描画コードで評価しています。</w:t>
      </w:r>
    </w:p>
    <w:p>
      <w:pPr>
        <w:snapToGrid w:val="0"/>
      </w:pPr>
      <w:r>
        <w:t>調査時点でアプリは停止していました。実画面の再描画や操作試験は今回の評価対象に含みません。アプリのコードと本番DBは修正していません。以下は実装可能な修正案と、その完了条件です。</w:t>
      </w:r>
    </w:p>
    <w:p>
      <w:pPr>
        <w:pStyle w:val="Heading1"/>
        <w:pageBreakBefore/>
        <w:snapToGrid w:val="0"/>
      </w:pPr>
      <w:r>
        <w:t>2  対象ファイルと照合できた範囲</w:t>
      </w:r>
    </w:p>
    <w:tbl>
      <w:tblPr>
        <w:tblW w:type="auto" w:w="0"/>
        <w:jc w:val="center"/>
        <w:tblLayout w:type="fixed"/>
        <w:tblLook w:firstColumn="1" w:firstRow="1" w:lastColumn="0" w:lastRow="0" w:noHBand="0" w:noVBand="1" w:val="04A0"/>
      </w:tblPr>
      <w:tblGrid>
        <w:gridCol w:w="3289"/>
        <w:gridCol w:w="3289"/>
        <w:gridCol w:w="3289"/>
      </w:tblGrid>
      <w:tr>
        <w:trPr>
          <w:cantSplit/>
          <w:tblHeader/>
        </w:trPr>
        <w:tc>
          <w:tcPr>
            <w:tcW w:type="dxa" w:w="5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ID</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CSVファイル</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主な対象</w:t>
            </w:r>
          </w:p>
        </w:tc>
      </w:tr>
      <w:tr>
        <w:trPr>
          <w:cantSplit/>
        </w:trPr>
        <w:tc>
          <w:tcPr>
            <w:tcW w:type="dxa" w:w="5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S1</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SBI_配当金・分配金履歴_20261014081050.csv</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配当71明細</w:t>
            </w:r>
          </w:p>
        </w:tc>
      </w:tr>
      <w:tr>
        <w:trPr>
          <w:cantSplit/>
        </w:trPr>
        <w:tc>
          <w:tcPr>
            <w:tcW w:type="dxa" w:w="5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S2</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SBI_約定履歴照会_000001_000025.csv</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取引25明細</w:t>
            </w:r>
          </w:p>
        </w:tc>
      </w:tr>
      <w:tr>
        <w:trPr>
          <w:cantSplit/>
        </w:trPr>
        <w:tc>
          <w:tcPr>
            <w:tcW w:type="dxa" w:w="5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S3</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SBI_保有証券一覧.csv</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国内株1件と投信2件</w:t>
            </w:r>
          </w:p>
        </w:tc>
      </w:tr>
      <w:tr>
        <w:trPr>
          <w:cantSplit/>
        </w:trPr>
        <w:tc>
          <w:tcPr>
            <w:tcW w:type="dxa" w:w="5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S4</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SBI_保有ファンド_20261014082221.csv</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投信2件  S3と重複</w:t>
            </w:r>
          </w:p>
        </w:tc>
      </w:tr>
      <w:tr>
        <w:trPr>
          <w:cantSplit/>
        </w:trPr>
        <w:tc>
          <w:tcPr>
            <w:tcW w:type="dxa" w:w="5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N1</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_Nomura_お預り資産20261014.csv</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株式10件とMRF等の残高</w:t>
            </w:r>
          </w:p>
        </w:tc>
      </w:tr>
      <w:tr>
        <w:trPr>
          <w:cantSplit/>
        </w:trPr>
        <w:tc>
          <w:tcPr>
            <w:tcW w:type="dxa" w:w="5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N2</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_Nomuta_取引履歴_約定.csv</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取引履歴175明細</w:t>
            </w:r>
          </w:p>
        </w:tc>
      </w:tr>
      <w:tr>
        <w:trPr>
          <w:cantSplit/>
        </w:trPr>
        <w:tc>
          <w:tcPr>
            <w:tcW w:type="dxa" w:w="5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N3</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Nomura_取引履歴_受け渡し.csv</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取引履歴175明細</w:t>
            </w:r>
          </w:p>
        </w:tc>
      </w:tr>
      <w:tr>
        <w:trPr>
          <w:cantSplit/>
        </w:trPr>
        <w:tc>
          <w:tcPr>
            <w:tcW w:type="dxa" w:w="56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N4</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Nomura_特定口座配当.csv</w:t>
            </w:r>
          </w:p>
        </w:tc>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配当60明細</w:t>
            </w:r>
          </w:p>
        </w:tc>
      </w:tr>
    </w:tbl>
    <w:p>
      <w:pPr>
        <w:spacing w:after="0"/>
        <w:snapToGrid w:val="0"/>
      </w:pPr>
    </w:p>
    <w:p>
      <w:pPr>
        <w:snapToGrid w:val="0"/>
      </w:pPr>
      <w:r>
        <w:t>格納先は csv/SBI20261014 と csv/Nomura20261014。N2のファイル名は元データどおり「Nomuta」です。N2とN3の175明細は同一内容のため、両方の合計を加算してはいけません。</w:t>
      </w:r>
    </w:p>
    <w:p>
      <w:pPr>
        <w:pStyle w:val="Heading2"/>
        <w:snapToGrid w:val="0"/>
      </w:pPr>
      <w:r>
        <w:t>一致した項目</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対象</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CSV</w:t>
            </w:r>
          </w:p>
        </w:tc>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DBおよび現行計算</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判定</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野村10銘柄の保有数量</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銘柄ごとの数量</w:t>
            </w:r>
          </w:p>
        </w:tc>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10銘柄すべて一致</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center"/>
              <w:snapToGrid w:val="0"/>
            </w:pPr>
            <w:r>
              <w:rPr>
                <w:b w:val="0"/>
                <w:sz w:val="18"/>
              </w:rPr>
              <w:t>一致</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 8593</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200株  評価264,100円</w:t>
            </w:r>
          </w:p>
        </w:tc>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200株  評価264,100円</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center"/>
              <w:snapToGrid w:val="0"/>
            </w:pPr>
            <w:r>
              <w:rPr>
                <w:b w:val="0"/>
                <w:sz w:val="18"/>
              </w:rPr>
              <w:t>一致</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SBI投信 つみたて枠</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440,785口  1,836,398円</w:t>
            </w:r>
          </w:p>
        </w:tc>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440,785口  1,836,398円</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center"/>
              <w:snapToGrid w:val="0"/>
            </w:pPr>
            <w:r>
              <w:rPr>
                <w:b w:val="0"/>
                <w:sz w:val="18"/>
              </w:rPr>
              <w:t>一致</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SBI投信 旧NISA</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246,814口  1,028,276円</w:t>
            </w:r>
          </w:p>
        </w:tc>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246,814口  1,028,276円</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center"/>
              <w:snapToGrid w:val="0"/>
            </w:pPr>
            <w:r>
              <w:rPr>
                <w:b w:val="0"/>
                <w:sz w:val="18"/>
              </w:rPr>
              <w:t>一致</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SBI投信 合計取得額</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1,800,049円</w:t>
            </w:r>
          </w:p>
        </w:tc>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1,800,049円</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center"/>
              <w:snapToGrid w:val="0"/>
            </w:pPr>
            <w:r>
              <w:rPr>
                <w:b w:val="0"/>
                <w:sz w:val="18"/>
              </w:rPr>
              <w:t>一致</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 2026年配当明細</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92,078.30円</w:t>
            </w:r>
          </w:p>
        </w:tc>
        <w:tc>
          <w:tcPr>
            <w:tcW w:type="dxa" w:w="317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92,078.30円</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center"/>
              <w:snapToGrid w:val="0"/>
            </w:pPr>
            <w:r>
              <w:rPr>
                <w:b w:val="0"/>
                <w:sz w:val="18"/>
              </w:rPr>
              <w:t>一致</w:t>
            </w:r>
          </w:p>
        </w:tc>
      </w:tr>
    </w:tbl>
    <w:p>
      <w:pPr>
        <w:spacing w:after="0"/>
        <w:snapToGrid w:val="0"/>
      </w:pPr>
    </w:p>
    <w:p>
      <w:pPr>
        <w:snapToGrid w:val="0"/>
      </w:pPr>
      <w:r>
        <w:t>S3とS4の投信は二重計上されていません。S1の2026年分は21件の実績と金額が一致しました。取込成功表示だけではなく、保存された数量・金額を照合した結果です。</w:t>
      </w:r>
    </w:p>
    <w:p>
      <w:pPr>
        <w:pStyle w:val="Heading2"/>
        <w:snapToGrid w:val="0"/>
      </w:pPr>
      <w:r>
        <w:t>全資産一致と断言できない範囲</w:t>
      </w:r>
    </w:p>
    <w:p>
      <w:pPr>
        <w:snapToGrid w:val="0"/>
      </w:pPr>
      <w:r>
        <w:t>SBIの最新保有CSVには外国株の現在残高が含まれていません。SBI外国株の現在数量・評価額は、今回の8ファイルだけでは全面照合できません。またMRFや現金を含む証券口座全体と、アプリが集計する株式・投信の範囲は異なります。</w:t>
      </w:r>
    </w:p>
    <w:p>
      <w:pPr>
        <w:pStyle w:val="Heading1"/>
        <w:pageBreakBefore/>
        <w:snapToGrid w:val="0"/>
      </w:pPr>
      <w:r>
        <w:t>3  評価額と取得額の差を分離する</w:t>
      </w:r>
    </w:p>
    <w:p>
      <w:pPr>
        <w:snapToGrid w:val="0"/>
      </w:pPr>
      <w:r>
        <w:t>単位は円。差額はアプリ計算値 − CSV値。数量は全件一致しています。評価額は更新時刻の異なる価格と為替を使うため、差があることだけでは不具合と判定しません。</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blHeader/>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銘柄</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CSV評価額</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評価額差</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CSV取得額</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取得額差</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8151</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13,426,000</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8,246,000</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KO</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284,706</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668.77</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135,860</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-9,370.65</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STLA</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6,944</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102.49</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29,250</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-4,685.72</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T</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178,278</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2,634.59</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67,450</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69,785.33</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AAPL</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540,573</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-178.78</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189,790</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-4,702.00</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AMD</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471,054</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8,368.32</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90,735</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-4,687.50</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CSCO</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365,720</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-1,297.91</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137,300</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-9,394.70</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META</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1,177,888</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29,515.50</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421,400</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-7,612.00</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NVDA</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1,794,038</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15,246.25</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176,250</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TSLA</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1,797,986</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-15,478.40</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826,950</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合計</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20,043,187</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+39,580.82</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10,320,985</w:t>
            </w:r>
          </w:p>
        </w:tc>
        <w:tc>
          <w:tcPr>
            <w:tcW w:type="dxa" w:w="22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+29,332.76</w:t>
            </w:r>
          </w:p>
        </w:tc>
      </w:tr>
    </w:tbl>
    <w:p>
      <w:pPr>
        <w:spacing w:after="0"/>
        <w:snapToGrid w:val="0"/>
      </w:pPr>
    </w:p>
    <w:p>
      <w:pPr>
        <w:pStyle w:val="Heading2"/>
        <w:snapToGrid w:val="0"/>
      </w:pPr>
      <w:r>
        <w:t>評価額の差は説明できる</w:t>
      </w:r>
    </w:p>
    <w:p>
      <w:pPr>
        <w:snapToGrid w:val="0"/>
      </w:pPr>
      <w:r>
        <w:t>N1の外国株は基準日10月12日、評価為替158.54円/USDです。DBの株価は10月14日5時頃の取得値、為替は8時41分59秒の158.348円/USDです。例としてKOは89.79ドルから90.11ドル、TSLAは378.03ドルから375.23ドルになっています。同一価格・同一為替で再計算し、円未満の丸め差と更新差を分けて表示すべきです。</w:t>
      </w:r>
    </w:p>
    <w:p>
      <w:pPr>
        <w:pStyle w:val="Heading2"/>
        <w:snapToGrid w:val="0"/>
      </w:pPr>
      <w:r>
        <w:t>P1 取得額は証券会社の円建て取得額を保持する</w:t>
      </w:r>
    </w:p>
    <w:p>
      <w:pPr>
        <w:snapToGrid w:val="0"/>
      </w:pPr>
      <w:r>
        <w:t>TはCSV取得額67,450円に対しアプリ137,235.33円です。パーサーは「取得金額（円）」を読みますが、外貨の買付単価と取得為替がある場合、アプリ用取得額をその積で再構成します。この値は証券会社の円建て取得額と一致しません。N1の7銘柄で差があり、合計差は29,332.76円です。現在値を固定すれば含み益も同額だけ少なく表示されます。</w:t>
      </w:r>
    </w:p>
    <w:p>
      <w:pPr>
        <w:snapToGrid w:val="0"/>
      </w:pPr>
      <w:r>
        <w:t>修正案は、証券会社報告の円建て取得総額を独立フィールドに保存し、円建て含み損益の原価に使うことです。外貨原価・取得為替・手数料・分割調整の情報も別々に保持し、差額を黙って補正しない設計にします。SBI外国株の原価は別途残高CSVで検証します。</w:t>
      </w:r>
    </w:p>
    <w:p>
      <w:pPr>
        <w:pStyle w:val="Heading1"/>
        <w:pageBreakBefore/>
        <w:snapToGrid w:val="0"/>
      </w:pPr>
      <w:r>
        <w:t>4  配当実績の照合と分類の修正</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2026年の税引後入金</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最新CSV明細</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DB実績</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差額 DB−CSV</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SBI株式</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92,078.30</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92,078.30</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野村株式 N2またはN3</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160,279.00</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160,273.00</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−6.00</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株式配当 合計</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252,357.30</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252,351.30</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−6.00</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10月の株式配当</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11,451.71</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11,451.71</w:t>
            </w:r>
          </w:p>
        </w:tc>
        <w:tc>
          <w:tcPr>
            <w:tcW w:type="dxa" w:w="215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r>
    </w:tbl>
    <w:p>
      <w:pPr>
        <w:spacing w:after="0"/>
        <w:snapToGrid w:val="0"/>
      </w:pPr>
    </w:p>
    <w:p>
      <w:pPr>
        <w:pStyle w:val="Heading2"/>
        <w:snapToGrid w:val="0"/>
      </w:pPr>
      <w:r>
        <w:t>P1 国内株と外国株を受取通貨で判定しない</w:t>
      </w:r>
    </w:p>
    <w:p>
      <w:pPr>
        <w:snapToGrid w:val="0"/>
      </w:pPr>
      <w:r>
        <w:t>現行集計はJPYの配当を国内株、JPY以外を外国株と判定しています。SBIの外国株配当は円受取で取り込むため誤分類されます。現在の国内株249,143.30円・外国株3,208円に対し、実績レコードの銘柄属性では国内株143,433円・外国株108,918.30円です。総額は同じですが、内訳105,710.30円が逆側に入っています。</w:t>
      </w:r>
    </w:p>
    <w:p>
      <w:pPr>
        <w:snapToGrid w:val="0"/>
      </w:pPr>
      <w:r>
        <w:t>修正案  銘柄ID・資産種別・国内外区分で分類し、受取通貨は独立項目にします。上記の内訳は現在DBを分類し直した比較値です。野村差額6円を修正した後の外国株合計は、他条件が同じなら108,924.30円になります。</w:t>
      </w:r>
    </w:p>
    <w:p>
      <w:pPr>
        <w:pStyle w:val="Heading2"/>
        <w:snapToGrid w:val="0"/>
      </w:pPr>
      <w:r>
        <w:t>P2 最新の入金額と旧実績に小差が残る</w:t>
      </w:r>
    </w:p>
    <w:p>
      <w:pPr>
        <w:snapToGrid w:val="0"/>
      </w:pPr>
      <w:r>
        <w:t>N2の2026年株式配当20件中10件で旧実績と差があります。例はAAPL 8月18日が310円対308円、T 5月11日が1,551円対1,559円です。合計差だけで相殺せず、入金明細を金額の根拠、特定口座配当CSVを税情報の補完元として扱う優先順位を明文化します。上書き前後と元行を記録してください。</w:t>
      </w:r>
    </w:p>
    <w:p>
      <w:pPr>
        <w:pStyle w:val="Heading2"/>
        <w:snapToGrid w:val="0"/>
      </w:pPr>
      <w:r>
        <w:t>P2 過去の重複候補を口座の別名とともに確認する</w:t>
      </w:r>
    </w:p>
    <w:p>
      <w:pPr>
        <w:snapToGrid w:val="0"/>
      </w:pPr>
      <w:r>
        <w:t>SBIの2023年CSCOに、4月27日373.16円・7月27日393.70円がそれぞれ2件あります。Unknown口座とSpecific口座、異なるStockIdに分かれています。2023年CSV明細10,542.23円に対しDBは11,309.09円で、差766.86円はこの2組と一致します。口座対応を確認し、監査履歴を残して片方を置換済みにする案です。異なるNISA口座の同日配当は統合しません。</w:t>
      </w:r>
    </w:p>
    <w:p>
      <w:pPr>
        <w:pStyle w:val="Heading2"/>
        <w:snapToGrid w:val="0"/>
      </w:pPr>
      <w:r>
        <w:t>CSV側の差と対象外収益</w:t>
      </w:r>
    </w:p>
    <w:p>
      <w:pPr>
        <w:snapToGrid w:val="0"/>
      </w:pPr>
      <w:r>
        <w:t>S1の合計欄249,014.06円に対し71明細の独立合計は249,013.74円です。0.32円差はCSV内部の差で、解析結果は明細合計と一致します。警告として保持し、自動補正しません。N4の2026年MRFは9件、税引後計算額1,158円が要確認に残っています。「不労所得全体」に含めるなら株式配当と別区分で取り込みます。</w:t>
      </w:r>
    </w:p>
    <w:p>
      <w:pPr>
        <w:pStyle w:val="Heading1"/>
        <w:pageBreakBefore/>
        <w:snapToGrid w:val="0"/>
      </w:pPr>
      <w:r>
        <w:t>5  入金済み配当と予定を分ける</w:t>
      </w:r>
    </w:p>
    <w:p>
      <w:pPr>
        <w:snapToGrid w:val="0"/>
      </w:pPr>
      <w:r>
        <w:t>P1 予定と実績の照合は日付・金額・通貨・口座の完全一致に偏っています。証券会社の国内入金日と海外支払日、円換算や税額が少し違うだけで、入金後も予定が残ります。以下は同一配当と疑われる候補で、イベントの対応を確認してから置換する必要があります。</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blHeader/>
        </w:trPr>
        <w:tc>
          <w:tcPr>
            <w:tcW w:type="dxa" w:w="272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銘柄と口座</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残存予定日</w:t>
            </w:r>
          </w:p>
        </w:tc>
        <w:tc>
          <w:tcPr>
            <w:tcW w:type="dxa" w:w="19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予定額 円</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実入金日</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実績 円</w:t>
            </w:r>
          </w:p>
        </w:tc>
      </w:tr>
      <w:tr>
        <w:trPr>
          <w:cantSplit/>
        </w:trPr>
        <w:tc>
          <w:tcPr>
            <w:tcW w:type="dxa" w:w="272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MO 特定</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10/09</w:t>
            </w:r>
          </w:p>
        </w:tc>
        <w:tc>
          <w:tcPr>
            <w:tcW w:type="dxa" w:w="19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2,520.89</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10/13</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2,508.43</w:t>
            </w:r>
          </w:p>
        </w:tc>
      </w:tr>
      <w:tr>
        <w:trPr>
          <w:cantSplit/>
        </w:trPr>
        <w:tc>
          <w:tcPr>
            <w:tcW w:type="dxa" w:w="272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MO NISA成長</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10/09</w:t>
            </w:r>
          </w:p>
        </w:tc>
        <w:tc>
          <w:tcPr>
            <w:tcW w:type="dxa" w:w="19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1,260.45</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10/13</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1,570.12</w:t>
            </w:r>
          </w:p>
        </w:tc>
      </w:tr>
      <w:tr>
        <w:trPr>
          <w:cantSplit/>
        </w:trPr>
        <w:tc>
          <w:tcPr>
            <w:tcW w:type="dxa" w:w="272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KO 野村</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10/01</w:t>
            </w:r>
          </w:p>
        </w:tc>
        <w:tc>
          <w:tcPr>
            <w:tcW w:type="dxa" w:w="19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1,203.67</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10/06</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1,201.00</w:t>
            </w:r>
          </w:p>
        </w:tc>
      </w:tr>
      <w:tr>
        <w:trPr>
          <w:cantSplit/>
        </w:trPr>
        <w:tc>
          <w:tcPr>
            <w:tcW w:type="dxa" w:w="272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NVDA 野村</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10/01</w:t>
            </w:r>
          </w:p>
        </w:tc>
        <w:tc>
          <w:tcPr>
            <w:tcW w:type="dxa" w:w="19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1,419.42</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10/06</w:t>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1,416.00</w:t>
            </w:r>
          </w:p>
        </w:tc>
      </w:tr>
      <w:tr>
        <w:trPr>
          <w:cantSplit/>
        </w:trPr>
        <w:tc>
          <w:tcPr>
            <w:tcW w:type="dxa" w:w="272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合計</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r>
          </w:p>
        </w:tc>
        <w:tc>
          <w:tcPr>
            <w:tcW w:type="dxa" w:w="19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6,404.43</w:t>
            </w:r>
          </w:p>
        </w:tc>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r>
          </w:p>
        </w:tc>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6,695.55</w:t>
            </w:r>
          </w:p>
        </w:tc>
      </w:tr>
    </w:tbl>
    <w:p>
      <w:pPr>
        <w:spacing w:after="0"/>
        <w:snapToGrid w:val="0"/>
      </w:pPr>
    </w:p>
    <w:p>
      <w:pPr>
        <w:snapToGrid w:val="0"/>
      </w:pPr>
      <w:r>
        <w:t>現在の10月実績は11,451.71円、10月予定は7,358.28円です。上記4件が同一イベントと確認できた場合、未入金予定はCSCO 10月21日の953.85円となり、10月見込みは12,405.56円になります。この値は照合確定後の条件付き期待値です。</w:t>
      </w:r>
    </w:p>
    <w:p>
      <w:pPr>
        <w:pStyle w:val="Heading2"/>
        <w:snapToGrid w:val="0"/>
      </w:pPr>
      <w:r>
        <w:t>期限経過の予定は将来予定から分離する</w:t>
      </w:r>
    </w:p>
    <w:p>
      <w:pPr>
        <w:snapToGrid w:val="0"/>
      </w:pPr>
      <w:r>
        <w:t>10月14日より前の未確認予定は10件あります。PEPの1月・3月・6月・9月、8593の6月、METAの9月なども残っています。すべてを未入金の将来収入に加えると、年間見込み519,438.10円を過大に見せるおそれがあります。理由を確認するまで「予定日経過・未照合」の別枠に置きます。</w:t>
      </w:r>
    </w:p>
    <w:p>
      <w:pPr>
        <w:pStyle w:val="Heading2"/>
        <w:snapToGrid w:val="0"/>
      </w:pPr>
      <w:r>
        <w:t>推奨する照合手順</w:t>
      </w:r>
    </w:p>
    <w:p>
      <w:pPr>
        <w:snapToGrid w:val="0"/>
      </w:pPr>
      <w:r>
        <w:t>証券会社と正規化済み銘柄・口座を先に合わせ、配当イベントIDまたは権利日・数量・支払期間から候補を絞ります。税引後円額は補助条件にし、円受取と外貨建て予定を同じ通貨として比較できるようにします。候補が複数ある場合や数量・口座が不明な場合は、金額だけで自動結合しません。</w:t>
      </w:r>
    </w:p>
    <w:p>
      <w:pPr>
        <w:snapToGrid w:val="0"/>
      </w:pPr>
      <w:r>
        <w:t>照合を確定した予定には実績IDを保存し、すべてのサマリーとグラフで除外します。現在はInvestmentCalculatorとPortfolioAnalyticsServiceで予定の除外条件が異なるため、共通の集計サービスに統一する案です。</w:t>
      </w:r>
    </w:p>
    <w:p>
      <w:pPr>
        <w:pStyle w:val="Heading2"/>
        <w:snapToGrid w:val="0"/>
      </w:pPr>
      <w:r>
        <w:t>完了条件</w:t>
      </w:r>
    </w:p>
    <w:p>
      <w:pPr>
        <w:snapToGrid w:val="0"/>
      </w:pPr>
      <w:r>
        <w:t>同じCSVを2回取り込んでも実績と予定の合計が変わらないこと。MOの特定とNISAを別々に照合できること。日付差・外貨と円・端数差・同日複数配当を含む試験で、誤結合も重複加算もないこと。</w:t>
      </w:r>
    </w:p>
    <w:p>
      <w:pPr>
        <w:snapToGrid w:val="0"/>
      </w:pPr>
      <w:r>
        <w:t>対象コード  DividendReconciliationService の IsSameDividendIdentity と IsExactScheduleMatch、PortfolioAnalyticsService の HasActualReplacement、InvestmentCalculator の予定集計。</w:t>
      </w:r>
    </w:p>
    <w:p>
      <w:pPr>
        <w:pStyle w:val="Heading1"/>
        <w:pageBreakBefore/>
        <w:snapToGrid w:val="0"/>
      </w:pPr>
      <w:r>
        <w:t>6  月別と累積グラフの評価</w:t>
      </w:r>
    </w:p>
    <w:p>
      <w:pPr>
        <w:snapToGrid w:val="0"/>
      </w:pPr>
      <w:r>
        <w:t>現行の月別折れ線グラフへ渡す実績・予定の元データです。単位は円、小数第2位表示。予定には期限経過・未照合を含み、修正前の状態を示します。</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実績</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予定と未照合</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合計見込み</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5,037.46</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3,230.60</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8,268.06</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2月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1,827.00</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1,827.00</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3月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14,377.21</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3,230.60</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17,607.81</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4月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2,788.55</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2,788.55</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5月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5,802.52</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5,802.52</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6月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158,829.72</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7,186.07</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166,015.79</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7月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7,654.65</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7,654.65</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8月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1,872.00</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1,872.00</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9月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42,710.48</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3,957.35</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46,667.83</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11,451.71</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7,358.28</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18,809.99</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11月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1,873.64</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1,873.64</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12月</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0.00</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240,250.25</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240,250.25</w:t>
            </w:r>
          </w:p>
        </w:tc>
      </w:tr>
    </w:tbl>
    <w:p>
      <w:pPr>
        <w:spacing w:after="0"/>
        <w:snapToGrid w:val="0"/>
      </w:pPr>
    </w:p>
    <w:p>
      <w:pPr>
        <w:pStyle w:val="Heading2"/>
        <w:snapToGrid w:val="0"/>
      </w:pPr>
      <w:r>
        <w:t>すでに改善されている点</w:t>
      </w:r>
    </w:p>
    <w:p>
      <w:pPr>
        <w:snapToGrid w:val="0"/>
      </w:pPr>
      <w:r>
        <w:t>月別データは1〜12月を生成し、月別グラフは折れ線とポイント表示に対応しています。年間累積グラフは実績線を当月までに制限し、その後を破線の見込みとして描く実装です。11〜12月の実績は現在DBでは0円です。将来の見込み線が伸びること自体は異常ではありません。</w:t>
      </w:r>
    </w:p>
    <w:p>
      <w:pPr>
        <w:pStyle w:val="Heading2"/>
        <w:snapToGrid w:val="0"/>
      </w:pPr>
      <w:r>
        <w:t>残る修正案</w:t>
      </w:r>
    </w:p>
    <w:p>
      <w:pPr>
        <w:snapToGrid w:val="0"/>
      </w:pPr>
      <w:r>
        <w:t>実績は青実線、将来の入金予定は紫破線、前年実績は灰線、目標は橙点線で統一します。期限経過の未照合は線へ加算せず、件数と金額の警告を併記します。紫は「入金予定だけ」なのか「実績＋予定」なのか、表示系列の計算式に合わせて明記してください。</w:t>
      </w:r>
    </w:p>
    <w:p>
      <w:pPr>
        <w:snapToGrid w:val="0"/>
      </w:pPr>
      <w:r>
        <w:t>ツールチップには対象月、税引後実績、確定予定、推定予定、未照合、比較対象の前年、集計基準日を表示します。当月は「10月14日時点」とし、月末実績と誤解させない表記にします。日付上は未来の実績が混入した場合も、描画だけで隠さず集計時点で検出します。</w:t>
      </w:r>
    </w:p>
    <w:p>
      <w:pPr>
        <w:pStyle w:val="Heading1"/>
        <w:pageBreakBefore/>
        <w:snapToGrid w:val="0"/>
      </w:pPr>
      <w:r>
        <w:t>7  資産推移と表示文言を整える</w:t>
      </w:r>
    </w:p>
    <w:p>
      <w:pPr>
        <w:snapToGrid w:val="0"/>
      </w:pPr>
      <w:r>
        <w:t>DBの10月14日資産スナップショット25,744,194.57円は、現行計算で再現できました。10月13日は25,668,012.61円で差は76,181.96円です。この差には価格・為替だけでなく、CSV更新や投信残高の更新も含まれるため、運用益と同義ではありません。</w:t>
      </w:r>
    </w:p>
    <w:tbl>
      <w:tblPr>
        <w:tblW w:type="auto" w:w="0"/>
        <w:jc w:val="center"/>
        <w:tblLayout w:type="fixed"/>
        <w:tblLook w:firstColumn="1" w:firstRow="1" w:lastColumn="0" w:lastRow="0" w:noHBand="0" w:noVBand="1" w:val="04A0"/>
      </w:tblPr>
      <w:tblGrid>
        <w:gridCol w:w="3289"/>
        <w:gridCol w:w="3289"/>
        <w:gridCol w:w="3289"/>
      </w:tblGrid>
      <w:tr>
        <w:trPr>
          <w:cantSplit/>
          <w:tblHeader/>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現在の表記または集計</w:t>
            </w:r>
          </w:p>
        </w:tc>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推奨表記</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理由と補足</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総資産</w:t>
            </w:r>
          </w:p>
        </w:tc>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保有証券評価額</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株式＋投信。現金・MRFは対象外と明記</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今月の不労所得</w:t>
            </w:r>
          </w:p>
        </w:tc>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今月の受取配当 税引後</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株式配当の入金日基準と表示</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今年の実績＋予定</w:t>
            </w:r>
          </w:p>
        </w:tc>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今年の受取実績＋今後の予定</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期限経過の未照合は別欄</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年間不労所得見込み 概算</w:t>
            </w:r>
          </w:p>
        </w:tc>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現在保有を1年間継続した配当見込 税引前</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668,608.47円。暦年見込と区別</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外国税 0円</w:t>
            </w:r>
          </w:p>
        </w:tc>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外国税 未取得分あり</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実績21件は税引後だけ判明。0円と未取得は別</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Unknown / Specific / Csv</w:t>
            </w:r>
          </w:p>
        </w:tc>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口座不明 / 特定口座 / CSV取込</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画面は日本語。内部識別子は詳細欄</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国別 日本に投信を計上</w:t>
            </w:r>
          </w:p>
        </w:tc>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登録国別 または 投資先地域別</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国内籍S&amp;P500投信を日本株と誤解させない</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前日比</w:t>
            </w:r>
          </w:p>
        </w:tc>
        <w:tc>
          <w:tcPr>
            <w:tcW w:type="dxa" w:w="35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前回記録比 日付付き</w:t>
            </w:r>
          </w:p>
        </w:tc>
        <w:tc>
          <w:tcPr>
            <w:tcW w:type="dxa" w:w="33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欠測日がある場合は前日とは限らない</w:t>
            </w:r>
          </w:p>
        </w:tc>
      </w:tr>
    </w:tbl>
    <w:p>
      <w:pPr>
        <w:spacing w:after="0"/>
        <w:snapToGrid w:val="0"/>
      </w:pPr>
    </w:p>
    <w:p>
      <w:pPr>
        <w:pStyle w:val="Heading2"/>
        <w:snapToGrid w:val="0"/>
      </w:pPr>
      <w:r>
        <w:t>分野別構成の見やすさ</w:t>
      </w:r>
    </w:p>
    <w:p>
      <w:pPr>
        <w:snapToGrid w:val="0"/>
      </w:pPr>
      <w:r>
        <w:t>現在は9分野に分類され、卸売・商社13,426,000円が約52.2%です。構成比・金額・銘柄数を同時表示し、色と分野名を常に対にします。セクター分類の基準と手動変更の有無も詳細に表示します。「投資信託」は資産種別であり業種ではないため、投信の中の業種配分と混ぜない設計が適切です。</w:t>
      </w:r>
    </w:p>
    <w:p>
      <w:pPr>
        <w:pStyle w:val="Heading2"/>
        <w:snapToGrid w:val="0"/>
      </w:pPr>
      <w:r>
        <w:t>資産推移の比較基準</w:t>
      </w:r>
    </w:p>
    <w:p>
      <w:pPr>
        <w:snapToGrid w:val="0"/>
      </w:pPr>
      <w:r>
        <w:t>折れ線の各点に日付、評価額、円建て取得額、含み損益、価格と為替の基準時刻を表示します。資金の追加やCSV更新があった日に注記を付け、履歴のない期間を0円で補完しないようにします。MRF18,905円を含める場合は現金等の独立区分を追加し、従来の証券評価額との差を説明します。</w:t>
      </w:r>
    </w:p>
    <w:p>
      <w:pPr>
        <w:pStyle w:val="Heading1"/>
        <w:pageBreakBefore/>
        <w:snapToGrid w:val="0"/>
      </w:pPr>
      <w:r>
        <w:t>8  取込処理と修正の実施順序</w:t>
      </w:r>
    </w:p>
    <w:p>
      <w:pPr>
        <w:pStyle w:val="Heading2"/>
        <w:snapToGrid w:val="0"/>
      </w:pPr>
      <w:r>
        <w:t>P1 残高日付と価格更新日を分離する</w:t>
      </w:r>
    </w:p>
    <w:p>
      <w:pPr>
        <w:snapToGrid w:val="0"/>
      </w:pPr>
      <w:r>
        <w:t>野村N1の取込履歴は10件すべて競合です。外国株9件は「既存10月14日、CSV10月12日で古い」、8151は基準日不明が原因です。価格や為替の更新でもCurrentHolding.UpdatedAtが当日に変わり、その値を残高の鮮度判定に使っています。価格は新しいが数量情報は古い、という状態を区別できません。</w:t>
      </w:r>
    </w:p>
    <w:p>
      <w:pPr>
        <w:snapToGrid w:val="0"/>
      </w:pPr>
      <w:r>
        <w:t>修正案  数量残高基準日、価格基準日時、為替基準日時、取得日時を分離します。数量と取得額は残高情報、価格と為替はそれぞれの更新ルールで比較してください。日付が空欄の国内株はファイル名だけで確定せず、出力日時または取込時に確認した残高日を根拠付きで保存します。</w:t>
      </w:r>
    </w:p>
    <w:p>
      <w:pPr>
        <w:pStyle w:val="Heading2"/>
        <w:snapToGrid w:val="0"/>
      </w:pPr>
      <w:r>
        <w:t>P2 取込結果の説明を実際の状態に合わせる</w:t>
      </w:r>
    </w:p>
    <w:p>
      <w:pPr>
        <w:snapToGrid w:val="0"/>
      </w:pPr>
      <w:r>
        <w:t>SBI一括取込のファイル別ログは追加0・更新0でもSucceededBatchと記録されます。配当S1は解析71件・要確認0件でも競合7件でPartialです。行を解析できた件数とDBへ適用した件数、競合数は別の指標なので、それぞれを明示し、競合行へ直接移動できるようにします。UTC保存日時はJST表示へ変換し、時刻帯を明記します。</w:t>
      </w:r>
    </w:p>
    <w:tbl>
      <w:tblPr>
        <w:tblW w:type="auto" w:w="0"/>
        <w:jc w:val="center"/>
        <w:tblLayout w:type="fixed"/>
        <w:tblLook w:firstColumn="1" w:firstRow="1" w:lastColumn="0" w:lastRow="0" w:noHBand="0" w:noVBand="1" w:val="04A0"/>
      </w:tblPr>
      <w:tblGrid>
        <w:gridCol w:w="3289"/>
        <w:gridCol w:w="3289"/>
        <w:gridCol w:w="3289"/>
      </w:tblGrid>
      <w:tr>
        <w:trPr>
          <w:cantSplit/>
          <w:tblHeader/>
        </w:trPr>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順序</w:t>
            </w:r>
          </w:p>
        </w:tc>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修正内容</w:t>
            </w:r>
          </w:p>
        </w:tc>
        <w:tc>
          <w:tcPr>
            <w:tcW w:type="dxa" w:w="4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必要な完了確認</w:t>
            </w:r>
          </w:p>
        </w:tc>
      </w:tr>
      <w:tr>
        <w:trPr>
          <w:cantSplit/>
        </w:trPr>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w:t>
            </w:r>
          </w:p>
        </w:tc>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DBバックアップと基準データ固定</w:t>
            </w:r>
          </w:p>
        </w:tc>
        <w:tc>
          <w:tcPr>
            <w:tcW w:type="dxa" w:w="4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同じCSVと基準DBで再現可能</w:t>
            </w:r>
          </w:p>
        </w:tc>
      </w:tr>
      <w:tr>
        <w:trPr>
          <w:cantSplit/>
        </w:trPr>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w:t>
            </w:r>
          </w:p>
        </w:tc>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残高日付と円建て原価の分離</w:t>
            </w:r>
          </w:p>
        </w:tc>
        <w:tc>
          <w:tcPr>
            <w:tcW w:type="dxa" w:w="4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N1取得額10件一致。API更新後も一致</w:t>
            </w:r>
          </w:p>
        </w:tc>
      </w:tr>
      <w:tr>
        <w:trPr>
          <w:cantSplit/>
        </w:trPr>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3</w:t>
            </w:r>
          </w:p>
        </w:tc>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配当の分類と照合を共通化</w:t>
            </w:r>
          </w:p>
        </w:tc>
        <w:tc>
          <w:tcPr>
            <w:tcW w:type="dxa" w:w="4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国内外分類、入金後予定除外、再取込の冪等性</w:t>
            </w:r>
          </w:p>
        </w:tc>
      </w:tr>
      <w:tr>
        <w:trPr>
          <w:cantSplit/>
        </w:trPr>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4</w:t>
            </w:r>
          </w:p>
        </w:tc>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旧実績の差異と重複候補を整理</w:t>
            </w:r>
          </w:p>
        </w:tc>
        <w:tc>
          <w:tcPr>
            <w:tcW w:type="dxa" w:w="4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野村6円差、CSCO2組を根拠付きで解決</w:t>
            </w:r>
          </w:p>
        </w:tc>
      </w:tr>
      <w:tr>
        <w:trPr>
          <w:cantSplit/>
        </w:trPr>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5</w:t>
            </w:r>
          </w:p>
        </w:tc>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税情報と対象外収益の扱い</w:t>
            </w:r>
          </w:p>
        </w:tc>
        <w:tc>
          <w:tcPr>
            <w:tcW w:type="dxa" w:w="4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不明と0円を区別。MRFの集計範囲を決定</w:t>
            </w:r>
          </w:p>
        </w:tc>
      </w:tr>
      <w:tr>
        <w:trPr>
          <w:cantSplit/>
        </w:trPr>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6</w:t>
            </w:r>
          </w:p>
        </w:tc>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グラフと文言と取込結果を統一</w:t>
            </w:r>
          </w:p>
        </w:tc>
        <w:tc>
          <w:tcPr>
            <w:tcW w:type="dxa" w:w="4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同じ期間・同じ区分でカードとグラフが一致</w:t>
            </w:r>
          </w:p>
        </w:tc>
      </w:tr>
      <w:tr>
        <w:trPr>
          <w:cantSplit/>
        </w:trPr>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7</w:t>
            </w:r>
          </w:p>
        </w:tc>
        <w:tc>
          <w:tcPr>
            <w:tcW w:type="dxa" w:w="413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Release版の画面検証</w:t>
            </w:r>
          </w:p>
        </w:tc>
        <w:tc>
          <w:tcPr>
            <w:tcW w:type="dxa" w:w="4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CSVメニュー遷移、取込、凡例、ポイント表示を確認</w:t>
            </w:r>
          </w:p>
        </w:tc>
      </w:tr>
    </w:tbl>
    <w:p>
      <w:pPr>
        <w:spacing w:after="0"/>
        <w:snapToGrid w:val="0"/>
      </w:pPr>
    </w:p>
    <w:p>
      <w:pPr>
        <w:snapToGrid w:val="0"/>
      </w:pPr>
      <w:r>
        <w:t>実装はこの7工程を推奨します。会話の作業回数ではなく、検証可能な工程の区切りです。要確認行を消すだけ、全予定を一括削除するだけの対応は避け、置換履歴と出典を残してください。</w:t>
      </w:r>
    </w:p>
    <w:p>
      <w:pPr>
        <w:pStyle w:val="Heading1"/>
        <w:pageBreakBefore/>
        <w:snapToGrid w:val="0"/>
      </w:pPr>
      <w:r>
        <w:t>9  受入試験と調査根拠</w:t>
      </w:r>
    </w:p>
    <w:tbl>
      <w:tblPr>
        <w:tblW w:type="auto" w:w="0"/>
        <w:jc w:val="center"/>
        <w:tblLayout w:type="fixed"/>
        <w:tblLook w:firstColumn="1" w:firstRow="1" w:lastColumn="0" w:lastRow="0" w:noHBand="0" w:noVBand="1" w:val="04A0"/>
      </w:tblPr>
      <w:tblGrid>
        <w:gridCol w:w="4933"/>
        <w:gridCol w:w="4933"/>
      </w:tblGrid>
      <w:tr>
        <w:trPr>
          <w:cantSplit/>
          <w:tblHeader/>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試験</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期待する結果</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同一CSVの再取込と順序変更</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S3とS4、N2とN3を重複投入しても数量・原価・配当が増えない</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同日複数明細と口座</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 8593の同日100株2明細を保持。MOの特定とNISAを混同しない</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未来日と当月途中</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10月14日基準の実績に未来入金を含めない。見込みだけを将来へ描画</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取得額と為替</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円建て取得額は最新価格・為替の更新では変わらない</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税額不明と実績のみ</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SBIの税引後のみ実績は外国税0円と断定しない</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表示間の一致</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月別合計、年間合計、累積最終値、銘柄内訳が同じ集計条件で一致</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画面操作とRelease版</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CSVメニューで落ちない。12か月、凡例、ポイント値が狭い画面でも読める</w:t>
            </w:r>
          </w:p>
        </w:tc>
      </w:tr>
    </w:tbl>
    <w:p>
      <w:pPr>
        <w:spacing w:after="0"/>
        <w:snapToGrid w:val="0"/>
      </w:pPr>
    </w:p>
    <w:p>
      <w:pPr>
        <w:pStyle w:val="Heading2"/>
        <w:snapToGrid w:val="0"/>
      </w:pPr>
      <w:r>
        <w:t>数値の再現根拠</w:t>
      </w:r>
    </w:p>
    <w:p>
      <w:pPr>
        <w:snapToGrid w:val="0"/>
      </w:pPr>
      <w:r>
        <w:t>本番DBのSQLiteバックアップを作成し、原本への書き込みを行わず調査しました。CSVは生の明細を独立集計し、現行パーサー出力と比較しました。現行InvestmentCalculatorによる資産合計は保存済み10月14日PortfolioSnapshotsと一致しました。</w:t>
      </w:r>
    </w:p>
    <w:p>
      <w:pPr>
        <w:snapToGrid w:val="0"/>
      </w:pPr>
      <w:r>
        <w:t>作業資料  artifacts/review_20261014 内の audit.db、comparison.json、summary.json、payments.json、snapshots.json、parsed_で始まる解析結果、Program.cs、compare.py、detail.py、more.py。これらは追跡用の内部資料で、今回の納品対象は本書です。DB複製には個人の資産情報が含まれます。</w:t>
      </w:r>
    </w:p>
    <w:p>
      <w:pPr>
        <w:pStyle w:val="Heading2"/>
        <w:snapToGrid w:val="0"/>
      </w:pPr>
      <w:r>
        <w:t>修正担当者が確認するコード</w:t>
      </w:r>
    </w:p>
    <w:p>
      <w:pPr>
        <w:snapToGrid w:val="0"/>
      </w:pPr>
      <w:r>
        <w:t>InvestmentStory.Core/Services 配下の NomuraHoldingsCsvParser、BrokerHoldingMergeService、InvestmentCalculator、DividendReconciliationService、PortfolioAnalyticsService。アプリ側は MainViewModel の ApplyLatestExchangeRate と価格反映処理、DashboardViewModel、DashboardView.xaml、PassiveIncomeView.xaml を確認します。</w:t>
      </w:r>
    </w:p>
    <w:p>
      <w:pPr>
        <w:snapToGrid w:val="0"/>
      </w:pPr>
      <w:r>
        <w:t>グラフは Controls/MonthlyDividendLineChartControl.cs、DividendAnnualCumulativeChartControl.cs、PortfolioHistoryLineChartControl.cs、配当の銘柄別グラフ各クラスを対象に、金額・税区分・系列色・基準日の説明を統一します。</w:t>
      </w:r>
    </w:p>
    <w:p>
      <w:pPr>
        <w:pStyle w:val="Heading2"/>
        <w:snapToGrid w:val="0"/>
      </w:pPr>
      <w:r>
        <w:t>評価上の区別</w:t>
      </w:r>
    </w:p>
    <w:p>
      <w:pPr>
        <w:snapToGrid w:val="0"/>
      </w:pPr>
      <w:r>
        <w:t>確認済み  数量一致、取得額差、国内外分類の誤り、残存予定、CSV内部0.32円差、取込競合。</w:t>
        <w:br/>
        <w:t>照合確定が必要  予定と実績のイベント対応、Unknown口座の重複候補、MRFの集計範囲。</w:t>
        <w:br/>
        <w:t>別途検証  SBI外国株の最新残高、Release版の実画面操作。</w:t>
      </w:r>
    </w:p>
    <w:p>
      <w:pPr>
        <w:pStyle w:val="Heading1"/>
        <w:pageBreakBefore/>
        <w:snapToGrid w:val="0"/>
      </w:pPr>
      <w:r>
        <w:t>10  追加調査で確認した取引台帳の欠落</w:t>
      </w:r>
    </w:p>
    <w:p>
      <w:pPr>
        <w:pStyle w:val="Heading2"/>
        <w:snapToGrid w:val="0"/>
      </w:pPr>
      <w:r>
        <w:t>P1 同条件の別取引が重複として消える</w:t>
      </w:r>
    </w:p>
    <w:p>
      <w:pPr>
        <w:snapToGrid w:val="0"/>
      </w:pPr>
      <w:r>
        <w:t>S2には2026年6月15日の8593買付が2行あります。どちらも100株、単価1,345.8円、受渡金額134,580円です。元CSVの2行とパーサー出力は保持されていますが、TradeHistoryService.Mergeが同じ日付・口座・数量・単価・金額をまとめ、最後の1行だけを残します。</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trPr>
        <w:tc>
          <w:tcPr>
            <w:tcW w:type="dxa" w:w="419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段階</w:t>
            </w:r>
          </w:p>
        </w:tc>
        <w:tc>
          <w:tcPr>
            <w:tcW w:type="dxa" w:w="1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明細数</w:t>
            </w:r>
          </w:p>
        </w:tc>
        <w:tc>
          <w:tcPr>
            <w:tcW w:type="dxa" w:w="18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買付数量</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買付金額 円</w:t>
            </w:r>
          </w:p>
        </w:tc>
      </w:tr>
      <w:tr>
        <w:trPr>
          <w:cantSplit/>
        </w:trPr>
        <w:tc>
          <w:tcPr>
            <w:tcW w:type="dxa" w:w="419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CSVとパーサー</w:t>
            </w:r>
          </w:p>
        </w:tc>
        <w:tc>
          <w:tcPr>
            <w:tcW w:type="dxa" w:w="1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w:t>
            </w:r>
          </w:p>
        </w:tc>
        <w:tc>
          <w:tcPr>
            <w:tcW w:type="dxa" w:w="18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200株</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269,160</w:t>
            </w:r>
          </w:p>
        </w:tc>
      </w:tr>
      <w:tr>
        <w:trPr>
          <w:cantSplit/>
        </w:trPr>
        <w:tc>
          <w:tcPr>
            <w:tcW w:type="dxa" w:w="419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現行Mergeを空台帳へ適用</w:t>
            </w:r>
          </w:p>
        </w:tc>
        <w:tc>
          <w:tcPr>
            <w:tcW w:type="dxa" w:w="1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w:t>
            </w:r>
          </w:p>
        </w:tc>
        <w:tc>
          <w:tcPr>
            <w:tcW w:type="dxa" w:w="18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100株</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134,580</w:t>
            </w:r>
          </w:p>
        </w:tc>
      </w:tr>
      <w:tr>
        <w:trPr>
          <w:cantSplit/>
        </w:trPr>
        <w:tc>
          <w:tcPr>
            <w:tcW w:type="dxa" w:w="419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現在DBの8593取引台帳</w:t>
            </w:r>
          </w:p>
        </w:tc>
        <w:tc>
          <w:tcPr>
            <w:tcW w:type="dxa" w:w="1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w:t>
            </w:r>
          </w:p>
        </w:tc>
        <w:tc>
          <w:tcPr>
            <w:tcW w:type="dxa" w:w="18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100株</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134,580</w:t>
            </w:r>
          </w:p>
        </w:tc>
      </w:tr>
      <w:tr>
        <w:trPr>
          <w:cantSplit/>
        </w:trPr>
        <w:tc>
          <w:tcPr>
            <w:tcW w:type="dxa" w:w="419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保有画面用の残高</w:t>
            </w:r>
          </w:p>
        </w:tc>
        <w:tc>
          <w:tcPr>
            <w:tcW w:type="dxa" w:w="1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別の残高データ</w:t>
            </w:r>
          </w:p>
        </w:tc>
        <w:tc>
          <w:tcPr>
            <w:tcW w:type="dxa" w:w="18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200株</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取得額269,200</w:t>
            </w:r>
          </w:p>
        </w:tc>
      </w:tr>
    </w:tbl>
    <w:p>
      <w:pPr>
        <w:spacing w:after="0"/>
        <w:snapToGrid w:val="0"/>
      </w:pPr>
    </w:p>
    <w:p>
      <w:pPr>
        <w:snapToGrid w:val="0"/>
      </w:pPr>
      <w:r>
        <w:t>残高と台帳の数量は100株ずれています。保有画面の200株は残高CSVから得られるため、総資産の確認だけではこの欠落を発見できません。269,160円と残高側269,200円の40円差は、表示取得単価1,346円の丸めを含む別問題として保持します。</w:t>
      </w:r>
    </w:p>
    <w:p>
      <w:pPr>
        <w:pStyle w:val="Heading2"/>
        <w:snapToGrid w:val="0"/>
      </w:pPr>
      <w:r>
        <w:t>推奨する保存方式</w:t>
      </w:r>
    </w:p>
    <w:p>
      <w:pPr>
        <w:snapToGrid w:val="0"/>
      </w:pPr>
      <w:r>
        <w:t>約定番号がある場合はそれを使い、ない場合も元ファイルのハッシュ・元行番号・同一内容の出現数を保存します。同一ファイル内の同条件2明細は2件のまま保持し、別ファイルに再掲された同じ2明細は追加しない設計が必要です。単純なDistinctやGroupByによる一意化では要件を満たせません。</w:t>
      </w:r>
    </w:p>
    <w:p>
      <w:pPr>
        <w:pStyle w:val="Heading2"/>
        <w:snapToGrid w:val="0"/>
      </w:pPr>
      <w:r>
        <w:t>P1 CMBTの口座が台帳内で混在する</w:t>
      </w:r>
    </w:p>
    <w:p>
      <w:pPr>
        <w:snapToGrid w:val="0"/>
      </w:pPr>
      <w:r>
        <w:t>CMBTの特定口座買付3件が、NISAのStockId 104と特定口座のStockId 146の両方に残っています。前者の履歴は特定10株とNISA30株を合計して40株、後者は特定10株となっています。現在保有はNISA30株・特定10株ですが、台帳の紐付けと整合しません。</w:t>
      </w:r>
    </w:p>
    <w:p>
      <w:pPr>
        <w:snapToGrid w:val="0"/>
      </w:pPr>
      <w:r>
        <w:t>これは10月14日のCSVで新たに生じたと断定できる問題ではなく、現在DBに残る不整合です。銘柄だけでなく証券会社・口座・預り区分を含むIDへ再配置し、元履歴を保存したうえで台帳を再構築します。特定口座の3件を両口座で計上しないことを確認してください。</w:t>
      </w:r>
    </w:p>
    <w:p>
      <w:pPr>
        <w:snapToGrid w:val="0"/>
      </w:pPr>
      <w:r>
        <w:t>対象コード  TradeHistoryService.Merge、InvestmentStoryRepository.SaveBrokerTrades、TradeLedgerService.BuildLedger。再現結果はextra_checks.json、元の台帳はBrokerTrades.jsonに保存しています。</w:t>
      </w:r>
    </w:p>
    <w:p>
      <w:pPr>
        <w:pStyle w:val="Heading1"/>
        <w:pageBreakBefore/>
        <w:snapToGrid w:val="0"/>
      </w:pPr>
      <w:r>
        <w:t>11  追加調査で確認した為替未取得時の計算</w:t>
      </w:r>
    </w:p>
    <w:p>
      <w:pPr>
        <w:pStyle w:val="Heading2"/>
        <w:snapToGrid w:val="0"/>
      </w:pPr>
      <w:r>
        <w:t>P1 未取得の為替を1円に置換している</w:t>
      </w:r>
    </w:p>
    <w:p>
      <w:pPr>
        <w:snapToGrid w:val="0"/>
      </w:pPr>
      <w:r>
        <w:t>SBIのCMBT特定口座は10株、平均取得単価15.81ドル、取得為替0で保存されています。InvestmentCalculator.NormalizeExchangeRateは0を1へ置換するため、158.10ドルの取得額を158.10円として集計しています。現在評価額は32,920.55円です。</w:t>
      </w:r>
    </w:p>
    <w:tbl>
      <w:tblPr>
        <w:tblW w:type="auto" w:w="0"/>
        <w:jc w:val="center"/>
        <w:tblLayout w:type="fixed"/>
        <w:tblLook w:firstColumn="1" w:firstRow="1" w:lastColumn="0" w:lastRow="0" w:noHBand="0" w:noVBand="1" w:val="04A0"/>
      </w:tblPr>
      <w:tblGrid>
        <w:gridCol w:w="3289"/>
        <w:gridCol w:w="3289"/>
        <w:gridCol w:w="3289"/>
      </w:tblGrid>
      <w:tr>
        <w:trPr>
          <w:cantSplit/>
          <w:tblHeader/>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計算項目</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現行値</w:t>
            </w:r>
          </w:p>
        </w:tc>
        <w:tc>
          <w:tcPr>
            <w:tcW w:type="dxa" w:w="430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評価</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外貨取得額</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158.10 USD</w:t>
            </w:r>
          </w:p>
        </w:tc>
        <w:tc>
          <w:tcPr>
            <w:tcW w:type="dxa" w:w="430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保存値から算出可能</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取得為替</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0</w:t>
            </w:r>
          </w:p>
        </w:tc>
        <w:tc>
          <w:tcPr>
            <w:tcW w:type="dxa" w:w="430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未取得を表す値</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円建て取得額</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158.10円</w:t>
            </w:r>
          </w:p>
        </w:tc>
        <w:tc>
          <w:tcPr>
            <w:tcW w:type="dxa" w:w="430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1 USD＝1 JPYとして計算される</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円建て含み益</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32,762.45円</w:t>
            </w:r>
          </w:p>
        </w:tc>
        <w:tc>
          <w:tcPr>
            <w:tcW w:type="dxa" w:w="430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原価が未確定なので確定値として不適切</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円建て含み益率</w:t>
            </w:r>
          </w:p>
        </w:tc>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20,722.61%</w:t>
            </w:r>
          </w:p>
        </w:tc>
        <w:tc>
          <w:tcPr>
            <w:tcW w:type="dxa" w:w="430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誤った円原価が分母に使われる</w:t>
            </w:r>
          </w:p>
        </w:tc>
      </w:tr>
    </w:tbl>
    <w:p>
      <w:pPr>
        <w:spacing w:after="0"/>
        <w:snapToGrid w:val="0"/>
      </w:pPr>
    </w:p>
    <w:p>
      <w:pPr>
        <w:snapToGrid w:val="0"/>
      </w:pPr>
      <w:r>
        <w:t>正しい取得為替・円建て取得額は今回の8ファイルだけでは確定できません。現在の為替を購入時の為替として埋めることも適切ではありません。ダッシュボードの取得額・含み益・利回り・資産推移の損益系列に、この未確定原価が含まれていることを明示すべきです。</w:t>
      </w:r>
    </w:p>
    <w:p>
      <w:pPr>
        <w:pStyle w:val="Heading2"/>
        <w:snapToGrid w:val="0"/>
      </w:pPr>
      <w:r>
        <w:t>修正案</w:t>
      </w:r>
    </w:p>
    <w:p>
      <w:pPr>
        <w:snapToGrid w:val="0"/>
      </w:pPr>
      <w:r>
        <w:t>取得額は「円建て確定」「外貨のみ確定」「未取得」を区別します。証券会社の円建て取得額が取得できれば優先し、それがない外国株は購入時為替が確定するまで円建て原価と損益を未確定とします。総評価額は表示できますが、全体損益には「原価未確定1口座あり」と注記します。</w:t>
      </w:r>
    </w:p>
    <w:p>
      <w:pPr>
        <w:snapToGrid w:val="0"/>
      </w:pPr>
      <w:r>
        <w:t>0を1に置換する共通関数を廃止するだけでは不十分です。DividendTaxCalculatorにも外貨為替0以下を1にする処理があるため、配当予測、売買再構築、ランキングを含め、換算可能性を明示する戻り値へ統一してください。</w:t>
      </w:r>
    </w:p>
    <w:p>
      <w:pPr>
        <w:pStyle w:val="Heading2"/>
        <w:snapToGrid w:val="0"/>
      </w:pPr>
      <w:r>
        <w:t>既存の取引履歴にも未取得がある</w:t>
      </w:r>
    </w:p>
    <w:p>
      <w:pPr>
        <w:snapToGrid w:val="0"/>
      </w:pPr>
      <w:r>
        <w:t>現在DBの外貨取引29件で為替が0以下です。これらがすべて現在資産の誤差になるとは限りませんが、円建て実現損益を確定する前に確認が必要です。現行の実現損益合計729,967円を、完全に検証済みの総利益として扱うことはできません。</w:t>
      </w:r>
    </w:p>
    <w:p>
      <w:pPr>
        <w:snapToGrid w:val="0"/>
      </w:pPr>
      <w:r>
        <w:t>受入条件  為替0・負数・未入力では円換算値が確定表示されないこと。取得為替を確認した後にだけ損益を確定し、変更前後と根拠を保存すること。JPY資産は従来どおり為替1で計算できること。</w:t>
      </w:r>
    </w:p>
    <w:p>
      <w:pPr>
        <w:pStyle w:val="Heading1"/>
        <w:pageBreakBefore/>
        <w:snapToGrid w:val="0"/>
      </w:pPr>
      <w:r>
        <w:t>12  追加調査で確認したNISA予定配当の税設定</w:t>
      </w:r>
    </w:p>
    <w:p>
      <w:pPr>
        <w:pStyle w:val="Heading2"/>
        <w:snapToGrid w:val="0"/>
      </w:pPr>
      <w:r>
        <w:t>P1 口座名の不一致で一般口座設定へ落ちる</w:t>
      </w:r>
    </w:p>
    <w:p>
      <w:pPr>
        <w:snapToGrid w:val="0"/>
      </w:pPr>
      <w:r>
        <w:t>現在の保有口座はNisaGrowth、税率設定側はNISAという名前で保存されています。DividendScheduleService.ResolveTaxProfileは文字列の完全一致を試し、見つからなければ通貨だけで最初の設定を選びます。その結果、NISAの予定に一般口座のTaxProfileId 2または5が使われています。</w:t>
      </w:r>
    </w:p>
    <w:tbl>
      <w:tblPr>
        <w:tblW w:type="auto" w:w="0"/>
        <w:jc w:val="center"/>
        <w:tblLayout w:type="fixed"/>
        <w:tblLook w:firstColumn="1" w:firstRow="1" w:lastColumn="0" w:lastRow="0" w:noHBand="0" w:noVBand="1" w:val="04A0"/>
      </w:tblPr>
      <w:tblGrid>
        <w:gridCol w:w="3289"/>
        <w:gridCol w:w="3289"/>
        <w:gridCol w:w="3289"/>
      </w:tblGrid>
      <w:tr>
        <w:trPr>
          <w:cantSplit/>
          <w:tblHeader/>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予定配当</w:t>
            </w:r>
          </w:p>
        </w:tc>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使用された設定</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保存された国内税 円</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8593 6月8日</w:t>
            </w:r>
          </w:p>
        </w:tc>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日本株 一般口座 ID 2</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975.12</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8593 12月20日</w:t>
            </w:r>
          </w:p>
        </w:tc>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日本株 一般口座 ID 2</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995.44</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MO NISA 10月9日</w:t>
            </w:r>
          </w:p>
        </w:tc>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米国株 一般口座 ID 5</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321.34</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NISA予定9件 合計</w:t>
            </w:r>
          </w:p>
        </w:tc>
        <w:tc>
          <w:tcPr>
            <w:tcW w:type="dxa" w:w="408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一般口座設定を適用</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jc w:val="right"/>
              <w:snapToGrid w:val="0"/>
            </w:pPr>
            <w:r>
              <w:rPr>
                <w:b w:val="0"/>
                <w:sz w:val="18"/>
              </w:rPr>
              <w:t>8,656.45</w:t>
            </w:r>
          </w:p>
        </w:tc>
      </w:tr>
    </w:tbl>
    <w:p>
      <w:pPr>
        <w:spacing w:after="0"/>
        <w:snapToGrid w:val="0"/>
      </w:pPr>
    </w:p>
    <w:p>
      <w:pPr>
        <w:snapToGrid w:val="0"/>
      </w:pPr>
      <w:r>
        <w:t>DBには国内税免除を設定したNISA用プロファイルがJPY用ID 3、USD用ID 6として存在します。したがって、これは保存されたアプリ設定と選択結果の不一致です。税制度そのものの判定ではなく、ユーザーが設定した口座区分を計算へ正しく反映させる問題として修正します。</w:t>
      </w:r>
    </w:p>
    <w:p>
      <w:pPr>
        <w:pStyle w:val="Heading2"/>
        <w:snapToGrid w:val="0"/>
      </w:pPr>
      <w:r>
        <w:t>修正案と再現確認</w:t>
      </w:r>
    </w:p>
    <w:p>
      <w:pPr>
        <w:snapToGrid w:val="0"/>
      </w:pPr>
      <w:r>
        <w:t>保有・配当・税率設定を同じAccountTypeNormalizerで正規化します。通貨だけで別口座の税率に切り替えるフォールバックをやめ、一致しなければ要設定として表示します。NISAの各枠を税計算上まとめる場合も、口座の識別情報は保持してください。</w:t>
      </w:r>
    </w:p>
    <w:p>
      <w:pPr>
        <w:snapToGrid w:val="0"/>
      </w:pPr>
      <w:r>
        <w:t>複製DBの情報で予定を再生成する純粋計算を実行しても、NISA予定が一般口座設定を選ぶことを再現しました。再生成だけではこの問題は解消しません。元の9件には過去予定や重複候補も含まれるため、8,656.45円をそのまま年間見込みへ加算する修正はできません。</w:t>
      </w:r>
    </w:p>
    <w:p>
      <w:pPr>
        <w:pStyle w:val="Heading2"/>
        <w:snapToGrid w:val="0"/>
      </w:pPr>
      <w:r>
        <w:t>税引前と税引後を混ぜない</w:t>
      </w:r>
    </w:p>
    <w:p>
      <w:pPr>
        <w:snapToGrid w:val="0"/>
      </w:pPr>
      <w:r>
        <w:t>内部サマリーのAnnualGrossDividendForecastJpyは468,637.13円、AnnualNetDividendForecastJpyは519,438.10円でした。前者は税引前実績に税引後予定を加えており、税引後しか判明しない実績も欠けています。税引前という名前の集計として成立していません。現行XAMLでこの税引前フィールドの直接表示は確認できず、内部計算の問題として区別します。</w:t>
      </w:r>
    </w:p>
    <w:p>
      <w:pPr>
        <w:snapToGrid w:val="0"/>
      </w:pPr>
      <w:r>
        <w:t>税引前・税引後とも既知額と未取得件数を持たせ、同じ区分だけを合算してください。サマリーの税額は「判明分の合計」と「未取得件数」を表示し、一覧で不明と表示している21件をサマリーでは0円に見せないようにします。</w:t>
      </w:r>
    </w:p>
    <w:p>
      <w:pPr>
        <w:pStyle w:val="Heading1"/>
        <w:pageBreakBefore/>
        <w:snapToGrid w:val="0"/>
      </w:pPr>
      <w:r>
        <w:t>13  予定再生成と基準日の追加検証</w:t>
      </w:r>
    </w:p>
    <w:p>
      <w:pPr>
        <w:pStyle w:val="Heading2"/>
        <w:snapToGrid w:val="0"/>
      </w:pPr>
      <w:r>
        <w:t>取込直後に予定の再照合が実行されていない</w:t>
      </w:r>
    </w:p>
    <w:p>
      <w:pPr>
        <w:snapToGrid w:val="0"/>
      </w:pPr>
      <w:r>
        <w:t>CSV取込後のLoadDataAfterImportAsyncは表示用データを読み直しますが、PersistDividendSchedulesを呼びません。最新の実績が入っても、従来の未照合予定が残る原因の一つです。複製DBから予定再生成を試すと、MO2件、KO、NVDA、PEP、METAの計6件、旧予定合計10,361.78円がObsoleteScheduleIdsに入りました。実際のDB保存・削除は行っていません。</w:t>
      </w:r>
    </w:p>
    <w:p>
      <w:pPr>
        <w:snapToGrid w:val="0"/>
      </w:pPr>
      <w:r>
        <w:t>一方、現行の再生成処理は実績との45日以内の近接を条件にするため、別イベントを巻き込む可能性への検証が必要です。再生成を無条件で呼ぶだけで終わらせず、イベント・口座・数量の対応を確認し、削除ではなく実績との置換履歴を残す設計へ統一してください。</w:t>
      </w:r>
    </w:p>
    <w:p>
      <w:pPr>
        <w:pStyle w:val="Heading2"/>
        <w:snapToGrid w:val="0"/>
      </w:pPr>
      <w:r>
        <w:t>保有前の配当予定が生成される</w:t>
      </w:r>
    </w:p>
    <w:p>
      <w:pPr>
        <w:snapToGrid w:val="0"/>
      </w:pPr>
      <w:r>
        <w:t>8593の予定には支払日6月8日、メモには権利基準日3月31日がありますが、S2の買付日は6月15日です。保有画面用PurchaseDateは残高由来の7月11日で、実際の買付日とも異なります。PEPにも買付日6月15日より前の1月・3月予定が残っています。</w:t>
      </w:r>
    </w:p>
    <w:p>
      <w:pPr>
        <w:snapToGrid w:val="0"/>
      </w:pPr>
      <w:r>
        <w:t>予定生成は現在株数を各月へ適用しており、過去の権利日に何株持っていたかを判定していません。取引履歴の開始残高・買付・売却・入出庫から権利日時点の数量を求め、履歴が不足する場合は「権利保有未確認」にします。買付日と残高基準日を同じ日付欄で代用しないことも必要です。</w:t>
      </w:r>
    </w:p>
    <w:p>
      <w:pPr>
        <w:pStyle w:val="Heading2"/>
        <w:snapToGrid w:val="0"/>
      </w:pPr>
      <w:r>
        <w:t>未来の実績は描画だけでなく集計でも除外する</w:t>
      </w:r>
    </w:p>
    <w:p>
      <w:pPr>
        <w:snapToGrid w:val="0"/>
      </w:pPr>
      <w:r>
        <w:t>10月14日を基準日とし、12月1日の実績1,000円を1件だけ渡す再現試験では、ThisYearPassiveIncomeJpyが1,000円になりました。年だけで絞る計算のためです。現在DBには未来日の実績はありませんが、今後の誤入力・取込への防止策が必要です。</w:t>
      </w:r>
    </w:p>
    <w:tbl>
      <w:tblPr>
        <w:tblW w:type="auto" w:w="0"/>
        <w:jc w:val="center"/>
        <w:tblLayout w:type="fixed"/>
        <w:tblLook w:firstColumn="1" w:firstRow="1" w:lastColumn="0" w:lastRow="0" w:noHBand="0" w:noVBand="1" w:val="04A0"/>
      </w:tblPr>
      <w:tblGrid>
        <w:gridCol w:w="4933"/>
        <w:gridCol w:w="4933"/>
      </w:tblGrid>
      <w:tr>
        <w:trPr>
          <w:cantSplit/>
          <w:tblHeader/>
        </w:trPr>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追加の受入試験</w:t>
            </w:r>
          </w:p>
        </w:tc>
        <w:tc>
          <w:tcPr>
            <w:tcW w:type="dxa" w:w="561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EF4"/>
          </w:tcPr>
          <w:p>
            <w:pPr>
              <w:spacing w:after="40" w:before="40" w:line="250" w:lineRule="auto"/>
              <w:snapToGrid w:val="0"/>
            </w:pPr>
            <w:r>
              <w:rPr>
                <w:b/>
                <w:sz w:val="18"/>
              </w:rPr>
              <w:t>期待結果</w:t>
            </w:r>
          </w:p>
        </w:tc>
      </w:tr>
      <w:tr>
        <w:trPr>
          <w:cantSplit/>
        </w:trPr>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8593の同条件2明細を初回取込と再取込</w:t>
            </w:r>
          </w:p>
        </w:tc>
        <w:tc>
          <w:tcPr>
            <w:tcW w:type="dxa" w:w="561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初回200株、再取込も200株。台帳と残高を照合</w:t>
            </w:r>
          </w:p>
        </w:tc>
      </w:tr>
      <w:tr>
        <w:trPr>
          <w:cantSplit/>
        </w:trPr>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CMBTの口座別台帳</w:t>
            </w:r>
          </w:p>
        </w:tc>
        <w:tc>
          <w:tcPr>
            <w:tcW w:type="dxa" w:w="561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NISA30株、特定10株。特定の履歴がNISA側に残らない</w:t>
            </w:r>
          </w:p>
        </w:tc>
      </w:tr>
      <w:tr>
        <w:trPr>
          <w:cantSplit/>
        </w:trPr>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NISA税率設定の旧名と新名</w:t>
            </w:r>
          </w:p>
        </w:tc>
        <w:tc>
          <w:tcPr>
            <w:tcW w:type="dxa" w:w="561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NISA用設定を選択。通貨だけで一般口座へ切り替わらない</w:t>
            </w:r>
          </w:p>
        </w:tc>
      </w:tr>
      <w:tr>
        <w:trPr>
          <w:cantSplit/>
        </w:trPr>
        <w:tc>
          <w:tcPr>
            <w:tcW w:type="dxa" w:w="42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買付前の権利日と将来実績</w:t>
            </w:r>
          </w:p>
        </w:tc>
        <w:tc>
          <w:tcPr>
            <w:tcW w:type="dxa" w:w="561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snapToGrid w:val="0"/>
            </w:pPr>
            <w:r>
              <w:rPr>
                <w:b w:val="0"/>
                <w:sz w:val="18"/>
              </w:rPr>
              <w:t>過去の権利数量を検証。未来実績は基準日集計へ入れない</w:t>
            </w:r>
          </w:p>
        </w:tc>
      </w:tr>
    </w:tbl>
    <w:p>
      <w:pPr>
        <w:spacing w:after="0"/>
        <w:snapToGrid w:val="0"/>
      </w:pPr>
    </w:p>
    <w:p>
      <w:pPr>
        <w:snapToGrid w:val="0"/>
      </w:pPr>
      <w:r>
        <w:t>追加調査の再現結果はextra_checks.json、future_check.json、schedule_rebuild.jsonに保存しました。今回の調査と修正案作成は完了です。アプリ実装と本番データ修正は未実施です。</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Yu Gothic" w:hAnsi="Yu Gothic" w:eastAsia="游ゴシック"/>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Yu Gothic" w:hAnsi="Yu Gothic" w:eastAsia="游ゴシック"/>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Yu Gothic" w:hAnsi="Yu Gothic" w:eastAsia="游ゴシック"/>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Yu Gothic" w:hAnsi="Yu Gothic" w:eastAsia="游ゴシック"/>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Yu Gothic" w:hAnsi="Yu Gothic" w:eastAsia="游ゴシック"/>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