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InvestmentStory</w:t>
        <w:br/>
        <w:t>機能拡張と画面改善仕様書</w:t>
      </w:r>
    </w:p>
    <w:p>
      <w:r>
        <w:t>優先順位付き開発計画　2026年10月18日　版 1.0</w:t>
      </w:r>
    </w:p>
    <w:p>
      <w:pPr>
        <w:pStyle w:val="Heading2"/>
      </w:pPr>
      <w:r>
        <w:t>推奨する開発方針</w:t>
      </w:r>
    </w:p>
    <w:p>
      <w:r>
        <w:t>最初に、CSVから取り込まれた数値を検証でき、誤った取込から戻せる状態を整える。次に、口座移管と取得原価の根拠を管理し、実績・予定・概算を画面全体で統一する。その後に、入出金を考慮した運用成績、資産配分の調整、通知・出力機能を追加する。</w:t>
      </w:r>
    </w:p>
    <w:p>
      <w:r>
        <w:t>対象は、SBI証券・野村證券等の情報を集約する個人向けWindows資産管理アプリである。既存の配当分析、資産推移、分野別構成、シミュレーションを活用し、日常の確認と修正をアプリ内で完結させることを目標とする。</w:t>
      </w:r>
    </w:p>
    <w:tbl>
      <w:tblPr>
        <w:tblW w:type="auto" w:w="0"/>
        <w:jc w:val="center"/>
        <w:tblLayout w:type="fixed"/>
        <w:tblLook w:firstColumn="1" w:firstRow="1" w:lastColumn="0" w:lastRow="0" w:noHBand="0" w:noVBand="1" w:val="04A0"/>
      </w:tblPr>
      <w:tblGrid>
        <w:gridCol w:w="1474"/>
        <w:gridCol w:w="2608"/>
        <w:gridCol w:w="5556"/>
      </w:tblGrid>
      <w:tr>
        <w:trPr>
          <w:cantSplit/>
          <w:tblHeader/>
        </w:trPr>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CE6F1"/>
          </w:tcPr>
          <w:p>
            <w:pPr>
              <w:spacing w:after="40" w:before="40"/>
            </w:pPr>
            <w:r>
              <w:rPr>
                <w:b/>
                <w:sz w:val="18"/>
              </w:rPr>
              <w:t>優先度</w:t>
            </w:r>
          </w:p>
        </w:tc>
        <w:tc>
          <w:tcPr>
            <w:tcW w:type="dxa" w:w="2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CE6F1"/>
          </w:tcPr>
          <w:p>
            <w:pPr>
              <w:spacing w:after="40" w:before="40"/>
            </w:pPr>
            <w:r>
              <w:rPr>
                <w:b/>
                <w:sz w:val="18"/>
              </w:rPr>
              <w:t>狙い</w:t>
            </w:r>
          </w:p>
        </w:tc>
        <w:tc>
          <w:tcPr>
            <w:tcW w:type="dxa" w:w="55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CE6F1"/>
          </w:tcPr>
          <w:p>
            <w:pPr>
              <w:spacing w:after="40" w:before="40"/>
            </w:pPr>
            <w:r>
              <w:rPr>
                <w:b/>
                <w:sz w:val="18"/>
              </w:rPr>
              <w:t>対象</w:t>
            </w:r>
          </w:p>
        </w:tc>
      </w:tr>
      <w:tr>
        <w:trPr>
          <w:cantSplit/>
        </w:trPr>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P0 最優先</w:t>
            </w:r>
          </w:p>
        </w:tc>
        <w:tc>
          <w:tcPr>
            <w:tcW w:type="dxa" w:w="2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数値を信頼できること</w:t>
            </w:r>
          </w:p>
        </w:tc>
        <w:tc>
          <w:tcPr>
            <w:tcW w:type="dxa" w:w="55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F01 取込照合／F02 復元／F03 根拠と品質</w:t>
            </w:r>
          </w:p>
        </w:tc>
      </w:tr>
      <w:tr>
        <w:trPr>
          <w:cantSplit/>
        </w:trPr>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P1 次に実装</w:t>
            </w:r>
          </w:p>
        </w:tc>
        <w:tc>
          <w:tcPr>
            <w:tcW w:type="dxa" w:w="2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迷わず確認し修正できること</w:t>
            </w:r>
          </w:p>
        </w:tc>
        <w:tc>
          <w:tcPr>
            <w:tcW w:type="dxa" w:w="55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F04 移管／F05 原価補完／F06 配当／F07 一覧／F08 グラフ／F09 更新</w:t>
            </w:r>
          </w:p>
        </w:tc>
      </w:tr>
      <w:tr>
        <w:trPr>
          <w:cantSplit/>
        </w:trPr>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P2 基盤完成後</w:t>
            </w:r>
          </w:p>
        </w:tc>
        <w:tc>
          <w:tcPr>
            <w:tcW w:type="dxa" w:w="2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運用判断と振り返りの充実</w:t>
            </w:r>
          </w:p>
        </w:tc>
        <w:tc>
          <w:tcPr>
            <w:tcW w:type="dxa" w:w="55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F10 資金台帳／F11 成績／F12 配分／F13 通知／F14 出力／F15 NISA</w:t>
            </w:r>
          </w:p>
        </w:tc>
      </w:tr>
      <w:tr>
        <w:trPr>
          <w:cantSplit/>
        </w:trPr>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P3 将来候補</w:t>
            </w:r>
          </w:p>
        </w:tc>
        <w:tc>
          <w:tcPr>
            <w:tcW w:type="dxa" w:w="2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入力の省力化と高度な分析</w:t>
            </w:r>
          </w:p>
        </w:tc>
        <w:tc>
          <w:tcPr>
            <w:tcW w:type="dxa" w:w="55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F16 自動連携／F17 ファンド内訳／F18 シナリオ拡張</w:t>
            </w:r>
          </w:p>
        </w:tc>
      </w:tr>
    </w:tbl>
    <w:p>
      <w:pPr>
        <w:spacing w:after="0"/>
      </w:pPr>
    </w:p>
    <w:p>
      <w:pPr>
        <w:pStyle w:val="Heading2"/>
      </w:pPr>
      <w:r>
        <w:t>本書の位置付け</w:t>
      </w:r>
    </w:p>
    <w:p>
      <w:r>
        <w:t>本書は追加開発の仕様であり、現行機能の実装完了報告ではない。優先度は過去のCSV誤反映・重複・表記混乱の影響、日常利用頻度、後続機能への依存を基準に付けた。既存の修正案と重なる箇所は新規作成ではなく、既存機能の拡張または回帰検証として扱う。</w:t>
      </w:r>
    </w:p>
    <w:p>
      <w:r>
        <w:t>構成　現状評価 → 他製品との比較 → 優先順位 → 機能仕様 → 画面と計算規則 → 実装順と受入条件 → 調査根拠</w:t>
      </w:r>
    </w:p>
    <w:p>
      <w:r>
        <w:br w:type="page"/>
      </w:r>
    </w:p>
    <w:p>
      <w:pPr>
        <w:pStyle w:val="Heading1"/>
      </w:pPr>
      <w:r>
        <w:t>1  現状機能と不足の整理</w:t>
      </w:r>
    </w:p>
    <w:p>
      <w:r>
        <w:t>2026年10月18日時点の作業ツリーを静的に確認した。過去の画面指摘と10月14日のCSV照合報告も照合した。以下の「追加候補」は、確認対象コードに専用の一連の操作が見当たらない機能を指す。</w:t>
      </w:r>
    </w:p>
    <w:tbl>
      <w:tblPr>
        <w:tblW w:type="auto" w:w="0"/>
        <w:jc w:val="center"/>
        <w:tblLayout w:type="fixed"/>
        <w:tblLook w:firstColumn="1" w:firstRow="1" w:lastColumn="0" w:lastRow="0" w:noHBand="0" w:noVBand="1" w:val="04A0"/>
      </w:tblPr>
      <w:tblGrid>
        <w:gridCol w:w="1247"/>
        <w:gridCol w:w="4139"/>
        <w:gridCol w:w="4252"/>
      </w:tblGrid>
      <w:tr>
        <w:trPr>
          <w:cantSplit/>
          <w:tblHeader/>
        </w:trPr>
        <w:tc>
          <w:tcPr>
            <w:tcW w:type="dxa" w:w="124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CE6F1"/>
          </w:tcPr>
          <w:p>
            <w:pPr>
              <w:spacing w:after="40" w:before="40"/>
            </w:pPr>
            <w:r>
              <w:rPr>
                <w:b/>
                <w:sz w:val="18"/>
              </w:rPr>
              <w:t>領域</w:t>
            </w:r>
          </w:p>
        </w:tc>
        <w:tc>
          <w:tcPr>
            <w:tcW w:type="dxa" w:w="413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CE6F1"/>
          </w:tcPr>
          <w:p>
            <w:pPr>
              <w:spacing w:after="40" w:before="40"/>
            </w:pPr>
            <w:r>
              <w:rPr>
                <w:b/>
                <w:sz w:val="18"/>
              </w:rPr>
              <w:t>確認できた実装</w:t>
            </w:r>
          </w:p>
        </w:tc>
        <w:tc>
          <w:tcPr>
            <w:tcW w:type="dxa" w:w="42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CE6F1"/>
          </w:tcPr>
          <w:p>
            <w:pPr>
              <w:spacing w:after="40" w:before="40"/>
            </w:pPr>
            <w:r>
              <w:rPr>
                <w:b/>
                <w:sz w:val="18"/>
              </w:rPr>
              <w:t>今回の改善点</w:t>
            </w:r>
          </w:p>
        </w:tc>
      </w:tr>
      <w:tr>
        <w:trPr>
          <w:cantSplit/>
        </w:trPr>
        <w:tc>
          <w:tcPr>
            <w:tcW w:type="dxa" w:w="124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CSV取込</w:t>
            </w:r>
          </w:p>
        </w:tc>
        <w:tc>
          <w:tcPr>
            <w:tcW w:type="dxa" w:w="413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複数形式、プレビュー、取消、ログ、要確認記録、取込トランザクション</w:t>
            </w:r>
          </w:p>
        </w:tc>
        <w:tc>
          <w:tcPr>
            <w:tcW w:type="dxa" w:w="42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行別差分と金額照合、取込単位の追跡、成功後の復元操作</w:t>
            </w:r>
          </w:p>
        </w:tc>
      </w:tr>
      <w:tr>
        <w:trPr>
          <w:cantSplit/>
        </w:trPr>
        <w:tc>
          <w:tcPr>
            <w:tcW w:type="dxa" w:w="124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品質と原価</w:t>
            </w:r>
          </w:p>
        </w:tc>
        <w:tc>
          <w:tcPr>
            <w:tcW w:type="dxa" w:w="413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出所・鮮度の判定、概算原価の別保存と概算表示</w:t>
            </w:r>
          </w:p>
        </w:tc>
        <w:tc>
          <w:tcPr>
            <w:tcW w:type="dxa" w:w="42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全画面で同じ判定、根拠へ移動、概算の登録・確定の導線</w:t>
            </w:r>
          </w:p>
        </w:tc>
      </w:tr>
      <w:tr>
        <w:trPr>
          <w:cantSplit/>
        </w:trPr>
        <w:tc>
          <w:tcPr>
            <w:tcW w:type="dxa" w:w="124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配当</w:t>
            </w:r>
          </w:p>
        </w:tc>
        <w:tc>
          <w:tcPr>
            <w:tcW w:type="dxa" w:w="413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実績・予定照合、各種分析グラフ、将来予定の集計</w:t>
            </w:r>
          </w:p>
        </w:tc>
        <w:tc>
          <w:tcPr>
            <w:tcW w:type="dxa" w:w="42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期限経過の処理導線、口座の区別、基準日の統一</w:t>
            </w:r>
          </w:p>
        </w:tc>
      </w:tr>
      <w:tr>
        <w:trPr>
          <w:cantSplit/>
        </w:trPr>
        <w:tc>
          <w:tcPr>
            <w:tcW w:type="dxa" w:w="124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資産表示</w:t>
            </w:r>
          </w:p>
        </w:tc>
        <w:tc>
          <w:tcPr>
            <w:tcW w:type="dxa" w:w="413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資産推移と月別配当の折れ線、分野別構成</w:t>
            </w:r>
          </w:p>
        </w:tc>
        <w:tc>
          <w:tcPr>
            <w:tcW w:type="dxa" w:w="42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キーボード操作、表示範囲と欠測の説明、一覧の保存条件</w:t>
            </w:r>
          </w:p>
        </w:tc>
      </w:tr>
      <w:tr>
        <w:trPr>
          <w:cantSplit/>
        </w:trPr>
        <w:tc>
          <w:tcPr>
            <w:tcW w:type="dxa" w:w="124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運用分析</w:t>
            </w:r>
          </w:p>
        </w:tc>
        <w:tc>
          <w:tcPr>
            <w:tcW w:type="dxa" w:w="413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含み損益・実現損益・配当、集中度、為替感応度</w:t>
            </w:r>
          </w:p>
        </w:tc>
        <w:tc>
          <w:tcPr>
            <w:tcW w:type="dxa" w:w="42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資金移動を含む全体台帳、全資産TWR・XIRR・比較指数</w:t>
            </w:r>
          </w:p>
        </w:tc>
      </w:tr>
      <w:tr>
        <w:trPr>
          <w:cantSplit/>
        </w:trPr>
        <w:tc>
          <w:tcPr>
            <w:tcW w:type="dxa" w:w="124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シミュレーション</w:t>
            </w:r>
          </w:p>
        </w:tc>
        <w:tc>
          <w:tcPr>
            <w:tcW w:type="dxa" w:w="413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配当成長、購入計画、投信資産試算とXIRR</w:t>
            </w:r>
          </w:p>
        </w:tc>
        <w:tc>
          <w:tcPr>
            <w:tcW w:type="dxa" w:w="42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全資産の実績成績とは分離、条件と実績の再利用</w:t>
            </w:r>
          </w:p>
        </w:tc>
      </w:tr>
      <w:tr>
        <w:trPr>
          <w:cantSplit/>
        </w:trPr>
        <w:tc>
          <w:tcPr>
            <w:tcW w:type="dxa" w:w="124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NISA</w:t>
            </w:r>
          </w:p>
        </w:tc>
        <w:tc>
          <w:tcPr>
            <w:tcW w:type="dxa" w:w="413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口座区分別の評価額・取得額・損益</w:t>
            </w:r>
          </w:p>
        </w:tc>
        <w:tc>
          <w:tcPr>
            <w:tcW w:type="dxa" w:w="42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制度年度別の枠管理と台帳照合</w:t>
            </w:r>
          </w:p>
        </w:tc>
      </w:tr>
      <w:tr>
        <w:trPr>
          <w:cantSplit/>
        </w:trPr>
        <w:tc>
          <w:tcPr>
            <w:tcW w:type="dxa" w:w="124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保守</w:t>
            </w:r>
          </w:p>
        </w:tc>
        <w:tc>
          <w:tcPr>
            <w:tcW w:type="dxa" w:w="413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DB移行時バックアップ、API設定とログ</w:t>
            </w:r>
          </w:p>
        </w:tc>
        <w:tc>
          <w:tcPr>
            <w:tcW w:type="dxa" w:w="42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利用者向け復元・診断出力・世代管理</w:t>
            </w:r>
          </w:p>
        </w:tc>
      </w:tr>
    </w:tbl>
    <w:p>
      <w:pPr>
        <w:spacing w:after="0"/>
      </w:pPr>
    </w:p>
    <w:p>
      <w:pPr>
        <w:pStyle w:val="Heading2"/>
      </w:pPr>
      <w:r>
        <w:t>既存機能を保護する条件</w:t>
      </w:r>
    </w:p>
    <w:p>
      <w:r>
        <w:t>取込の原子性、同日同額の正当な複数取引、配当予定の実績置換、概算原価の保護を維持する。単純な同一金額・同一銘柄判定で重複を消さない。CSVプレビュー、ログ、グラフ、フィルターを一から作り直す計画にはしない。</w:t>
      </w:r>
    </w:p>
    <w:p>
      <w:r>
        <w:t>確認対象の主なコードは末尾の根拠一覧に記載する。配布中の実行ファイルと作業ツリーの一致、画面操作時の性能、10月18日時点の本番DB残高は、実装開始時の基準確認項目とする。</w:t>
      </w:r>
    </w:p>
    <w:p>
      <w:r>
        <w:br w:type="page"/>
      </w:r>
    </w:p>
    <w:p>
      <w:pPr>
        <w:pStyle w:val="Heading1"/>
      </w:pPr>
      <w:r>
        <w:t>2  類似アプリから採用する考え方</w:t>
      </w:r>
    </w:p>
    <w:tbl>
      <w:tblPr>
        <w:tblW w:type="auto" w:w="0"/>
        <w:jc w:val="center"/>
        <w:tblLayout w:type="fixed"/>
        <w:tblLook w:firstColumn="1" w:firstRow="1" w:lastColumn="0" w:lastRow="0" w:noHBand="0" w:noVBand="1" w:val="04A0"/>
      </w:tblPr>
      <w:tblGrid>
        <w:gridCol w:w="1928"/>
        <w:gridCol w:w="3685"/>
        <w:gridCol w:w="4025"/>
      </w:tblGrid>
      <w:tr>
        <w:trPr>
          <w:cantSplit/>
          <w:tblHeader/>
        </w:trPr>
        <w:tc>
          <w:tcPr>
            <w:tcW w:type="dxa" w:w="19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CE6F1"/>
          </w:tcPr>
          <w:p>
            <w:pPr>
              <w:spacing w:after="40" w:before="40"/>
            </w:pPr>
            <w:r>
              <w:rPr>
                <w:b/>
                <w:sz w:val="18"/>
              </w:rPr>
              <w:t>公式資料</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CE6F1"/>
          </w:tcPr>
          <w:p>
            <w:pPr>
              <w:spacing w:after="40" w:before="40"/>
            </w:pPr>
            <w:r>
              <w:rPr>
                <w:b/>
                <w:sz w:val="18"/>
              </w:rPr>
              <w:t>確認した機能</w:t>
            </w:r>
          </w:p>
        </w:tc>
        <w:tc>
          <w:tcPr>
            <w:tcW w:type="dxa" w:w="402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CE6F1"/>
          </w:tcPr>
          <w:p>
            <w:pPr>
              <w:spacing w:after="40" w:before="40"/>
            </w:pPr>
            <w:r>
              <w:rPr>
                <w:b/>
                <w:sz w:val="18"/>
              </w:rPr>
              <w:t>本アプリへの採用方針</w:t>
            </w:r>
          </w:p>
        </w:tc>
      </w:tr>
      <w:tr>
        <w:trPr>
          <w:cantSplit/>
        </w:trPr>
        <w:tc>
          <w:tcPr>
            <w:tcW w:type="dxa" w:w="19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Portfolio Performance [W1–W3]</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TWRとIRR、比較指数、CSV等の取込とデータ出力</w:t>
            </w:r>
          </w:p>
        </w:tc>
        <w:tc>
          <w:tcPr>
            <w:tcW w:type="dxa" w:w="402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金額増減と運用成績を分ける。資金台帳の完成後に導入</w:t>
            </w:r>
          </w:p>
        </w:tc>
      </w:tr>
      <w:tr>
        <w:trPr>
          <w:cantSplit/>
        </w:trPr>
        <w:tc>
          <w:tcPr>
            <w:tcW w:type="dxa" w:w="19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Sharesight [W4–W5]</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値上がり・配当・為替の影響、資産配分、将来収入、企業行動</w:t>
            </w:r>
          </w:p>
        </w:tc>
        <w:tc>
          <w:tcPr>
            <w:tcW w:type="dxa" w:w="402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損益の内訳と移管・分割等の履歴を利用者が追える設計</w:t>
            </w:r>
          </w:p>
        </w:tc>
      </w:tr>
      <w:tr>
        <w:trPr>
          <w:cantSplit/>
        </w:trPr>
        <w:tc>
          <w:tcPr>
            <w:tcW w:type="dxa" w:w="19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Stock Events [W6]</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配当表示、カレンダー連携、株価アラートのヘルプ</w:t>
            </w:r>
          </w:p>
        </w:tc>
        <w:tc>
          <w:tcPr>
            <w:tcW w:type="dxa" w:w="402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配当の確認待ち一覧と通知を既存分析に追加</w:t>
            </w:r>
          </w:p>
        </w:tc>
      </w:tr>
      <w:tr>
        <w:trPr>
          <w:cantSplit/>
        </w:trPr>
        <w:tc>
          <w:tcPr>
            <w:tcW w:type="dxa" w:w="19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W3C WAI [W7–W8]</w:t>
            </w:r>
          </w:p>
        </w:tc>
        <w:tc>
          <w:tcPr>
            <w:tcW w:type="dxa" w:w="368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色だけに依存しない情報、ホバーやフォーカスで現れる内容の扱い</w:t>
            </w:r>
          </w:p>
        </w:tc>
        <w:tc>
          <w:tcPr>
            <w:tcW w:type="dxa" w:w="402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線種・名前・数値表を併用し、マウスなしでも値を確認</w:t>
            </w:r>
          </w:p>
        </w:tc>
      </w:tr>
    </w:tbl>
    <w:p>
      <w:pPr>
        <w:spacing w:after="0"/>
      </w:pPr>
    </w:p>
    <w:p>
      <w:r>
        <w:t>比較対象は機能設計の参考であり、各製品の日本の税務・証券会社への対応を同等とみなすものではない。W3Cの資料はWindowsアプリの操作設計の参考として用い、適合認証を意味しない。</w:t>
      </w:r>
    </w:p>
    <w:p>
      <w:pPr>
        <w:pStyle w:val="Heading2"/>
      </w:pPr>
      <w:r>
        <w:t>優先度の決め方</w:t>
      </w:r>
    </w:p>
    <w:p>
      <w:r>
        <w:t>P0は誤集計や復元不能が資産判断に直結するもの。P1は日常の照合・修正・閲覧の障害を解消するもの。P2は信頼できるデータを前提に判断力と利便性を高めるもの。P3は外部データの費用・権利・保守負担が大きいものとする。</w:t>
      </w:r>
    </w:p>
    <w:p>
      <w:r>
        <w:t>同じ優先度では、後続機能の前提になるもの、利用頻度が高いもの、実装範囲が小さいものの順で着手する。見栄えだけの変更よりも、誤読しやすい表記と集計範囲の説明を先に直す。</w:t>
      </w:r>
    </w:p>
    <w:p>
      <w:pPr>
        <w:pStyle w:val="Heading2"/>
      </w:pPr>
      <w:r>
        <w:t>今回の調査から得た重要な判断</w:t>
      </w:r>
    </w:p>
    <w:p>
      <w:r>
        <w:t>現在の総合損益率は、含み損益・実現損益・累計配当を現在の取得額で割る構造である。これは入出金を調整した期間運用利回りではない。数値を廃止するより先に名称と分母を明示し、別機能として期間成績を導入する。</w:t>
      </w:r>
    </w:p>
    <w:p>
      <w:r>
        <w:t>投信シミュレーションにXIRRがあっても、全資産の実績成績が実装済みとは扱わない。同様に、移行時バックアップや取込失敗時のロールバックがあっても、利用者が成功済みの誤取込を戻せるとは限らない。</w:t>
      </w:r>
    </w:p>
    <w:p>
      <w:r>
        <w:br w:type="page"/>
      </w:r>
    </w:p>
    <w:p>
      <w:pPr>
        <w:pStyle w:val="Heading1"/>
      </w:pPr>
      <w:r>
        <w:t>3  開発項目と優先順位</w:t>
      </w:r>
    </w:p>
    <w:tbl>
      <w:tblPr>
        <w:tblW w:type="auto" w:w="0"/>
        <w:jc w:val="center"/>
        <w:tblLayout w:type="fixed"/>
        <w:tblLook w:firstColumn="1" w:firstRow="1" w:lastColumn="0" w:lastRow="0" w:noHBand="0" w:noVBand="1" w:val="04A0"/>
      </w:tblPr>
      <w:tblGrid>
        <w:gridCol w:w="680"/>
        <w:gridCol w:w="907"/>
        <w:gridCol w:w="4592"/>
        <w:gridCol w:w="680"/>
        <w:gridCol w:w="2778"/>
      </w:tblGrid>
      <w:tr>
        <w:trPr>
          <w:cantSplit/>
          <w:tblHeader/>
        </w:trPr>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CE6F1"/>
          </w:tcPr>
          <w:p>
            <w:pPr>
              <w:spacing w:after="40" w:before="40"/>
            </w:pPr>
            <w:r>
              <w:rPr>
                <w:b/>
                <w:sz w:val="18"/>
              </w:rPr>
              <w:t>ID</w:t>
            </w:r>
          </w:p>
        </w:tc>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CE6F1"/>
          </w:tcPr>
          <w:p>
            <w:pPr>
              <w:spacing w:after="40" w:before="40"/>
            </w:pPr>
            <w:r>
              <w:rPr>
                <w:b/>
                <w:sz w:val="18"/>
              </w:rPr>
              <w:t>優先度</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CE6F1"/>
          </w:tcPr>
          <w:p>
            <w:pPr>
              <w:spacing w:after="40" w:before="40"/>
            </w:pPr>
            <w:r>
              <w:rPr>
                <w:b/>
                <w:sz w:val="18"/>
              </w:rPr>
              <w:t>実装単位</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CE6F1"/>
          </w:tcPr>
          <w:p>
            <w:pPr>
              <w:spacing w:after="40" w:before="40"/>
            </w:pPr>
            <w:r>
              <w:rPr>
                <w:b/>
                <w:sz w:val="18"/>
              </w:rPr>
              <w:t>規模</w:t>
            </w:r>
          </w:p>
        </w:tc>
        <w:tc>
          <w:tcPr>
            <w:tcW w:type="dxa" w:w="27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CE6F1"/>
          </w:tcPr>
          <w:p>
            <w:pPr>
              <w:spacing w:after="40" w:before="40"/>
            </w:pPr>
            <w:r>
              <w:rPr>
                <w:b/>
                <w:sz w:val="18"/>
              </w:rPr>
              <w:t>前提</w:t>
            </w:r>
          </w:p>
        </w:tc>
      </w:tr>
      <w:tr>
        <w:trPr>
          <w:cantSplit/>
        </w:trPr>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F01</w:t>
            </w:r>
          </w:p>
        </w:tc>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P0</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取込照合と取込履歴</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L</w:t>
            </w:r>
          </w:p>
        </w:tc>
        <w:tc>
          <w:tcPr>
            <w:tcW w:type="dxa" w:w="27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既存取込</w:t>
            </w:r>
          </w:p>
        </w:tc>
      </w:tr>
      <w:tr>
        <w:trPr>
          <w:cantSplit/>
        </w:trPr>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F02</w:t>
            </w:r>
          </w:p>
        </w:tc>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P0</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バックアップと復元</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M</w:t>
            </w:r>
          </w:p>
        </w:tc>
        <w:tc>
          <w:tcPr>
            <w:tcW w:type="dxa" w:w="27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DB世代管理</w:t>
            </w:r>
          </w:p>
        </w:tc>
      </w:tr>
      <w:tr>
        <w:trPr>
          <w:cantSplit/>
        </w:trPr>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F03</w:t>
            </w:r>
          </w:p>
        </w:tc>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P0</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数値の根拠と品質統一</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M</w:t>
            </w:r>
          </w:p>
        </w:tc>
        <w:tc>
          <w:tcPr>
            <w:tcW w:type="dxa" w:w="27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既存品質判定</w:t>
            </w:r>
          </w:p>
        </w:tc>
      </w:tr>
      <w:tr>
        <w:trPr>
          <w:cantSplit/>
        </w:trPr>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F04</w:t>
            </w:r>
          </w:p>
        </w:tc>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P1</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口座移管と企業行動の台帳</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L</w:t>
            </w:r>
          </w:p>
        </w:tc>
        <w:tc>
          <w:tcPr>
            <w:tcW w:type="dxa" w:w="27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F01 F03</w:t>
            </w:r>
          </w:p>
        </w:tc>
      </w:tr>
      <w:tr>
        <w:trPr>
          <w:cantSplit/>
        </w:trPr>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F05</w:t>
            </w:r>
          </w:p>
        </w:tc>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P1</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取得原価の補完画面</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M</w:t>
            </w:r>
          </w:p>
        </w:tc>
        <w:tc>
          <w:tcPr>
            <w:tcW w:type="dxa" w:w="27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F03 F04</w:t>
            </w:r>
          </w:p>
        </w:tc>
      </w:tr>
      <w:tr>
        <w:trPr>
          <w:cantSplit/>
        </w:trPr>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F06</w:t>
            </w:r>
          </w:p>
        </w:tc>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P1</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配当確認と状態の整理</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M</w:t>
            </w:r>
          </w:p>
        </w:tc>
        <w:tc>
          <w:tcPr>
            <w:tcW w:type="dxa" w:w="27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F01 F03</w:t>
            </w:r>
          </w:p>
        </w:tc>
      </w:tr>
      <w:tr>
        <w:trPr>
          <w:cantSplit/>
        </w:trPr>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F07</w:t>
            </w:r>
          </w:p>
        </w:tc>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P1</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検索と一覧の改善</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M</w:t>
            </w:r>
          </w:p>
        </w:tc>
        <w:tc>
          <w:tcPr>
            <w:tcW w:type="dxa" w:w="27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F03</w:t>
            </w:r>
          </w:p>
        </w:tc>
      </w:tr>
      <w:tr>
        <w:trPr>
          <w:cantSplit/>
        </w:trPr>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F08</w:t>
            </w:r>
          </w:p>
        </w:tc>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P1</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グラフの統一操作</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M</w:t>
            </w:r>
          </w:p>
        </w:tc>
        <w:tc>
          <w:tcPr>
            <w:tcW w:type="dxa" w:w="27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F03</w:t>
            </w:r>
          </w:p>
        </w:tc>
      </w:tr>
      <w:tr>
        <w:trPr>
          <w:cantSplit/>
        </w:trPr>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F09</w:t>
            </w:r>
          </w:p>
        </w:tc>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P1</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更新と障害復旧の導線</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M</w:t>
            </w:r>
          </w:p>
        </w:tc>
        <w:tc>
          <w:tcPr>
            <w:tcW w:type="dxa" w:w="27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F01 F02</w:t>
            </w:r>
          </w:p>
        </w:tc>
      </w:tr>
      <w:tr>
        <w:trPr>
          <w:cantSplit/>
        </w:trPr>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F10</w:t>
            </w:r>
          </w:p>
        </w:tc>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P2</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現金と資金移動の台帳</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L</w:t>
            </w:r>
          </w:p>
        </w:tc>
        <w:tc>
          <w:tcPr>
            <w:tcW w:type="dxa" w:w="27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F01 F04</w:t>
            </w:r>
          </w:p>
        </w:tc>
      </w:tr>
      <w:tr>
        <w:trPr>
          <w:cantSplit/>
        </w:trPr>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F11</w:t>
            </w:r>
          </w:p>
        </w:tc>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P2</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期間成績と指数比較</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L</w:t>
            </w:r>
          </w:p>
        </w:tc>
        <w:tc>
          <w:tcPr>
            <w:tcW w:type="dxa" w:w="27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F10 履歴評価</w:t>
            </w:r>
          </w:p>
        </w:tc>
      </w:tr>
      <w:tr>
        <w:trPr>
          <w:cantSplit/>
        </w:trPr>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F12</w:t>
            </w:r>
          </w:p>
        </w:tc>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P2</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配分目標と調整案</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M</w:t>
            </w:r>
          </w:p>
        </w:tc>
        <w:tc>
          <w:tcPr>
            <w:tcW w:type="dxa" w:w="27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F03 F10</w:t>
            </w:r>
          </w:p>
        </w:tc>
      </w:tr>
      <w:tr>
        <w:trPr>
          <w:cantSplit/>
        </w:trPr>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F13</w:t>
            </w:r>
          </w:p>
        </w:tc>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P2</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配当カレンダーと通知</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M</w:t>
            </w:r>
          </w:p>
        </w:tc>
        <w:tc>
          <w:tcPr>
            <w:tcW w:type="dxa" w:w="27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F06 F09</w:t>
            </w:r>
          </w:p>
        </w:tc>
      </w:tr>
      <w:tr>
        <w:trPr>
          <w:cantSplit/>
        </w:trPr>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F14</w:t>
            </w:r>
          </w:p>
        </w:tc>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P2</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月次報告とデータ出力</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M</w:t>
            </w:r>
          </w:p>
        </w:tc>
        <w:tc>
          <w:tcPr>
            <w:tcW w:type="dxa" w:w="27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F03 F06</w:t>
            </w:r>
          </w:p>
        </w:tc>
      </w:tr>
      <w:tr>
        <w:trPr>
          <w:cantSplit/>
        </w:trPr>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F15</w:t>
            </w:r>
          </w:p>
        </w:tc>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P2</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NISA枠の履歴管理</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M</w:t>
            </w:r>
          </w:p>
        </w:tc>
        <w:tc>
          <w:tcPr>
            <w:tcW w:type="dxa" w:w="27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F04 F10</w:t>
            </w:r>
          </w:p>
        </w:tc>
      </w:tr>
      <w:tr>
        <w:trPr>
          <w:cantSplit/>
        </w:trPr>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F16</w:t>
            </w:r>
          </w:p>
        </w:tc>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P3</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外部データの自動連携</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L</w:t>
            </w:r>
          </w:p>
        </w:tc>
        <w:tc>
          <w:tcPr>
            <w:tcW w:type="dxa" w:w="27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F01 F09</w:t>
            </w:r>
          </w:p>
        </w:tc>
      </w:tr>
      <w:tr>
        <w:trPr>
          <w:cantSplit/>
        </w:trPr>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F17</w:t>
            </w:r>
          </w:p>
        </w:tc>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P3</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投信とETFの内部構成</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L</w:t>
            </w:r>
          </w:p>
        </w:tc>
        <w:tc>
          <w:tcPr>
            <w:tcW w:type="dxa" w:w="27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F12 データ契約</w:t>
            </w:r>
          </w:p>
        </w:tc>
      </w:tr>
      <w:tr>
        <w:trPr>
          <w:cantSplit/>
        </w:trPr>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F18</w:t>
            </w:r>
          </w:p>
        </w:tc>
        <w:tc>
          <w:tcPr>
            <w:tcW w:type="dxa" w:w="90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P3</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実績連携のシナリオ拡張</w:t>
            </w:r>
          </w:p>
        </w:tc>
        <w:tc>
          <w:tcPr>
            <w:tcW w:type="dxa" w:w="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M</w:t>
            </w:r>
          </w:p>
        </w:tc>
        <w:tc>
          <w:tcPr>
            <w:tcW w:type="dxa" w:w="27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F11 F12</w:t>
            </w:r>
          </w:p>
        </w:tc>
      </w:tr>
    </w:tbl>
    <w:p>
      <w:pPr>
        <w:spacing w:after="0"/>
      </w:pPr>
    </w:p>
    <w:p>
      <w:r>
        <w:t>規模は相対評価。Mは複数画面またはサービスにまたがる変更、Lは新規台帳・移行・外部データを伴う変更を表す。工数や作業回数の確約ではない。詳細見積りは受入条件、既存テスト、データ移行の範囲を確定してから行う。</w:t>
      </w:r>
    </w:p>
    <w:p>
      <w:r>
        <w:br w:type="page"/>
      </w:r>
    </w:p>
    <w:p>
      <w:pPr>
        <w:pStyle w:val="Heading1"/>
      </w:pPr>
      <w:r>
        <w:t>4  最優先のデータ信頼性</w:t>
      </w:r>
    </w:p>
    <w:p>
      <w:pPr>
        <w:pStyle w:val="Heading2"/>
      </w:pPr>
      <w:r>
        <w:t>F01  P0  取込を金額と件数で照合する</w:t>
      </w:r>
    </w:p>
    <w:p>
      <w:r>
        <w:t>仕様　既存プレビューに新規・更新・同一・競合・対象外・要確認の行別結果を追加する。ファイルのハッシュ、形式、対象期間、証券会社、取込日時、パーサー版を取込IDに関連付ける。反映前後の数量・取得額・配当額の差分を表示し、競合は選択が決まるまで確定対象から外す。</w:t>
      </w:r>
    </w:p>
    <w:p>
      <w:r>
        <w:t>完了判定　同一ファイル再取込で残高と実績が増えない。同日同額の別取引は保持する。外貨と円貨で表現された同一配当は根拠を残して統合できる。途中例外では全変更が戻り、各分類の件数合計が入力行数と一致する。</w:t>
      </w:r>
    </w:p>
    <w:p>
      <w:r>
        <w:t>依存関係　既存RunImportAtomically、取込ログ、要確認テーブルを拡張。ファイルハッシュだけを取引重複判定に使わない。</w:t>
      </w:r>
    </w:p>
    <w:p>
      <w:pPr>
        <w:pStyle w:val="Heading2"/>
      </w:pPr>
      <w:r>
        <w:t>F02  P0  復元をアプリ内で完結する</w:t>
      </w:r>
    </w:p>
    <w:p>
      <w:r>
        <w:t>仕様　取込・移行前の整合したバックアップを記録し、作成日時・版・理由・容量を一覧化する。復元時は対象世代の内容を検証し、現DBを退避してから排他的に差し替える。成功済み取込の取消は、まずDB全体の復元として提供する。</w:t>
      </w:r>
    </w:p>
    <w:p>
      <w:r>
        <w:t>完了判定　取込前の件数と金額に戻せる。破損・非対応スキーマは復元前に拒否する。復元後に追加した編集が失われる範囲を事前表示する。バックアップ保存失敗時は書込を開始しない。</w:t>
      </w:r>
    </w:p>
    <w:p>
      <w:r>
        <w:t>依存関係　既存SQLiteバックアップ方式を再利用。取込単位の選択的巻戻しは後続編集との依存解決が必要なため別段階。</w:t>
      </w:r>
    </w:p>
    <w:p>
      <w:pPr>
        <w:pStyle w:val="Heading2"/>
      </w:pPr>
      <w:r>
        <w:t>F03  P0  数値の根拠を全画面で統一する</w:t>
      </w:r>
    </w:p>
    <w:p>
      <w:r>
        <w:t>仕様　確定・概算・未確認・更新遅れを共通モデルで管理する。値をクリックすると元CSV行、採用理由、換算日、算式、更新履歴を表示する。全体集計には概算の件数と対象金額、計算対象外の評価額を併記する。</w:t>
      </w:r>
    </w:p>
    <w:p>
      <w:r>
        <w:t>完了判定　取得原価不明を0円の原価や0円の損益として見せない。概算を含む一覧・詳細・NISA・ダッシュボードが同じ状態を表示する。データ不足を解消すると全画面の状態が揃って更新される。</w:t>
      </w:r>
    </w:p>
    <w:p>
      <w:r>
        <w:t>依存関係　DataQualityService、InvestmentCalculator、各表示モデルに共通の計算結果メタデータを導入する。</w:t>
      </w:r>
    </w:p>
    <w:p>
      <w:r>
        <w:br w:type="page"/>
      </w:r>
    </w:p>
    <w:p>
      <w:pPr>
        <w:pStyle w:val="Heading1"/>
      </w:pPr>
      <w:r>
        <w:t>5  口座と配当の修正操作</w:t>
      </w:r>
    </w:p>
    <w:p>
      <w:pPr>
        <w:pStyle w:val="Heading2"/>
      </w:pPr>
      <w:r>
        <w:t>F04  P1  移管と企業行動を履歴で管理する</w:t>
      </w:r>
    </w:p>
    <w:p>
      <w:r>
        <w:t>仕様　口座移管・銘柄変更・分割を日付付きイベントとして管理する。移管元と先、数量、取得原価の引継ぎ、証拠資料、確認状態を保存する。分割の既存モデルは活用し、合併・スピンオフは原価配分の根拠を確認する別イベントとする。</w:t>
      </w:r>
    </w:p>
    <w:p>
      <w:r>
        <w:t>完了判定　移管しても全体数量・経済的な原価が意図せず増減しない。移管前後の日付で口座別残高が再現される。「特定／一般」しか分からないCSVから片方を自動断定しない。</w:t>
      </w:r>
    </w:p>
    <w:p>
      <w:r>
        <w:t>依存関係　F01 F03。CMBTは現在の口座を証拠で確定してから移行する。口座変更だけで過去の取引原価を消さない。</w:t>
      </w:r>
    </w:p>
    <w:p>
      <w:pPr>
        <w:pStyle w:val="Heading2"/>
      </w:pPr>
      <w:r>
        <w:t>F05  P1  取得原価を根拠付きで補完する</w:t>
      </w:r>
    </w:p>
    <w:p>
      <w:r>
        <w:t>仕様　確定円額の入力と参考為替による概算を別欄にする。根拠の優先順位は、証券会社の取得円額、取引別の実際の決済額・為替、取引日別の公開参考為替とする。基準・データ源・取得日を保存し、確定値が判明したときの差額を表示して置換する。</w:t>
      </w:r>
    </w:p>
    <w:p>
      <w:r>
        <w:t>完了判定　既存のReferenceAcquisition系フィールドを維持する。数量や原価基準が変わった場合は概算を再検証する。過去為替がない取引に現在為替や1円を暗黙適用しない。概算を確定値として出力しない。</w:t>
      </w:r>
    </w:p>
    <w:p>
      <w:r>
        <w:t>依存関係　F03 F04。自動補完の前に取得日・外貨原価・企業行動の整合を検証する。詳細規則は第9章。</w:t>
      </w:r>
    </w:p>
    <w:p>
      <w:pPr>
        <w:pStyle w:val="Heading2"/>
      </w:pPr>
      <w:r>
        <w:t>F06  P1  配当の確認待ちを処理できるようにする</w:t>
      </w:r>
    </w:p>
    <w:p>
      <w:r>
        <w:t>仕様　実績、将来予定、推定、期限経過で未照合、権利不明を分ける。確認待ちから元CSVと候補実績を開き、紐付け・保留・対象外の理由を記録する。銘柄・証券会社・口座・入金日・通貨を一覧の識別情報にする。</w:t>
      </w:r>
    </w:p>
    <w:p>
      <w:r>
        <w:t>完了判定　NISA10株と特定20株の配当を重複として削除しない。予定と実績が照合されれば二重加算されない。期限経過分は将来収入に混ぜず、未解決金額として表示する。</w:t>
      </w:r>
    </w:p>
    <w:p>
      <w:r>
        <w:t>依存関係　既存DividendReconciliationServiceと予定再生成を拡張。権利日と入金日を別項目として扱う。</w:t>
      </w:r>
    </w:p>
    <w:p>
      <w:r>
        <w:br w:type="page"/>
      </w:r>
    </w:p>
    <w:p>
      <w:pPr>
        <w:pStyle w:val="Heading1"/>
      </w:pPr>
      <w:r>
        <w:t>6  毎日の操作を分かりやすくする</w:t>
      </w:r>
    </w:p>
    <w:p>
      <w:pPr>
        <w:pStyle w:val="Heading2"/>
      </w:pPr>
      <w:r>
        <w:t>F07  P1  一覧を探せる作業画面にする</w:t>
      </w:r>
    </w:p>
    <w:p>
      <w:r>
        <w:t>仕様　既存の表示・単位・列の切替に、銘柄名／コード検索、証券会社・口座・分野・品質の複合条件を追加する。条件と列幅・並び順を保存し、表示中の件数と合計を示す。銘柄集約行から口座別内訳へ展開できるようにする。</w:t>
      </w:r>
    </w:p>
    <w:p>
      <w:r>
        <w:t>完了判定　フィルターを解除すれば全件に戻る。集約と口座別で合計が一致する。銘柄名と口座の識別に横スクロールを要しない。大量データでも行の仮想化を維持する。</w:t>
      </w:r>
    </w:p>
    <w:p>
      <w:r>
        <w:t>依存関係　F03。既存の固定列と列モードを利用する。表示条件を変更しても保存済みデータは変更しない。</w:t>
      </w:r>
    </w:p>
    <w:p>
      <w:pPr>
        <w:pStyle w:val="Heading2"/>
      </w:pPr>
      <w:r>
        <w:t>F08  P1  グラフの意味と操作を統一する</w:t>
      </w:r>
    </w:p>
    <w:p>
      <w:r>
        <w:t>仕様　実績は青の実線、予定は紫の破線、前年は灰の線、目標は橙の点線を基本とし、凡例に名前を常時表示する。月別は1〜12月、実績は基準日より後を描かず、予測は別系列とする。ポイントした月の各値をまとめて表示し、左右キーと表表示でも確認可能にする。</w:t>
      </w:r>
    </w:p>
    <w:p>
      <w:r>
        <w:t>完了判定　白黒表示でも線種とラベルから意味が分かる。0と欠測は別表示。未記録期間を0円で補完しない。1366×768と1920×1080、拡大率100％・150％で凡例やツールチップが切れない。</w:t>
      </w:r>
    </w:p>
    <w:p>
      <w:r>
        <w:t>依存関係　既存折れ線コントロールを改良。色の意味は銘柄別構成図と混同しないよう、構成図には銘柄凡例を別表示する。[W7 W8]</w:t>
      </w:r>
    </w:p>
    <w:p>
      <w:pPr>
        <w:pStyle w:val="Heading2"/>
      </w:pPr>
      <w:r>
        <w:t>F09  P1  更新状況と失敗後の行動を明示する</w:t>
      </w:r>
    </w:p>
    <w:p>
      <w:r>
        <w:t>仕様　画面上部に残高基準日、株価日時、為替日時、取込日時を区別して表示する。更新中・完了・一部失敗を表示し、失敗した対象だけ再試行する。例外は診断IDと対処方法を示し、設定画面から機密情報を除いた診断情報を出力できるようにする。</w:t>
      </w:r>
    </w:p>
    <w:p>
      <w:r>
        <w:t>完了判定　CSVメニュー表示や形式不正でアプリが終了しない。通信切断時は最後の値と更新遅れを示す。APIキーや認証情報をログ出力しない。二重起動や書込競合を検知して案内する。</w:t>
      </w:r>
    </w:p>
    <w:p>
      <w:r>
        <w:t>依存関係　既存非同期取込・取消・APIログを継続利用。F01 F02の整合性を優先し、保存後の画面更新失敗と保存失敗を区別する。</w:t>
      </w:r>
    </w:p>
    <w:p>
      <w:r>
        <w:br w:type="page"/>
      </w:r>
    </w:p>
    <w:p>
      <w:pPr>
        <w:pStyle w:val="Heading1"/>
      </w:pPr>
      <w:r>
        <w:t>7  分析機能を拡張する</w:t>
      </w:r>
    </w:p>
    <w:p>
      <w:pPr>
        <w:pStyle w:val="Heading2"/>
      </w:pPr>
      <w:r>
        <w:t>F10  P2  現金と資金移動を台帳化する</w:t>
      </w:r>
    </w:p>
    <w:p>
      <w:r>
        <w:t>仕様　JPY・外貨の現金口座に入出金、両替、売買決済、配当、税・手数料を記録する。口座間振替は対となる移動IDで結び、全体では外部入出金に含めない。残高CSVと取引台帳の照合差額を表示する。</w:t>
      </w:r>
    </w:p>
    <w:p>
      <w:r>
        <w:t>完了判定　配当を現金と総資産に二重加算しない。売却後の資金が資産から消えない。開始残高を明示し、履歴が不足する期間は完全な再現と表示しない。</w:t>
      </w:r>
    </w:p>
    <w:p>
      <w:r>
        <w:t>依存関係　F01 F04。既存PortfolioSnapshot.CashValueJpyの値保持だけでなく、残高の発生原因を扱う。</w:t>
      </w:r>
    </w:p>
    <w:p>
      <w:pPr>
        <w:pStyle w:val="Heading2"/>
      </w:pPr>
      <w:r>
        <w:t>F11  P2  期間成績と比較指数を追加する</w:t>
      </w:r>
    </w:p>
    <w:p>
      <w:r>
        <w:t>仕様　資産額の推移、期間損益、時間加重収益率TWR、金額加重収益率XIRRを別指標とする。全資産と口座別を切替え、ベンチマークは同じ期間・通貨・配当条件で比較する。値上がり・配当・為替・費用の内訳を表示する。</w:t>
      </w:r>
    </w:p>
    <w:p>
      <w:r>
        <w:t>完了判定　価格変化がなく入金だけのケースで運用収益率が上がらない。売買代金と配当は全体台帳内の移動として扱う。データ不足またはXIRR解が一意に得られないときは理由を表示する。</w:t>
      </w:r>
    </w:p>
    <w:p>
      <w:r>
        <w:t>依存関係　F10と日次評価履歴が前提。投信試算用XIRRの実装は検証した上で共通化する。[W1 W2 W4]</w:t>
      </w:r>
    </w:p>
    <w:p>
      <w:pPr>
        <w:pStyle w:val="Heading2"/>
      </w:pPr>
      <w:r>
        <w:t>F12  P2  資産配分の目標と差額を示す</w:t>
      </w:r>
    </w:p>
    <w:p>
      <w:r>
        <w:t>仕様　既存の国別・分野別構成に目標比率、現在との差、調整金額を追加する。銘柄・通貨・証券会社・資産種別でも切り替える。未分類は独立して残し、分類根拠・日付・手動修正を保存する。</w:t>
      </w:r>
    </w:p>
    <w:p>
      <w:r>
        <w:t>完了判定　分類別合計が全体評価額と一致する。目標比率合計は100％として検証する。現金追加だけで調整する案と売買を含む案を区別する。分類不能を任意の分野に自動で押し込まない。</w:t>
      </w:r>
    </w:p>
    <w:p>
      <w:r>
        <w:t>依存関係　F03 F10。既存の集中度・為替感応度も再利用。売買の提案値には単元、手数料、税の扱いを表示し、自動発注は行わない。</w:t>
      </w:r>
    </w:p>
    <w:p>
      <w:r>
        <w:br w:type="page"/>
      </w:r>
    </w:p>
    <w:p>
      <w:pPr>
        <w:pStyle w:val="Heading1"/>
      </w:pPr>
      <w:r>
        <w:t>8  便利な機能と将来候補</w:t>
      </w:r>
    </w:p>
    <w:p>
      <w:pPr>
        <w:pStyle w:val="Heading2"/>
      </w:pPr>
      <w:r>
        <w:t>F13  P2  確認すべき予定だけを通知する</w:t>
      </w:r>
    </w:p>
    <w:p>
      <w:r>
        <w:t>仕様　配当入金予定、期限経過の未照合、価格更新失敗を一覧とカレンダーにまとめる。通知は種類別に選択でき、既読・延期・消去を用意する。外部カレンダーはまずICS出力とする。</w:t>
      </w:r>
    </w:p>
    <w:p>
      <w:r>
        <w:t>完了判定　同じ事象を繰り返し通知しない。推定日には推定と表示する。既存予定を再生成しても重複通知しない。</w:t>
      </w:r>
    </w:p>
    <w:p>
      <w:r>
        <w:t>依存関係　F06 F09。[W6]</w:t>
      </w:r>
    </w:p>
    <w:p>
      <w:pPr>
        <w:pStyle w:val="Heading2"/>
      </w:pPr>
      <w:r>
        <w:t>F14  P2  報告とデータの持ち出しを整える</w:t>
      </w:r>
    </w:p>
    <w:p>
      <w:r>
        <w:t>仕様　月次の資産・損益・配当・配分・未解決事項をPDFにまとめ、明細はCSVへ出力する。基準日、集計条件、通貨、概算の有無と算式版を添える。</w:t>
      </w:r>
    </w:p>
    <w:p>
      <w:r>
        <w:t>完了判定　表示中の条件と出力結果が一致する。CSVを再読込して桁・符号・日付が保たれ、表計算で数式として実行される文字列を安全に扱う。</w:t>
      </w:r>
    </w:p>
    <w:p>
      <w:r>
        <w:t>依存関係　F03 F06。税務申告用の確定資料と表記しない。</w:t>
      </w:r>
    </w:p>
    <w:p>
      <w:pPr>
        <w:pStyle w:val="Heading2"/>
      </w:pPr>
      <w:r>
        <w:t>F15  P2  NISAの評価と枠の使用量を分ける</w:t>
      </w:r>
    </w:p>
    <w:p>
      <w:r>
        <w:t>仕様　現在の評価サマリーに加え、制度年度・口座別の取得台帳から枠利用を確認する。制度ルールの適用日と版を持ち、残高ではなく取得履歴を基に計算する。</w:t>
      </w:r>
    </w:p>
    <w:p>
      <w:r>
        <w:t>完了判定　評価益で枠使用額が増えない。履歴不足時は残り枠を断定しない。証券会社の記録と差額を照合できる。</w:t>
      </w:r>
    </w:p>
    <w:p>
      <w:r>
        <w:t>依存関係　F04 F10。具体的な上限・再利用規則は実装時に金融庁等の現行資料を検証する。</w:t>
      </w:r>
    </w:p>
    <w:p>
      <w:pPr>
        <w:pStyle w:val="Heading2"/>
      </w:pPr>
      <w:r>
        <w:t>P3の採用条件</w:t>
      </w:r>
    </w:p>
    <w:p>
      <w:r>
        <w:t>F16 自動連携：まず指定フォルダーの新規CSV検出とプレビューへの誘導を追加する。無確認の自動確定はP0の検証基盤が完成してから検討する。証券会社の認証を伴う連携は提供API、利用条件、費用、認証情報保護を確認する。</w:t>
      </w:r>
    </w:p>
    <w:p>
      <w:r>
        <w:t>F17 投信内訳：公表日の異なる組入銘柄・国・業種比率を、データの鮮度とカバー率付きで表示する。ファンドと直接保有を二重集計しない。F18 シナリオ拡張：既存試算に積立変更、配当減額、為替変動を加え、条件を保存して比較する。いずれも確定した将来値とは表示しない。</w:t>
      </w:r>
    </w:p>
    <w:p>
      <w:r>
        <w:br w:type="page"/>
      </w:r>
    </w:p>
    <w:p>
      <w:pPr>
        <w:pStyle w:val="Heading1"/>
      </w:pPr>
      <w:r>
        <w:t>9  画面と計算の共通仕様</w:t>
      </w:r>
    </w:p>
    <w:p>
      <w:pPr>
        <w:pStyle w:val="Heading2"/>
      </w:pPr>
      <w:r>
        <w:t>情報の配置</w:t>
      </w:r>
    </w:p>
    <w:p>
      <w:r>
        <w:t>ダッシュボード上部は「基準日・データ状態」「評価額・含み損益・受取配当」「要確認件数」の順とする。続いて資産推移と構成、配当の順に配置する。要確認を押すと対象行に移動する。大きな空白カードや同じ数値の反復を減らし、詳細は展開表示にする。</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CE6F1"/>
          </w:tcPr>
          <w:p>
            <w:pPr>
              <w:spacing w:after="40" w:before="40"/>
            </w:pPr>
            <w:r>
              <w:rPr>
                <w:b/>
                <w:sz w:val="18"/>
              </w:rPr>
              <w:t>現状で誤解しやすい語</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CE6F1"/>
          </w:tcPr>
          <w:p>
            <w:pPr>
              <w:spacing w:after="40" w:before="40"/>
            </w:pPr>
            <w:r>
              <w:rPr>
                <w:b/>
                <w:sz w:val="18"/>
              </w:rPr>
              <w:t>推奨する表示</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総合損益率</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損益合計 ÷ 現在保有分の取得額 と分母を併記。期間利回りと区別</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予定</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入金予定／推定／期限経過で未照合 に分ける</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算出不可</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取得時の円額未確認 など原因と「補完する」を表示</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更新日</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残高基準日／株価日時／為替日時／取込日時 に分ける</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UnknownやSpecific</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口座不明／特定口座。内部コードは通常画面に出さない</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0円と空欄</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確認済みの0円／未取得／対象外 を区別</w:t>
            </w:r>
          </w:p>
        </w:tc>
      </w:tr>
    </w:tbl>
    <w:p>
      <w:pPr>
        <w:spacing w:after="0"/>
      </w:pPr>
    </w:p>
    <w:p>
      <w:pPr>
        <w:pStyle w:val="Heading2"/>
      </w:pPr>
      <w:r>
        <w:t>取得原価と損益の計算規則</w:t>
      </w:r>
    </w:p>
    <w:p>
      <w:r>
        <w:t>確定の円取得額を優先する。概算の場合は、取引ごとの外貨取得額×取引日の参考為替を合計する。休業日等で値がなければ直前の公表営業日を採用し、採用日を保存する。取得日や原価配分の根拠がなければ参考為替で埋めず、補完待ちとする。手数料の内外と外貨原価の定義も記録する。</w:t>
      </w:r>
    </w:p>
    <w:p>
      <w:r>
        <w:t>中間計算はdecimalで保持し、合計後の円表示で四捨五入する。証券会社の確定円額は再計算値で上書きしない。含み損益＝現在評価額－採用した取得原価。概算原価を採用した場合は損益と損益率にも概算状態を引き継ぐ。税務用原価とは別の参考評価として管理する。</w:t>
      </w:r>
    </w:p>
    <w:p>
      <w:pPr>
        <w:pStyle w:val="Heading2"/>
      </w:pPr>
      <w:r>
        <w:t>期間成績の計算規則</w:t>
      </w:r>
    </w:p>
    <w:p>
      <w:r>
        <w:t>TWRは外部入金を日初、外部出金を日末とする採用規則を明示し、日次係数＝（日末評価額＋外部出金）÷（前日末評価額＋外部入金）を期間で連乗して1を引く。分母0や評価欠測は算出条件を満たさない扱いとする。全体の売買・配当・口座間移動は外部入出金にしない。[W1]</w:t>
      </w:r>
    </w:p>
    <w:p>
      <w:r>
        <w:t>XIRRは外部拠出を負、引出と期末評価額を正として日付付きで解く。年率であることを明示し、短期間の年率を期間収益率と混同させない。過去履歴の復元値と実測スナップショットは区別する。</w:t>
      </w:r>
    </w:p>
    <w:p>
      <w:r>
        <w:br w:type="page"/>
      </w:r>
    </w:p>
    <w:p>
      <w:pPr>
        <w:pStyle w:val="Heading1"/>
      </w:pPr>
      <w:r>
        <w:t>10  実装順と受入試験</w:t>
      </w:r>
    </w:p>
    <w:tbl>
      <w:tblPr>
        <w:tblW w:type="auto" w:w="0"/>
        <w:jc w:val="center"/>
        <w:tblLayout w:type="fixed"/>
        <w:tblLook w:firstColumn="1" w:firstRow="1" w:lastColumn="0" w:lastRow="0" w:noHBand="0" w:noVBand="1" w:val="04A0"/>
      </w:tblPr>
      <w:tblGrid>
        <w:gridCol w:w="1134"/>
        <w:gridCol w:w="3005"/>
        <w:gridCol w:w="5499"/>
      </w:tblGrid>
      <w:tr>
        <w:trPr>
          <w:cantSplit/>
          <w:tblHeader/>
        </w:trPr>
        <w:tc>
          <w:tcPr>
            <w:tcW w:type="dxa" w:w="113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CE6F1"/>
          </w:tcPr>
          <w:p>
            <w:pPr>
              <w:spacing w:after="40" w:before="40"/>
            </w:pPr>
            <w:r>
              <w:rPr>
                <w:b/>
                <w:sz w:val="18"/>
              </w:rPr>
              <w:t>段階</w:t>
            </w:r>
          </w:p>
        </w:tc>
        <w:tc>
          <w:tcPr>
            <w:tcW w:type="dxa" w:w="300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CE6F1"/>
          </w:tcPr>
          <w:p>
            <w:pPr>
              <w:spacing w:after="40" w:before="40"/>
            </w:pPr>
            <w:r>
              <w:rPr>
                <w:b/>
                <w:sz w:val="18"/>
              </w:rPr>
              <w:t>実施項目</w:t>
            </w:r>
          </w:p>
        </w:tc>
        <w:tc>
          <w:tcPr>
            <w:tcW w:type="dxa" w:w="549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CE6F1"/>
          </w:tcPr>
          <w:p>
            <w:pPr>
              <w:spacing w:after="40" w:before="40"/>
            </w:pPr>
            <w:r>
              <w:rPr>
                <w:b/>
                <w:sz w:val="18"/>
              </w:rPr>
              <w:t>次に進む条件</w:t>
            </w:r>
          </w:p>
        </w:tc>
      </w:tr>
      <w:tr>
        <w:trPr>
          <w:cantSplit/>
        </w:trPr>
        <w:tc>
          <w:tcPr>
            <w:tcW w:type="dxa" w:w="113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第1段階</w:t>
            </w:r>
          </w:p>
        </w:tc>
        <w:tc>
          <w:tcPr>
            <w:tcW w:type="dxa" w:w="300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F01 F02 F03</w:t>
            </w:r>
          </w:p>
        </w:tc>
        <w:tc>
          <w:tcPr>
            <w:tcW w:type="dxa" w:w="549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CSV再取込、失敗時の原子性、復元、全画面の品質表示を検証</w:t>
            </w:r>
          </w:p>
        </w:tc>
      </w:tr>
      <w:tr>
        <w:trPr>
          <w:cantSplit/>
        </w:trPr>
        <w:tc>
          <w:tcPr>
            <w:tcW w:type="dxa" w:w="113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第2段階</w:t>
            </w:r>
          </w:p>
        </w:tc>
        <w:tc>
          <w:tcPr>
            <w:tcW w:type="dxa" w:w="300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F04 F05 F06</w:t>
            </w:r>
          </w:p>
        </w:tc>
        <w:tc>
          <w:tcPr>
            <w:tcW w:type="dxa" w:w="549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移管前後の数量・原価、配当の二重計上、概算から確定への切替を検証</w:t>
            </w:r>
          </w:p>
        </w:tc>
      </w:tr>
      <w:tr>
        <w:trPr>
          <w:cantSplit/>
        </w:trPr>
        <w:tc>
          <w:tcPr>
            <w:tcW w:type="dxa" w:w="113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第3段階</w:t>
            </w:r>
          </w:p>
        </w:tc>
        <w:tc>
          <w:tcPr>
            <w:tcW w:type="dxa" w:w="300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F07 F08 F09</w:t>
            </w:r>
          </w:p>
        </w:tc>
        <w:tc>
          <w:tcPr>
            <w:tcW w:type="dxa" w:w="549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検索・画面拡大・キーボード・通信失敗・メニュー遷移を検証</w:t>
            </w:r>
          </w:p>
        </w:tc>
      </w:tr>
      <w:tr>
        <w:trPr>
          <w:cantSplit/>
        </w:trPr>
        <w:tc>
          <w:tcPr>
            <w:tcW w:type="dxa" w:w="113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第4段階</w:t>
            </w:r>
          </w:p>
        </w:tc>
        <w:tc>
          <w:tcPr>
            <w:tcW w:type="dxa" w:w="300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F10 → F11 F12 F15</w:t>
            </w:r>
          </w:p>
        </w:tc>
        <w:tc>
          <w:tcPr>
            <w:tcW w:type="dxa" w:w="549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開始残高と入出金が照合でき、期間成績の基準ケースを通過</w:t>
            </w:r>
          </w:p>
        </w:tc>
      </w:tr>
      <w:tr>
        <w:trPr>
          <w:cantSplit/>
        </w:trPr>
        <w:tc>
          <w:tcPr>
            <w:tcW w:type="dxa" w:w="113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第5段階</w:t>
            </w:r>
          </w:p>
        </w:tc>
        <w:tc>
          <w:tcPr>
            <w:tcW w:type="dxa" w:w="300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F13 F14 → P3を選定</w:t>
            </w:r>
          </w:p>
        </w:tc>
        <w:tc>
          <w:tcPr>
            <w:tcW w:type="dxa" w:w="549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通知重複と出力照合を検証し、外部連携の費用と保守範囲を判断</w:t>
            </w:r>
          </w:p>
        </w:tc>
      </w:tr>
    </w:tbl>
    <w:p>
      <w:pPr>
        <w:spacing w:after="0"/>
      </w:pPr>
    </w:p>
    <w:p>
      <w:pPr>
        <w:pStyle w:val="Heading2"/>
      </w:pPr>
      <w:r>
        <w:t>最小限の回帰データセット</w:t>
      </w:r>
    </w:p>
    <w:p>
      <w:r>
        <w:t>SBIと野村の保有・取引・配当を匿名化した固定データを用意する。同一ファイル再取込、同日同額の別取引、円貨と外貨の同一配当、NISAと課税口座の同銘柄、未確定口座、取得為替欠落、分割と移管、月末・年末・将来日付を含める。</w:t>
      </w:r>
    </w:p>
    <w:p>
      <w:r>
        <w:t>各ケースで件数だけでなく数量、取得額、税引後配当、未解決件数を照合する。過去に問題となったNVDA・CSCOの異表現重複、CMBTの口座と原価、同日複数買付は専用の回帰ケースとする。</w:t>
      </w:r>
    </w:p>
    <w:p>
      <w:pPr>
        <w:pStyle w:val="Heading2"/>
      </w:pPr>
      <w:r>
        <w:t>非機能要件と運用</w:t>
      </w:r>
    </w:p>
    <w:p>
      <w:r>
        <w:t>取込・再計算はUIスレッドを長時間占有しない。100銘柄・取引1万件・配当1万件の基準データで、一覧絞込とグラフ操作の応答500ms以内を目標とし、初期表示・取込時間は使用PC条件とともに測定する。長時間処理は進捗を示し、安全な取消地点を定義する。</w:t>
      </w:r>
    </w:p>
    <w:p>
      <w:r>
        <w:t>DB変更はスキーマ版付きの移行と復元試験を伴う。監査ログには変更前後、理由、元データ、計算規則版を記録する。機密情報を含む診断データは出力前に除外する。配布版はアプリ版とDB版を画面で確認できるようにする。</w:t>
      </w:r>
    </w:p>
    <w:p>
      <w:pPr>
        <w:pStyle w:val="Heading2"/>
      </w:pPr>
      <w:r>
        <w:t>リリース完了の定義</w:t>
      </w:r>
    </w:p>
    <w:p>
      <w:r>
        <w:t>テスト用DBで受入条件を通過し、本番バックアップを取得してから反映する。反映後に主要合計と取込履歴を照合し、アプリ再起動後も一致することを確認する。仕様書の作成完了と、ここに記載した全機能の実装完了は別に管理する。</w:t>
      </w:r>
    </w:p>
    <w:p>
      <w:r>
        <w:br w:type="page"/>
      </w:r>
    </w:p>
    <w:p>
      <w:pPr>
        <w:pStyle w:val="Heading1"/>
      </w:pPr>
      <w:r>
        <w:t>11  調査根拠と実装時の確認対象</w:t>
      </w:r>
    </w:p>
    <w:p>
      <w:pPr>
        <w:pStyle w:val="Heading2"/>
      </w:pPr>
      <w:r>
        <w:t>ローカルの確認対象</w:t>
      </w:r>
    </w:p>
    <w:p>
      <w:pPr>
        <w:spacing w:line="240" w:lineRule="auto" w:after="80"/>
      </w:pPr>
      <w:r>
        <w:rPr>
          <w:sz w:val="18"/>
        </w:rPr>
        <w:t>基準：2026年10月18日の作業ツリー。未コミット変更を含む。根拠を追えるよう、主要ファイルと確認箇所を記す。</w:t>
      </w:r>
    </w:p>
    <w:p>
      <w:pPr>
        <w:spacing w:line="240" w:lineRule="auto" w:after="80"/>
      </w:pPr>
      <w:r>
        <w:rPr>
          <w:sz w:val="18"/>
        </w:rPr>
        <w:t>L1　InvestmentStory.App/ViewModels/CsvImportViewModel.cs：プレビュー、取消、ログ、重複・予定置換。InvestmentStory.Data/InvestmentStoryRepository.cs：RunImportAtomically、取込ログと要確認保存。</w:t>
      </w:r>
    </w:p>
    <w:p>
      <w:pPr>
        <w:spacing w:line="240" w:lineRule="auto" w:after="80"/>
      </w:pPr>
      <w:r>
        <w:rPr>
          <w:sz w:val="18"/>
        </w:rPr>
        <w:t>L2　InvestmentStory.Core/Services/DataQualityService.cs と InvestmentCalculator.cs：鮮度・出所・不足判定、概算原価の採用条件。Models/Purchase.cs：ReferenceAcquisition系フィールド。</w:t>
      </w:r>
    </w:p>
    <w:p>
      <w:pPr>
        <w:spacing w:line="240" w:lineRule="auto" w:after="80"/>
      </w:pPr>
      <w:r>
        <w:rPr>
          <w:sz w:val="18"/>
        </w:rPr>
        <w:t>L3　InvestmentStory.App/Controls/MonthlyDividendLineChartControl.cs と PortfolioHistoryLineChartControl.cs：折れ線とマウス追従。InteractiveDividendChartControl.cs：系列選択とEscape操作。</w:t>
      </w:r>
    </w:p>
    <w:p>
      <w:pPr>
        <w:spacing w:line="240" w:lineRule="auto" w:after="80"/>
      </w:pPr>
      <w:r>
        <w:rPr>
          <w:sz w:val="18"/>
        </w:rPr>
        <w:t>L4　InvestmentStory.Core/Services/PortfolioAnalyticsService.cs：BuildReturnSummary、集中度、スナップショット比較、為替感応度。MutualFundAssetSimulationService.cs：試算用XIRR。</w:t>
      </w:r>
    </w:p>
    <w:p>
      <w:pPr>
        <w:spacing w:line="240" w:lineRule="auto" w:after="80"/>
      </w:pPr>
      <w:r>
        <w:rPr>
          <w:sz w:val="18"/>
        </w:rPr>
        <w:t>L5　InvestmentStory.App/Views/StockListView.xaml、DashboardView.xaml、SettingsView.xaml：一覧切替、固定列、構成表示、API設定とログ。ViewModels/NisaDashboardSummaryViewModel.cs：口座別集計と概算表示。</w:t>
      </w:r>
    </w:p>
    <w:p>
      <w:pPr>
        <w:spacing w:line="240" w:lineRule="auto" w:after="80"/>
      </w:pPr>
      <w:r>
        <w:rPr>
          <w:sz w:val="18"/>
        </w:rPr>
        <w:t>L6　InvestmentStory.Data/DatabaseInitializer.cs：移行前バックアップ。Core/Models/StockSplit.cs、PortfolioSnapshot.cs：分割と現金評価の既存モデル。</w:t>
      </w:r>
    </w:p>
    <w:p>
      <w:pPr>
        <w:spacing w:line="240" w:lineRule="auto" w:after="80"/>
      </w:pPr>
      <w:r>
        <w:rPr>
          <w:sz w:val="18"/>
        </w:rPr>
        <w:t>L7　docs/InvestmentStory_20261014_CSV照合評価と修正案.docx：取得額、配当重複、NISA、基準日等の既存修正課題。過去の利用者提示画面：凡例、一覧重複、横スクロール、予定と実績の誤読。</w:t>
      </w:r>
    </w:p>
    <w:p>
      <w:pPr>
        <w:pStyle w:val="Heading2"/>
      </w:pPr>
      <w:r>
        <w:t>公式の公開資料</w:t>
      </w:r>
    </w:p>
    <w:p>
      <w:pPr>
        <w:spacing w:line="240" w:lineRule="auto" w:after="80"/>
      </w:pPr>
      <w:r>
        <w:rPr>
          <w:sz w:val="18"/>
        </w:rPr>
        <w:t>参照日はいずれも2026年10月18日。機能や契約条件は変更され得るため、外部連携を実装する時点で再確認する。</w:t>
      </w:r>
    </w:p>
    <w:p>
      <w:pPr>
        <w:spacing w:after="80" w:line="240" w:lineRule="auto"/>
      </w:pPr>
      <w:r>
        <w:rPr>
          <w:sz w:val="16"/>
        </w:rPr>
        <w:t>W1　Portfolio Performance  Time Weighted Rate of Return</w:t>
        <w:br/>
        <w:t>https://help.portfolio-performance.info/en/concepts/performance/time-weighted/</w:t>
      </w:r>
    </w:p>
    <w:p>
      <w:pPr>
        <w:spacing w:after="80" w:line="240" w:lineRule="auto"/>
      </w:pPr>
      <w:r>
        <w:rPr>
          <w:sz w:val="16"/>
        </w:rPr>
        <w:t>W2　Portfolio Performance  Benchmarking</w:t>
        <w:br/>
        <w:t>https://help.portfolio-performance.info/en/how-to/benchmarking/</w:t>
      </w:r>
    </w:p>
    <w:p>
      <w:pPr>
        <w:spacing w:after="80" w:line="240" w:lineRule="auto"/>
      </w:pPr>
      <w:r>
        <w:rPr>
          <w:sz w:val="16"/>
        </w:rPr>
        <w:t>W3　Portfolio Performance  公式機能概要</w:t>
        <w:br/>
        <w:t>https://www.portfolio-performance.info/en/</w:t>
      </w:r>
    </w:p>
    <w:p>
      <w:pPr>
        <w:spacing w:after="80" w:line="240" w:lineRule="auto"/>
      </w:pPr>
      <w:r>
        <w:rPr>
          <w:sz w:val="16"/>
        </w:rPr>
        <w:t>W4　Sharesight  Portfolio Investments Page</w:t>
        <w:br/>
        <w:t>https://help.sharesight.com/us/show_portfolio/</w:t>
      </w:r>
    </w:p>
    <w:p>
      <w:pPr>
        <w:spacing w:after="80" w:line="240" w:lineRule="auto"/>
      </w:pPr>
      <w:r>
        <w:rPr>
          <w:sz w:val="16"/>
        </w:rPr>
        <w:t>W5　Sharesight  Features</w:t>
        <w:br/>
        <w:t>https://www.sharesight.com/features/</w:t>
      </w:r>
    </w:p>
    <w:p>
      <w:pPr>
        <w:spacing w:after="80" w:line="240" w:lineRule="auto"/>
      </w:pPr>
      <w:r>
        <w:rPr>
          <w:sz w:val="16"/>
        </w:rPr>
        <w:t>W6　Stock Events  Help and Support</w:t>
        <w:br/>
        <w:t>https://stockevents.app/en/help</w:t>
      </w:r>
    </w:p>
    <w:p>
      <w:pPr>
        <w:spacing w:after="80" w:line="240" w:lineRule="auto"/>
      </w:pPr>
      <w:r>
        <w:rPr>
          <w:sz w:val="16"/>
        </w:rPr>
        <w:t>W7　W3C  Use of Color</w:t>
        <w:br/>
        <w:t>https://www.w3.org/WAI/WCAG22/Understanding/use-of-color.html</w:t>
      </w:r>
    </w:p>
    <w:p>
      <w:pPr>
        <w:spacing w:after="80" w:line="240" w:lineRule="auto"/>
      </w:pPr>
      <w:r>
        <w:rPr>
          <w:sz w:val="16"/>
        </w:rPr>
        <w:t>W8　W3C  Content on Hover or Focus</w:t>
        <w:br/>
        <w:t>https://www.w3.org/WAI/WCAG22/Understanding/content-on-hover-or-focus.html</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InvestmentStory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Yu Gothic" w:hAnsi="Yu Gothic" w:eastAsia="Yu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Yu Gothic" w:hAnsi="Yu Gothic" w:eastAsia="Yu 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Yu Gothic" w:hAnsi="Yu Gothic" w:eastAsia="Yu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Yu Gothic" w:hAnsi="Yu Gothic" w:eastAsia="Yu 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Yu Gothic" w:hAnsi="Yu Gothic" w:eastAsia="Yu Gothic"/>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Yu Gothic" w:hAnsi="Yu Gothic" w:eastAsia="Yu 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