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Pr>
      <w:r>
        <w:t>PRODUCT REVIEW  /  2026年10月18日</w:t>
      </w:r>
    </w:p>
    <w:p>
      <w:pPr>
        <w:pStyle w:val="CoverTitle"/>
      </w:pPr>
      <w:r>
        <w:t>InvestmentStory</w:t>
      </w:r>
    </w:p>
    <w:p>
      <w:pPr>
        <w:pStyle w:val="Subtitle"/>
        <w:spacing w:after="340"/>
      </w:pPr>
      <w:r>
        <w:t>現状アプリの評価・Astra改善案の評価・追加提案</w:t>
      </w:r>
    </w:p>
    <w:tbl>
      <w:tblPr>
        <w:tblW w:type="auto" w:w="0"/>
        <w:tblLook w:firstColumn="1" w:firstRow="1" w:lastColumn="0" w:lastRow="0" w:noHBand="0" w:noVBand="1" w:val="04A0"/>
      </w:tblPr>
      <w:tblGrid>
        <w:gridCol w:w="10166"/>
      </w:tblGrid>
      <w:tr>
        <w:tc>
          <w:tcPr>
            <w:tcW w:type="dxa" w:w="10166"/>
            <w:shd w:fill="E7F2F8"/>
            <w:tcMar>
              <w:top w:w="190" w:type="dxa"/>
              <w:start w:w="240" w:type="dxa"/>
              <w:bottom w:w="190" w:type="dxa"/>
              <w:end w:w="240" w:type="dxa"/>
            </w:tcMar>
          </w:tcPr>
          <w:p>
            <w:r>
              <w:rPr>
                <w:b/>
                <w:color w:val="183149"/>
                <w:sz w:val="28"/>
              </w:rPr>
              <w:t>総合所見</w:t>
            </w:r>
          </w:p>
          <w:p>
            <w:pPr>
              <w:spacing w:after="0"/>
            </w:pPr>
            <w:r>
              <w:t>機能の広がりは十分に魅力的です。一方で、金融資産を扱うアプリに最も重要な「数値を確認できる・誤りから戻せる・要対応を見つけられる」の3点には改善余地があります。Astra案のP0→P1という方針は妥当で、さらに画面全体の優先順位付けと継続運用の仕組みを強めることを勧めます。</w:t>
            </w:r>
          </w:p>
        </w:tc>
      </w:tr>
    </w:tbl>
    <w:p>
      <w:pPr>
        <w:pStyle w:val="Heading2"/>
      </w:pPr>
      <w:r>
        <w:t>評価の見取り図</w:t>
      </w:r>
    </w:p>
    <w:tbl>
      <w:tblPr>
        <w:tblW w:type="auto" w:w="0"/>
        <w:jc w:val="center"/>
        <w:tblLayout w:type="fixed"/>
        <w:tblLook w:firstColumn="1" w:firstRow="1" w:lastColumn="0" w:lastRow="0" w:noHBand="0" w:noVBand="1" w:val="04A0"/>
      </w:tblPr>
      <w:tblGrid>
        <w:gridCol w:w="4824"/>
        <w:gridCol w:w="5299"/>
      </w:tblGrid>
      <w:tr>
        <w:trPr>
          <w:tblHeader w:val="true"/>
        </w:trPr>
        <w:tc>
          <w:tcPr>
            <w:tcW w:type="dxa" w:w="4824"/>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24"/>
              </w:rPr>
              <w:t>現状（設計充足度）</w:t>
            </w:r>
          </w:p>
        </w:tc>
        <w:tc>
          <w:tcPr>
            <w:tcW w:type="dxa" w:w="5299"/>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24"/>
              </w:rPr>
              <w:t>仕様どおり実装・受入試験を通過した場合</w:t>
            </w:r>
          </w:p>
        </w:tc>
      </w:tr>
      <w:tr>
        <w:trPr>
          <w:cantSplit/>
        </w:trPr>
        <w:tc>
          <w:tcPr>
            <w:tcW w:type="dxa" w:w="4824"/>
            <w:vAlign w:val="center"/>
            <w:tcMar>
              <w:top w:w="100" w:type="dxa"/>
              <w:start w:w="105" w:type="dxa"/>
              <w:bottom w:w="100" w:type="dxa"/>
              <w:end w:w="105" w:type="dxa"/>
            </w:tcMar>
            <w:tcBorders>
              <w:bottom w:val="single" w:color="DAE3E9" w:sz="3"/>
            </w:tcBorders>
          </w:tcPr>
          <w:p>
            <w:pPr>
              <w:spacing w:after="0" w:line="274" w:lineRule="auto"/>
            </w:pPr>
            <w:r>
              <w:rPr>
                <w:color w:val="203044"/>
                <w:sz w:val="24"/>
              </w:rPr>
              <w:t>54 / 100　暫定</w:t>
            </w:r>
          </w:p>
        </w:tc>
        <w:tc>
          <w:tcPr>
            <w:tcW w:type="dxa" w:w="5299"/>
            <w:vAlign w:val="center"/>
            <w:tcMar>
              <w:top w:w="100" w:type="dxa"/>
              <w:start w:w="105" w:type="dxa"/>
              <w:bottom w:w="100" w:type="dxa"/>
              <w:end w:w="105" w:type="dxa"/>
            </w:tcMar>
            <w:tcBorders>
              <w:bottom w:val="single" w:color="DAE3E9" w:sz="3"/>
            </w:tcBorders>
          </w:tcPr>
          <w:p>
            <w:pPr>
              <w:spacing w:after="0" w:line="274" w:lineRule="auto"/>
            </w:pPr>
            <w:r>
              <w:rPr>
                <w:color w:val="203044"/>
                <w:sz w:val="24"/>
              </w:rPr>
              <w:t>83 / 100　条件付き見込み</w:t>
            </w:r>
          </w:p>
        </w:tc>
      </w:tr>
    </w:tbl>
    <w:p>
      <w:pPr>
        <w:spacing w:after="0"/>
      </w:pPr>
    </w:p>
    <w:p>
      <w:r>
        <w:rPr>
          <w:i/>
          <w:color w:val="5E7186"/>
          <w:sz w:val="17"/>
        </w:rPr>
        <w:t>注：これは画面と仕様書に対するレビュー用の評価指標であり、動作試験・本番DB監査の点数ではありません。</w:t>
      </w:r>
    </w:p>
    <w:p>
      <w:pPr>
        <w:spacing w:before="60" w:after="40"/>
        <w:jc w:val="center"/>
      </w:pPr>
      <w:r>
        <w:drawing>
          <wp:inline xmlns:a="http://schemas.openxmlformats.org/drawingml/2006/main" xmlns:pic="http://schemas.openxmlformats.org/drawingml/2006/picture">
            <wp:extent cx="5696712" cy="3358061"/>
            <wp:docPr id="1" name="Picture 1" descr="InvestmentStory レビュー資料図 1: アプリ実画面または改善後UI案" title="concept_01_dashboard.png"/>
            <wp:cNvGraphicFramePr>
              <a:graphicFrameLocks noChangeAspect="1"/>
            </wp:cNvGraphicFramePr>
            <a:graphic>
              <a:graphicData uri="http://schemas.openxmlformats.org/drawingml/2006/picture">
                <pic:pic>
                  <pic:nvPicPr>
                    <pic:cNvPr id="0" name="concept_01_dashboard.png"/>
                    <pic:cNvPicPr/>
                  </pic:nvPicPr>
                  <pic:blipFill>
                    <a:blip r:embed="rId11"/>
                    <a:stretch>
                      <a:fillRect/>
                    </a:stretch>
                  </pic:blipFill>
                  <pic:spPr>
                    <a:xfrm>
                      <a:off x="0" y="0"/>
                      <a:ext cx="5696712" cy="3358061"/>
                    </a:xfrm>
                    <a:prstGeom prst="rect"/>
                  </pic:spPr>
                </pic:pic>
              </a:graphicData>
            </a:graphic>
          </wp:inline>
        </w:drawing>
      </w:r>
    </w:p>
    <w:p>
      <w:pPr>
        <w:pStyle w:val="Caption"/>
        <w:jc w:val="left"/>
      </w:pPr>
      <w:r>
        <w:t>画面コンセプト：現行のダークテーマを保持し、先に要確認項目を出す構成。図中の配分・推移等は説明用。</w:t>
      </w:r>
    </w:p>
    <w:p>
      <w:pPr>
        <w:pStyle w:val="Caption"/>
      </w:pPr>
      <w:r>
        <w:t>評価資料  ：InvestmentStory 機能拡張と画面改善仕様書（版1.0）／実画面スクリーンショット24枚</w:t>
      </w:r>
    </w:p>
    <w:p>
      <w:pPr>
        <w:pStyle w:val="Heading1"/>
        <w:pageBreakBefore/>
      </w:pPr>
      <w:r>
        <w:t>1｜結論と推奨判断</w:t>
      </w:r>
    </w:p>
    <w:tbl>
      <w:tblPr>
        <w:tblW w:type="auto" w:w="0"/>
        <w:tblLook w:firstColumn="1" w:firstRow="1" w:lastColumn="0" w:lastRow="0" w:noHBand="0" w:noVBand="1" w:val="04A0"/>
      </w:tblPr>
      <w:tblGrid>
        <w:gridCol w:w="10166"/>
      </w:tblGrid>
      <w:tr>
        <w:tc>
          <w:tcPr>
            <w:tcW w:type="dxa" w:w="10166"/>
            <w:shd w:fill="F2F7FA"/>
            <w:tcMar>
              <w:top w:w="150" w:type="dxa"/>
              <w:start w:w="180" w:type="dxa"/>
              <w:bottom w:w="150" w:type="dxa"/>
              <w:end w:w="180" w:type="dxa"/>
            </w:tcMar>
          </w:tcPr>
          <w:p>
            <w:r>
              <w:rPr>
                <w:b/>
                <w:color w:val="1672A4"/>
              </w:rPr>
              <w:t xml:space="preserve">結論  </w:t>
            </w:r>
            <w:r>
              <w:rPr>
                <w:sz w:val="18"/>
              </w:rPr>
              <w:t>Astra案の骨格は採用推奨。ただし、F03の品質状態の設計、F02の復元によるデータ損失説明、F10–F11の履歴不足時の成績表示条件は仕様を明確化してから着手します。</w:t>
            </w:r>
          </w:p>
        </w:tc>
      </w:tr>
    </w:tbl>
    <w:p>
      <w:pPr>
        <w:pStyle w:val="Heading2"/>
      </w:pPr>
      <w:r>
        <w:t>見た目より先に解消する3つの障害</w:t>
      </w:r>
    </w:p>
    <w:p>
      <w:pPr>
        <w:pStyle w:val="ListBullet"/>
        <w:ind w:left="331" w:hanging="173"/>
      </w:pPr>
      <w:r>
        <w:t>① 誤取込・重複・口座誤認を事前に発見し、確定後にも戻せる（F01/F02）。</w:t>
      </w:r>
    </w:p>
    <w:p>
      <w:pPr>
        <w:pStyle w:val="ListBullet"/>
        <w:ind w:left="331" w:hanging="173"/>
      </w:pPr>
      <w:r>
        <w:t>② 数値の根拠、概算と確定の差、データの鮮度をどの画面でも同じ定義で示す（F03）。</w:t>
      </w:r>
    </w:p>
    <w:p>
      <w:pPr>
        <w:pStyle w:val="ListBullet"/>
        <w:ind w:left="331" w:hanging="173"/>
      </w:pPr>
      <w:r>
        <w:t>③ たくさんのカードを読む操作から、「今日何をすべきか」が先に分かる作業画面へ変える（F06/F07/F09＋追加A01）。</w:t>
      </w:r>
    </w:p>
    <w:p>
      <w:pPr>
        <w:pStyle w:val="Heading2"/>
      </w:pPr>
      <w:r>
        <w:t>評価スコアの内訳</w:t>
      </w:r>
    </w:p>
    <w:tbl>
      <w:tblPr>
        <w:tblW w:type="auto" w:w="0"/>
        <w:jc w:val="center"/>
        <w:tblLayout w:type="fixed"/>
        <w:tblLook w:firstColumn="1" w:firstRow="1" w:lastColumn="0" w:lastRow="0" w:noHBand="0" w:noVBand="1" w:val="04A0"/>
      </w:tblPr>
      <w:tblGrid>
        <w:gridCol w:w="2693"/>
        <w:gridCol w:w="965"/>
        <w:gridCol w:w="994"/>
        <w:gridCol w:w="5472"/>
      </w:tblGrid>
      <w:tr>
        <w:trPr>
          <w:tblHeader w:val="true"/>
        </w:trPr>
        <w:tc>
          <w:tcPr>
            <w:tcW w:type="dxa" w:w="2693"/>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6"/>
              </w:rPr>
              <w:t>評価軸（配点）</w:t>
            </w:r>
          </w:p>
        </w:tc>
        <w:tc>
          <w:tcPr>
            <w:tcW w:type="dxa" w:w="965"/>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6"/>
              </w:rPr>
              <w:t>現状</w:t>
            </w:r>
          </w:p>
        </w:tc>
        <w:tc>
          <w:tcPr>
            <w:tcW w:type="dxa" w:w="994"/>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6"/>
              </w:rPr>
              <w:t>改善後</w:t>
            </w:r>
          </w:p>
        </w:tc>
        <w:tc>
          <w:tcPr>
            <w:tcW w:type="dxa" w:w="5472"/>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6"/>
              </w:rPr>
              <w:t>判断根拠（要約）</w:t>
            </w:r>
          </w:p>
        </w:tc>
      </w:tr>
      <w:tr>
        <w:trPr>
          <w:cantSplit/>
        </w:trPr>
        <w:tc>
          <w:tcPr>
            <w:tcW w:type="dxa" w:w="2693"/>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データ照合・信頼性（25）</w:t>
            </w:r>
          </w:p>
        </w:tc>
        <w:tc>
          <w:tcPr>
            <w:tcW w:type="dxa" w:w="965"/>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13</w:t>
            </w:r>
          </w:p>
        </w:tc>
        <w:tc>
          <w:tcPr>
            <w:tcW w:type="dxa" w:w="99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22</w:t>
            </w:r>
          </w:p>
        </w:tc>
        <w:tc>
          <w:tcPr>
            <w:tcW w:type="dxa" w:w="5472"/>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取込差分・再取込耐性・口座識別</w:t>
            </w:r>
          </w:p>
        </w:tc>
      </w:tr>
      <w:tr>
        <w:trPr>
          <w:cantSplit/>
        </w:trPr>
        <w:tc>
          <w:tcPr>
            <w:tcW w:type="dxa" w:w="2693"/>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復元・操作安全性（15）</w:t>
            </w:r>
          </w:p>
        </w:tc>
        <w:tc>
          <w:tcPr>
            <w:tcW w:type="dxa" w:w="965"/>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6</w:t>
            </w:r>
          </w:p>
        </w:tc>
        <w:tc>
          <w:tcPr>
            <w:tcW w:type="dxa" w:w="99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12</w:t>
            </w:r>
          </w:p>
        </w:tc>
        <w:tc>
          <w:tcPr>
            <w:tcW w:type="dxa" w:w="5472"/>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利用者が戻せる導線と事前確認</w:t>
            </w:r>
          </w:p>
        </w:tc>
      </w:tr>
      <w:tr>
        <w:trPr>
          <w:cantSplit/>
        </w:trPr>
        <w:tc>
          <w:tcPr>
            <w:tcW w:type="dxa" w:w="2693"/>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数値の根拠と状態（15）</w:t>
            </w:r>
          </w:p>
        </w:tc>
        <w:tc>
          <w:tcPr>
            <w:tcW w:type="dxa" w:w="965"/>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7</w:t>
            </w:r>
          </w:p>
        </w:tc>
        <w:tc>
          <w:tcPr>
            <w:tcW w:type="dxa" w:w="99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13</w:t>
            </w:r>
          </w:p>
        </w:tc>
        <w:tc>
          <w:tcPr>
            <w:tcW w:type="dxa" w:w="5472"/>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確定／概算／欠測・日付の統一</w:t>
            </w:r>
          </w:p>
        </w:tc>
      </w:tr>
      <w:tr>
        <w:trPr>
          <w:cantSplit/>
        </w:trPr>
        <w:tc>
          <w:tcPr>
            <w:tcW w:type="dxa" w:w="2693"/>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画面の分かりやすさ（20）</w:t>
            </w:r>
          </w:p>
        </w:tc>
        <w:tc>
          <w:tcPr>
            <w:tcW w:type="dxa" w:w="965"/>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12</w:t>
            </w:r>
          </w:p>
        </w:tc>
        <w:tc>
          <w:tcPr>
            <w:tcW w:type="dxa" w:w="99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16</w:t>
            </w:r>
          </w:p>
        </w:tc>
        <w:tc>
          <w:tcPr>
            <w:tcW w:type="dxa" w:w="5472"/>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情報量整理、検索、固定列、凡例</w:t>
            </w:r>
          </w:p>
        </w:tc>
      </w:tr>
      <w:tr>
        <w:trPr>
          <w:cantSplit/>
        </w:trPr>
        <w:tc>
          <w:tcPr>
            <w:tcW w:type="dxa" w:w="2693"/>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分析の妥当性・範囲（15）</w:t>
            </w:r>
          </w:p>
        </w:tc>
        <w:tc>
          <w:tcPr>
            <w:tcW w:type="dxa" w:w="965"/>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10</w:t>
            </w:r>
          </w:p>
        </w:tc>
        <w:tc>
          <w:tcPr>
            <w:tcW w:type="dxa" w:w="99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12</w:t>
            </w:r>
          </w:p>
        </w:tc>
        <w:tc>
          <w:tcPr>
            <w:tcW w:type="dxa" w:w="5472"/>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入出金と期間成績を区別</w:t>
            </w:r>
          </w:p>
        </w:tc>
      </w:tr>
      <w:tr>
        <w:trPr>
          <w:cantSplit/>
        </w:trPr>
        <w:tc>
          <w:tcPr>
            <w:tcW w:type="dxa" w:w="2693"/>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運用・保守のしやすさ（10）</w:t>
            </w:r>
          </w:p>
        </w:tc>
        <w:tc>
          <w:tcPr>
            <w:tcW w:type="dxa" w:w="965"/>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6</w:t>
            </w:r>
          </w:p>
        </w:tc>
        <w:tc>
          <w:tcPr>
            <w:tcW w:type="dxa" w:w="99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8</w:t>
            </w:r>
          </w:p>
        </w:tc>
        <w:tc>
          <w:tcPr>
            <w:tcW w:type="dxa" w:w="5472"/>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更新状況、ログ、診断・試験</w:t>
            </w:r>
          </w:p>
        </w:tc>
      </w:tr>
      <w:tr>
        <w:trPr>
          <w:cantSplit/>
        </w:trPr>
        <w:tc>
          <w:tcPr>
            <w:tcW w:type="dxa" w:w="2693"/>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合計（100）</w:t>
            </w:r>
          </w:p>
        </w:tc>
        <w:tc>
          <w:tcPr>
            <w:tcW w:type="dxa" w:w="965"/>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54</w:t>
            </w:r>
          </w:p>
        </w:tc>
        <w:tc>
          <w:tcPr>
            <w:tcW w:type="dxa" w:w="99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83</w:t>
            </w:r>
          </w:p>
        </w:tc>
        <w:tc>
          <w:tcPr>
            <w:tcW w:type="dxa" w:w="5472"/>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条件付きの設計評価</w:t>
            </w:r>
          </w:p>
        </w:tc>
      </w:tr>
    </w:tbl>
    <w:p>
      <w:pPr>
        <w:spacing w:after="0"/>
      </w:pPr>
    </w:p>
    <w:p>
      <w:r>
        <w:rPr>
          <w:i/>
          <w:color w:val="5E7186"/>
          <w:sz w:val="17"/>
        </w:rPr>
        <w:t>評価方法：重要度配点と、添付仕様に明記された機能・残課題・画面操作の可視性から主観的に算定。未確認の実装品質については加点していません。改善後は全項目を実装し、受入条件を満たした場合の想定値です。</w:t>
      </w:r>
    </w:p>
    <w:p>
      <w:pPr>
        <w:pStyle w:val="Heading2"/>
      </w:pPr>
      <w:r>
        <w:t>私の優先順位</w:t>
      </w:r>
    </w:p>
    <w:p>
      <w:r>
        <w:t>第1群：F01〜F03（安全・根拠）＋バックアップ保持規則。第2群：F06/F07/F08/F09（確認と表示）を、小さなUI改善から並行着手。第3群：F04/F05（移管・原価）。第4群：F10→F11と、それに依存する分析を展開。外部連携は最後に判断します。</w:t>
      </w:r>
    </w:p>
    <w:p>
      <w:pPr>
        <w:pStyle w:val="Heading1"/>
        <w:pageBreakBefore/>
      </w:pPr>
      <w:r>
        <w:t>2｜今回の確認範囲と評価の前提</w:t>
      </w:r>
    </w:p>
    <w:p>
      <w:r>
        <w:t>実画面24枚のうち、内容が判読できる23枚を対象とし、同一画面のスクロール・タブ切替も別証跡として扱いました。1枚は内容がほぼ無い画像のため、評価根拠に使っていません。画面操作・データ整合性・応答速度は未検証です。</w:t>
      </w:r>
    </w:p>
    <w:tbl>
      <w:tblPr>
        <w:tblW w:type="auto" w:w="0"/>
        <w:jc w:val="center"/>
        <w:tblLayout w:type="fixed"/>
        <w:tblLook w:firstColumn="1" w:firstRow="1" w:lastColumn="0" w:lastRow="0" w:noHBand="0" w:noVBand="1" w:val="04A0"/>
      </w:tblPr>
      <w:tblGrid>
        <w:gridCol w:w="1512"/>
        <w:gridCol w:w="4320"/>
        <w:gridCol w:w="4291"/>
      </w:tblGrid>
      <w:tr>
        <w:trPr>
          <w:tblHeader w:val="true"/>
        </w:trPr>
        <w:tc>
          <w:tcPr>
            <w:tcW w:type="dxa" w:w="1512"/>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8"/>
              </w:rPr>
              <w:t>区分</w:t>
            </w:r>
          </w:p>
        </w:tc>
        <w:tc>
          <w:tcPr>
            <w:tcW w:type="dxa" w:w="4320"/>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8"/>
              </w:rPr>
              <w:t>確認した内容</w:t>
            </w:r>
          </w:p>
        </w:tc>
        <w:tc>
          <w:tcPr>
            <w:tcW w:type="dxa" w:w="4291"/>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8"/>
              </w:rPr>
              <w:t>確認できない内容</w:t>
            </w:r>
          </w:p>
        </w:tc>
      </w:tr>
      <w:tr>
        <w:trPr>
          <w:cantSplit/>
        </w:trPr>
        <w:tc>
          <w:tcPr>
            <w:tcW w:type="dxa" w:w="1512"/>
            <w:vAlign w:val="center"/>
            <w:tcMar>
              <w:top w:w="100" w:type="dxa"/>
              <w:start w:w="105" w:type="dxa"/>
              <w:bottom w:w="100" w:type="dxa"/>
              <w:end w:w="105" w:type="dxa"/>
            </w:tcMar>
            <w:tcBorders>
              <w:bottom w:val="single" w:color="DAE3E9" w:sz="3"/>
            </w:tcBorders>
          </w:tcPr>
          <w:p>
            <w:pPr>
              <w:spacing w:after="0" w:line="274" w:lineRule="auto"/>
            </w:pPr>
            <w:r>
              <w:rPr>
                <w:color w:val="203044"/>
                <w:sz w:val="18"/>
              </w:rPr>
              <w:t>実画面</w:t>
            </w:r>
          </w:p>
        </w:tc>
        <w:tc>
          <w:tcPr>
            <w:tcW w:type="dxa" w:w="4320"/>
            <w:vAlign w:val="center"/>
            <w:tcMar>
              <w:top w:w="100" w:type="dxa"/>
              <w:start w:w="105" w:type="dxa"/>
              <w:bottom w:w="100" w:type="dxa"/>
              <w:end w:w="105" w:type="dxa"/>
            </w:tcMar>
            <w:tcBorders>
              <w:bottom w:val="single" w:color="DAE3E9" w:sz="3"/>
            </w:tcBorders>
          </w:tcPr>
          <w:p>
            <w:pPr>
              <w:spacing w:after="0" w:line="274" w:lineRule="auto"/>
            </w:pPr>
            <w:r>
              <w:rPr>
                <w:color w:val="203044"/>
                <w:sz w:val="18"/>
              </w:rPr>
              <w:t>ナビゲーション／カード／一覧／グラフ／画面内の文言・情報密度</w:t>
            </w:r>
          </w:p>
        </w:tc>
        <w:tc>
          <w:tcPr>
            <w:tcW w:type="dxa" w:w="4291"/>
            <w:vAlign w:val="center"/>
            <w:tcMar>
              <w:top w:w="100" w:type="dxa"/>
              <w:start w:w="105" w:type="dxa"/>
              <w:bottom w:w="100" w:type="dxa"/>
              <w:end w:w="105" w:type="dxa"/>
            </w:tcMar>
            <w:tcBorders>
              <w:bottom w:val="single" w:color="DAE3E9" w:sz="3"/>
            </w:tcBorders>
          </w:tcPr>
          <w:p>
            <w:pPr>
              <w:spacing w:after="0" w:line="274" w:lineRule="auto"/>
            </w:pPr>
            <w:r>
              <w:rPr>
                <w:color w:val="203044"/>
                <w:sz w:val="18"/>
              </w:rPr>
              <w:t>実際の更新・編集操作、例外時の動作、操作速度</w:t>
            </w:r>
          </w:p>
        </w:tc>
      </w:tr>
      <w:tr>
        <w:trPr>
          <w:cantSplit/>
        </w:trPr>
        <w:tc>
          <w:tcPr>
            <w:tcW w:type="dxa" w:w="1512"/>
            <w:vAlign w:val="center"/>
            <w:tcMar>
              <w:top w:w="100" w:type="dxa"/>
              <w:start w:w="105" w:type="dxa"/>
              <w:bottom w:w="100" w:type="dxa"/>
              <w:end w:w="105" w:type="dxa"/>
            </w:tcMar>
            <w:tcBorders>
              <w:bottom w:val="single" w:color="DAE3E9" w:sz="3"/>
            </w:tcBorders>
          </w:tcPr>
          <w:p>
            <w:pPr>
              <w:spacing w:after="0" w:line="274" w:lineRule="auto"/>
            </w:pPr>
            <w:r>
              <w:rPr>
                <w:color w:val="203044"/>
                <w:sz w:val="18"/>
              </w:rPr>
              <w:t>Astra仕様書</w:t>
            </w:r>
          </w:p>
        </w:tc>
        <w:tc>
          <w:tcPr>
            <w:tcW w:type="dxa" w:w="4320"/>
            <w:vAlign w:val="center"/>
            <w:tcMar>
              <w:top w:w="100" w:type="dxa"/>
              <w:start w:w="105" w:type="dxa"/>
              <w:bottom w:w="100" w:type="dxa"/>
              <w:end w:w="105" w:type="dxa"/>
            </w:tcMar>
            <w:tcBorders>
              <w:bottom w:val="single" w:color="DAE3E9" w:sz="3"/>
            </w:tcBorders>
          </w:tcPr>
          <w:p>
            <w:pPr>
              <w:spacing w:after="0" w:line="274" w:lineRule="auto"/>
            </w:pPr>
            <w:r>
              <w:rPr>
                <w:color w:val="203044"/>
                <w:sz w:val="18"/>
              </w:rPr>
              <w:t>P0〜P3・F01〜F18、技術上の前提、完了条件、既存機能の記載</w:t>
            </w:r>
          </w:p>
        </w:tc>
        <w:tc>
          <w:tcPr>
            <w:tcW w:type="dxa" w:w="4291"/>
            <w:vAlign w:val="center"/>
            <w:tcMar>
              <w:top w:w="100" w:type="dxa"/>
              <w:start w:w="105" w:type="dxa"/>
              <w:bottom w:w="100" w:type="dxa"/>
              <w:end w:w="105" w:type="dxa"/>
            </w:tcMar>
            <w:tcBorders>
              <w:bottom w:val="single" w:color="DAE3E9" w:sz="3"/>
            </w:tcBorders>
          </w:tcPr>
          <w:p>
            <w:pPr>
              <w:spacing w:after="0" w:line="274" w:lineRule="auto"/>
            </w:pPr>
            <w:r>
              <w:rPr>
                <w:color w:val="203044"/>
                <w:sz w:val="18"/>
              </w:rPr>
              <w:t>記載された既存実装が配布実行ファイルで動作すること</w:t>
            </w:r>
          </w:p>
        </w:tc>
      </w:tr>
      <w:tr>
        <w:trPr>
          <w:cantSplit/>
        </w:trPr>
        <w:tc>
          <w:tcPr>
            <w:tcW w:type="dxa" w:w="1512"/>
            <w:vAlign w:val="center"/>
            <w:tcMar>
              <w:top w:w="100" w:type="dxa"/>
              <w:start w:w="105" w:type="dxa"/>
              <w:bottom w:w="100" w:type="dxa"/>
              <w:end w:w="105" w:type="dxa"/>
            </w:tcMar>
            <w:tcBorders>
              <w:bottom w:val="single" w:color="DAE3E9" w:sz="3"/>
            </w:tcBorders>
          </w:tcPr>
          <w:p>
            <w:pPr>
              <w:spacing w:after="0" w:line="274" w:lineRule="auto"/>
            </w:pPr>
            <w:r>
              <w:rPr>
                <w:color w:val="203044"/>
                <w:sz w:val="18"/>
              </w:rPr>
              <w:t>本レビュー</w:t>
            </w:r>
          </w:p>
        </w:tc>
        <w:tc>
          <w:tcPr>
            <w:tcW w:type="dxa" w:w="4320"/>
            <w:vAlign w:val="center"/>
            <w:tcMar>
              <w:top w:w="100" w:type="dxa"/>
              <w:start w:w="105" w:type="dxa"/>
              <w:bottom w:w="100" w:type="dxa"/>
              <w:end w:w="105" w:type="dxa"/>
            </w:tcMar>
            <w:tcBorders>
              <w:bottom w:val="single" w:color="DAE3E9" w:sz="3"/>
            </w:tcBorders>
          </w:tcPr>
          <w:p>
            <w:pPr>
              <w:spacing w:after="0" w:line="274" w:lineRule="auto"/>
            </w:pPr>
            <w:r>
              <w:rPr>
                <w:color w:val="203044"/>
                <w:sz w:val="18"/>
              </w:rPr>
              <w:t>操作導線、情報設計、実装リスク、追加要件と受入案</w:t>
            </w:r>
          </w:p>
        </w:tc>
        <w:tc>
          <w:tcPr>
            <w:tcW w:type="dxa" w:w="4291"/>
            <w:vAlign w:val="center"/>
            <w:tcMar>
              <w:top w:w="100" w:type="dxa"/>
              <w:start w:w="105" w:type="dxa"/>
              <w:bottom w:w="100" w:type="dxa"/>
              <w:end w:w="105" w:type="dxa"/>
            </w:tcMar>
            <w:tcBorders>
              <w:bottom w:val="single" w:color="DAE3E9" w:sz="3"/>
            </w:tcBorders>
          </w:tcPr>
          <w:p>
            <w:pPr>
              <w:spacing w:after="0" w:line="274" w:lineRule="auto"/>
            </w:pPr>
            <w:r>
              <w:rPr>
                <w:color w:val="203044"/>
                <w:sz w:val="18"/>
              </w:rPr>
              <w:t>本番データの正確性、税務上の正当性、セキュリティ監査</w:t>
            </w:r>
          </w:p>
        </w:tc>
      </w:tr>
    </w:tbl>
    <w:p>
      <w:pPr>
        <w:spacing w:after="0"/>
      </w:pPr>
    </w:p>
    <w:p>
      <w:pPr>
        <w:pStyle w:val="Heading2"/>
      </w:pPr>
      <w:r>
        <w:t>実際の画面から確認した強み</w:t>
      </w:r>
    </w:p>
    <w:p>
      <w:pPr>
        <w:pStyle w:val="ListBullet"/>
        <w:ind w:left="331" w:hanging="173"/>
      </w:pPr>
      <w:r>
        <w:t>メニュー区分が「ポートフォリオ／インカム／分析／データ」に整理され、色使いもほぼ一貫している。</w:t>
      </w:r>
    </w:p>
    <w:p>
      <w:pPr>
        <w:pStyle w:val="ListBullet"/>
        <w:ind w:left="331" w:hanging="173"/>
      </w:pPr>
      <w:r>
        <w:t>銘柄一覧・詳細、口座区分、損益、配当、シミュレーションまで、個人用の資産管理として機能領域が広い。</w:t>
      </w:r>
    </w:p>
    <w:p>
      <w:pPr>
        <w:pStyle w:val="ListBullet"/>
        <w:ind w:left="331" w:hanging="173"/>
      </w:pPr>
      <w:r>
        <w:t>配当画面には「実績／予定／推定／未照合」の表現が既にあり、改善案は全面作り直しではなく拡張でよい。</w:t>
      </w:r>
    </w:p>
    <w:p>
      <w:pPr>
        <w:pStyle w:val="ListBullet"/>
        <w:ind w:left="331" w:hanging="173"/>
      </w:pPr>
      <w:r>
        <w:t>将来計画・配当見込み・各種グラフが既存資産として利用できる。</w:t>
      </w:r>
    </w:p>
    <w:p>
      <w:pPr>
        <w:pStyle w:val="Heading2"/>
      </w:pPr>
      <w:r>
        <w:t>評価時の重要な留保</w:t>
      </w:r>
    </w:p>
    <w:tbl>
      <w:tblPr>
        <w:tblW w:type="auto" w:w="0"/>
        <w:tblLook w:firstColumn="1" w:firstRow="1" w:lastColumn="0" w:lastRow="0" w:noHBand="0" w:noVBand="1" w:val="04A0"/>
      </w:tblPr>
      <w:tblGrid>
        <w:gridCol w:w="10166"/>
      </w:tblGrid>
      <w:tr>
        <w:tc>
          <w:tcPr>
            <w:tcW w:type="dxa" w:w="10166"/>
            <w:shd w:fill="F4F7FA"/>
            <w:tcMar>
              <w:top w:w="150" w:type="dxa"/>
              <w:start w:w="180" w:type="dxa"/>
              <w:bottom w:w="150" w:type="dxa"/>
              <w:end w:w="180" w:type="dxa"/>
            </w:tcMar>
          </w:tcPr>
          <w:p>
            <w:r>
              <w:rPr>
                <w:b/>
                <w:color w:val="1672A4"/>
              </w:rPr>
              <w:t xml:space="preserve">静的確認と稼働確認は別  </w:t>
            </w:r>
            <w:r>
              <w:rPr>
                <w:sz w:val="18"/>
              </w:rPr>
              <w:t>Astra仕様書には作業ツリーを静的確認した旨が記載されていますが、今回こちらではソースコード・実行ファイル・DBを受領していません。「実装済み」と断言できる範囲は、画面で見える機能と仕様書がそう記載する機能に限ります。</w:t>
            </w:r>
          </w:p>
        </w:tc>
      </w:tr>
    </w:tbl>
    <w:p>
      <w:r>
        <w:t>以下では「画面で確認」と「仕様書記載」を区別して述べます。点数はテスト完了後に再評価してください。</w:t>
      </w:r>
    </w:p>
    <w:p>
      <w:pPr>
        <w:pStyle w:val="Heading1"/>
        <w:pageBreakBefore/>
      </w:pPr>
      <w:r>
        <w:t>3｜画面レビュー：ダッシュボード</w:t>
      </w:r>
    </w:p>
    <w:p>
      <w:pPr>
        <w:spacing w:before="60" w:after="40"/>
        <w:jc w:val="center"/>
      </w:pPr>
      <w:r>
        <w:drawing>
          <wp:inline xmlns:a="http://schemas.openxmlformats.org/drawingml/2006/main" xmlns:pic="http://schemas.openxmlformats.org/drawingml/2006/picture">
            <wp:extent cx="6419088" cy="3351692"/>
            <wp:docPr id="2" name="Picture 2" descr="InvestmentStory レビュー資料図 2: アプリ実画面または改善後UI案" title="evidence_dashboard.png"/>
            <wp:cNvGraphicFramePr>
              <a:graphicFrameLocks noChangeAspect="1"/>
            </wp:cNvGraphicFramePr>
            <a:graphic>
              <a:graphicData uri="http://schemas.openxmlformats.org/drawingml/2006/picture">
                <pic:pic>
                  <pic:nvPicPr>
                    <pic:cNvPr id="0" name="evidence_dashboard.png"/>
                    <pic:cNvPicPr/>
                  </pic:nvPicPr>
                  <pic:blipFill>
                    <a:blip r:embed="rId12"/>
                    <a:stretch>
                      <a:fillRect/>
                    </a:stretch>
                  </pic:blipFill>
                  <pic:spPr>
                    <a:xfrm>
                      <a:off x="0" y="0"/>
                      <a:ext cx="6419088" cy="3351692"/>
                    </a:xfrm>
                    <a:prstGeom prst="rect"/>
                  </pic:spPr>
                </pic:pic>
              </a:graphicData>
            </a:graphic>
          </wp:inline>
        </w:drawing>
      </w:r>
    </w:p>
    <w:p>
      <w:pPr>
        <w:pStyle w:val="Caption"/>
        <w:jc w:val="left"/>
      </w:pPr>
      <w:r>
        <w:t>実画面：ダッシュボード（提供画像 #02）。上段のKPI・NISA別カード・目標値が多数並ぶ。</w:t>
      </w:r>
    </w:p>
    <w:p>
      <w:pPr>
        <w:pStyle w:val="Heading2"/>
      </w:pPr>
      <w:r>
        <w:t>評価：情報量は豊富。ただし「次の行動」が後ろに回る</w:t>
      </w:r>
    </w:p>
    <w:tbl>
      <w:tblPr>
        <w:tblW w:type="auto" w:w="0"/>
        <w:jc w:val="center"/>
        <w:tblLayout w:type="fixed"/>
        <w:tblLook w:firstColumn="1" w:firstRow="1" w:lastColumn="0" w:lastRow="0" w:noHBand="0" w:noVBand="1" w:val="04A0"/>
      </w:tblPr>
      <w:tblGrid>
        <w:gridCol w:w="1627"/>
        <w:gridCol w:w="3931"/>
        <w:gridCol w:w="4565"/>
      </w:tblGrid>
      <w:tr>
        <w:trPr>
          <w:tblHeader w:val="true"/>
        </w:trPr>
        <w:tc>
          <w:tcPr>
            <w:tcW w:type="dxa" w:w="1627"/>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7"/>
              </w:rPr>
              <w:t>観点</w:t>
            </w:r>
          </w:p>
        </w:tc>
        <w:tc>
          <w:tcPr>
            <w:tcW w:type="dxa" w:w="3931"/>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7"/>
              </w:rPr>
              <w:t>現状で良い点</w:t>
            </w:r>
          </w:p>
        </w:tc>
        <w:tc>
          <w:tcPr>
            <w:tcW w:type="dxa" w:w="4565"/>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7"/>
              </w:rPr>
              <w:t>改善余地</w:t>
            </w:r>
          </w:p>
        </w:tc>
      </w:tr>
      <w:tr>
        <w:trPr>
          <w:cantSplit/>
        </w:trPr>
        <w:tc>
          <w:tcPr>
            <w:tcW w:type="dxa" w:w="1627"/>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トップ情報</w:t>
            </w:r>
          </w:p>
        </w:tc>
        <w:tc>
          <w:tcPr>
            <w:tcW w:type="dxa" w:w="3931"/>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評価額、損益、今年の配当、目標を一画面で把握できる</w:t>
            </w:r>
          </w:p>
        </w:tc>
        <w:tc>
          <w:tcPr>
            <w:tcW w:type="dxa" w:w="4565"/>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KPIが多く、今日確認すべき未解決事項が目立ちにくい</w:t>
            </w:r>
          </w:p>
        </w:tc>
      </w:tr>
      <w:tr>
        <w:trPr>
          <w:cantSplit/>
        </w:trPr>
        <w:tc>
          <w:tcPr>
            <w:tcW w:type="dxa" w:w="1627"/>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数値の意味</w:t>
            </w:r>
          </w:p>
        </w:tc>
        <w:tc>
          <w:tcPr>
            <w:tcW w:type="dxa" w:w="3931"/>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「概算」「税引後」など補足表示がある</w:t>
            </w:r>
          </w:p>
        </w:tc>
        <w:tc>
          <w:tcPr>
            <w:tcW w:type="dxa" w:w="4565"/>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基準日、取得原価の確度、期間利回りとの違いを数値の近くに置きたい</w:t>
            </w:r>
          </w:p>
        </w:tc>
      </w:tr>
      <w:tr>
        <w:trPr>
          <w:cantSplit/>
        </w:trPr>
        <w:tc>
          <w:tcPr>
            <w:tcW w:type="dxa" w:w="1627"/>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画面構成</w:t>
            </w:r>
          </w:p>
        </w:tc>
        <w:tc>
          <w:tcPr>
            <w:tcW w:type="dxa" w:w="3931"/>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ダークテーマのまとまり・視認性</w:t>
            </w:r>
          </w:p>
        </w:tc>
        <w:tc>
          <w:tcPr>
            <w:tcW w:type="dxa" w:w="4565"/>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NISA詳細カードの面積が大きく、資産推移の入口が下方に回る</w:t>
            </w:r>
          </w:p>
        </w:tc>
      </w:tr>
    </w:tbl>
    <w:p>
      <w:pPr>
        <w:spacing w:after="0"/>
      </w:pPr>
    </w:p>
    <w:p>
      <w:pPr>
        <w:pStyle w:val="Heading2"/>
      </w:pPr>
      <w:r>
        <w:t>推奨する変更</w:t>
      </w:r>
    </w:p>
    <w:p>
      <w:r>
        <w:t>先頭を「基準日／更新状態 → 確認待ち件数 → 主要4指標 → 資産推移／配分」の順へ。NISA詳細は折り畳みとし、「配当を増やす」「誤取込を直す」など目的別の入口を用意します。重要な金額にはドリルダウンで算出根拠を表示します。</w:t>
      </w:r>
    </w:p>
    <w:p>
      <w:pPr>
        <w:pStyle w:val="Heading1"/>
        <w:pageBreakBefore/>
      </w:pPr>
      <w:r>
        <w:t>4｜画面レビュー：銘柄一覧・詳細</w:t>
      </w:r>
    </w:p>
    <w:p>
      <w:pPr>
        <w:spacing w:before="60" w:after="40"/>
        <w:jc w:val="center"/>
      </w:pPr>
      <w:r>
        <w:drawing>
          <wp:inline xmlns:a="http://schemas.openxmlformats.org/drawingml/2006/main" xmlns:pic="http://schemas.openxmlformats.org/drawingml/2006/picture">
            <wp:extent cx="6419088" cy="4169408"/>
            <wp:docPr id="3" name="Picture 3" descr="InvestmentStory レビュー資料図 3: アプリ実画面または改善後UI案" title="evidence_stocklist.png"/>
            <wp:cNvGraphicFramePr>
              <a:graphicFrameLocks noChangeAspect="1"/>
            </wp:cNvGraphicFramePr>
            <a:graphic>
              <a:graphicData uri="http://schemas.openxmlformats.org/drawingml/2006/picture">
                <pic:pic>
                  <pic:nvPicPr>
                    <pic:cNvPr id="0" name="evidence_stocklist.png"/>
                    <pic:cNvPicPr/>
                  </pic:nvPicPr>
                  <pic:blipFill>
                    <a:blip r:embed="rId13"/>
                    <a:stretch>
                      <a:fillRect/>
                    </a:stretch>
                  </pic:blipFill>
                  <pic:spPr>
                    <a:xfrm>
                      <a:off x="0" y="0"/>
                      <a:ext cx="6419088" cy="4169408"/>
                    </a:xfrm>
                    <a:prstGeom prst="rect"/>
                  </pic:spPr>
                </pic:pic>
              </a:graphicData>
            </a:graphic>
          </wp:inline>
        </w:drawing>
      </w:r>
    </w:p>
    <w:p>
      <w:pPr>
        <w:pStyle w:val="Caption"/>
        <w:jc w:val="left"/>
      </w:pPr>
      <w:r>
        <w:t>実画面：銘柄一覧（#04）。同銘柄の複数口座行があり、右側を確認するには横スクロールが必要。</w:t>
      </w:r>
    </w:p>
    <w:p>
      <w:pPr>
        <w:pStyle w:val="Heading2"/>
      </w:pPr>
      <w:r>
        <w:t>見つける／比較する／直す、を同じ画面に</w:t>
      </w:r>
    </w:p>
    <w:p>
      <w:pPr>
        <w:pStyle w:val="ListBullet"/>
        <w:ind w:left="331" w:hanging="173"/>
      </w:pPr>
      <w:r>
        <w:t>名称・コード・証券会社・口座区分は常時確認できる位置へ固定。重複ではなく「同一銘柄の口座別内訳」として集約と展開を切り替える。</w:t>
      </w:r>
    </w:p>
    <w:p>
      <w:pPr>
        <w:pStyle w:val="ListBullet"/>
        <w:ind w:left="331" w:hanging="173"/>
      </w:pPr>
      <w:r>
        <w:t>検索ボックスを最上段に常設し、証券会社・口座・商品区分・データ品質の絞り込み条件を保存する。</w:t>
      </w:r>
    </w:p>
    <w:p>
      <w:pPr>
        <w:pStyle w:val="ListBullet"/>
        <w:ind w:left="331" w:hanging="173"/>
      </w:pPr>
      <w:r>
        <w:t>「取得額：概算」「未確認」「最終株価が古い」を行単位で表示し、詳細ペインで採用元CSV・換算日・補完手順へ移れるようにする。</w:t>
      </w:r>
    </w:p>
    <w:p>
      <w:pPr>
        <w:pStyle w:val="ListBullet"/>
        <w:ind w:left="331" w:hanging="173"/>
      </w:pPr>
      <w:r>
        <w:t>編集・削除・一括価格更新など破壊性や負荷の異なるボタンは、メイン操作と補助メニューに分ける。</w:t>
      </w:r>
    </w:p>
    <w:p>
      <w:r>
        <w:rPr>
          <w:i/>
          <w:color w:val="5E7186"/>
          <w:sz w:val="17"/>
        </w:rPr>
        <w:t>証跡：#04/#05 銘柄一覧、#06〜#09 銘柄詳細。詳細にはチャート／配当／取引履歴のタブが既にあるため、全面変更より導線整理が有効です。</w:t>
      </w:r>
    </w:p>
    <w:p>
      <w:pPr>
        <w:pStyle w:val="Heading1"/>
        <w:pageBreakBefore/>
      </w:pPr>
      <w:r>
        <w:t>5｜画面レビュー：配当実績・不労所得</w:t>
      </w:r>
    </w:p>
    <w:p>
      <w:pPr>
        <w:spacing w:before="60" w:after="40"/>
        <w:jc w:val="center"/>
      </w:pPr>
      <w:r>
        <w:drawing>
          <wp:inline xmlns:a="http://schemas.openxmlformats.org/drawingml/2006/main" xmlns:pic="http://schemas.openxmlformats.org/drawingml/2006/picture">
            <wp:extent cx="6355080" cy="4241646"/>
            <wp:docPr id="4" name="Picture 4" descr="InvestmentStory レビュー資料図 4: アプリ実画面または改善後UI案" title="evidence_dividends.png"/>
            <wp:cNvGraphicFramePr>
              <a:graphicFrameLocks noChangeAspect="1"/>
            </wp:cNvGraphicFramePr>
            <a:graphic>
              <a:graphicData uri="http://schemas.openxmlformats.org/drawingml/2006/picture">
                <pic:pic>
                  <pic:nvPicPr>
                    <pic:cNvPr id="0" name="evidence_dividends.png"/>
                    <pic:cNvPicPr/>
                  </pic:nvPicPr>
                  <pic:blipFill>
                    <a:blip r:embed="rId14"/>
                    <a:stretch>
                      <a:fillRect/>
                    </a:stretch>
                  </pic:blipFill>
                  <pic:spPr>
                    <a:xfrm>
                      <a:off x="0" y="0"/>
                      <a:ext cx="6355080" cy="4241646"/>
                    </a:xfrm>
                    <a:prstGeom prst="rect"/>
                  </pic:spPr>
                </pic:pic>
              </a:graphicData>
            </a:graphic>
          </wp:inline>
        </w:drawing>
      </w:r>
    </w:p>
    <w:p>
      <w:pPr>
        <w:pStyle w:val="Caption"/>
        <w:jc w:val="left"/>
      </w:pPr>
      <w:r>
        <w:t>実画面：配当実績・予定（#10）。色分けされた棒グラフと実績・予定の年次サマリー。</w:t>
      </w:r>
    </w:p>
    <w:p>
      <w:pPr>
        <w:pStyle w:val="Heading2"/>
      </w:pPr>
      <w:r>
        <w:t>二重計上を避ける仕組みを、利用者にも見せる</w:t>
      </w:r>
    </w:p>
    <w:p>
      <w:r>
        <w:t>配当の実績・将来予定・推定が画面に存在する点は強みです。一方、色数とラベルが多いため、どの金額が「実際に入金済み」でどれが「計算上の推定」かを追うには注意が要ります。「期限経過・未照合」は今後の入金予定に混ぜず、独立の作業一覧で扱うF06を高く評価します。</w:t>
      </w:r>
    </w:p>
    <w:p>
      <w:pPr>
        <w:pStyle w:val="Heading1"/>
        <w:pageBreakBefore/>
      </w:pPr>
      <w:r>
        <w:t>5B｜画面レビュー：不労所得のKPI整理</w:t>
      </w:r>
    </w:p>
    <w:p>
      <w:pPr>
        <w:spacing w:before="60" w:after="40"/>
        <w:jc w:val="center"/>
      </w:pPr>
      <w:r>
        <w:drawing>
          <wp:inline xmlns:a="http://schemas.openxmlformats.org/drawingml/2006/main" xmlns:pic="http://schemas.openxmlformats.org/drawingml/2006/picture">
            <wp:extent cx="6355080" cy="3063786"/>
            <wp:docPr id="5" name="Picture 5" descr="InvestmentStory レビュー資料図 5: アプリ実画面または改善後UI案" title="evidence_income.png"/>
            <wp:cNvGraphicFramePr>
              <a:graphicFrameLocks noChangeAspect="1"/>
            </wp:cNvGraphicFramePr>
            <a:graphic>
              <a:graphicData uri="http://schemas.openxmlformats.org/drawingml/2006/picture">
                <pic:pic>
                  <pic:nvPicPr>
                    <pic:cNvPr id="0" name="evidence_income.png"/>
                    <pic:cNvPicPr/>
                  </pic:nvPicPr>
                  <pic:blipFill>
                    <a:blip r:embed="rId15"/>
                    <a:stretch>
                      <a:fillRect/>
                    </a:stretch>
                  </pic:blipFill>
                  <pic:spPr>
                    <a:xfrm>
                      <a:off x="0" y="0"/>
                      <a:ext cx="6355080" cy="3063786"/>
                    </a:xfrm>
                    <a:prstGeom prst="rect"/>
                  </pic:spPr>
                </pic:pic>
              </a:graphicData>
            </a:graphic>
          </wp:inline>
        </w:drawing>
      </w:r>
    </w:p>
    <w:p>
      <w:pPr>
        <w:pStyle w:val="Caption"/>
        <w:jc w:val="left"/>
      </w:pPr>
      <w:r>
        <w:t>実画面：不労所得（#14）。小型KPIが多く並び、似た年間指標が複数のカードに表示される。</w:t>
      </w:r>
    </w:p>
    <w:p>
      <w:r>
        <w:t>不労所得ページは「今月受取」「今年受取」「目標まで」「年間予測」の4指標を初期表示とし、税区分・NISA別・一日あたりなどの補足指標は詳細を開いて確認する方式が読みやすくなります。</w:t>
      </w:r>
    </w:p>
    <w:p>
      <w:pPr>
        <w:pStyle w:val="Heading1"/>
        <w:pageBreakBefore/>
      </w:pPr>
      <w:r>
        <w:t>6｜画面レビュー：シミュレーション・データ取込</w:t>
      </w:r>
    </w:p>
    <w:p>
      <w:pPr>
        <w:spacing w:before="60" w:after="40"/>
        <w:jc w:val="center"/>
      </w:pPr>
      <w:r>
        <w:drawing>
          <wp:inline xmlns:a="http://schemas.openxmlformats.org/drawingml/2006/main" xmlns:pic="http://schemas.openxmlformats.org/drawingml/2006/picture">
            <wp:extent cx="6355080" cy="4295975"/>
            <wp:docPr id="6" name="Picture 6" descr="InvestmentStory レビュー資料図 6: アプリ実画面または改善後UI案" title="evidence_simulation.png"/>
            <wp:cNvGraphicFramePr>
              <a:graphicFrameLocks noChangeAspect="1"/>
            </wp:cNvGraphicFramePr>
            <a:graphic>
              <a:graphicData uri="http://schemas.openxmlformats.org/drawingml/2006/picture">
                <pic:pic>
                  <pic:nvPicPr>
                    <pic:cNvPr id="0" name="evidence_simulation.png"/>
                    <pic:cNvPicPr/>
                  </pic:nvPicPr>
                  <pic:blipFill>
                    <a:blip r:embed="rId16"/>
                    <a:stretch>
                      <a:fillRect/>
                    </a:stretch>
                  </pic:blipFill>
                  <pic:spPr>
                    <a:xfrm>
                      <a:off x="0" y="0"/>
                      <a:ext cx="6355080" cy="4295975"/>
                    </a:xfrm>
                    <a:prstGeom prst="rect"/>
                  </pic:spPr>
                </pic:pic>
              </a:graphicData>
            </a:graphic>
          </wp:inline>
        </w:drawing>
      </w:r>
    </w:p>
    <w:p>
      <w:pPr>
        <w:pStyle w:val="Caption"/>
        <w:jc w:val="left"/>
      </w:pPr>
      <w:r>
        <w:t>実画面：未来シミュレーション（#17）。条件入力と多数のKPI、購入計画が同じ縦長画面に表示される。</w:t>
      </w:r>
    </w:p>
    <w:p>
      <w:r>
        <w:t>シミュレーションは既に実用的な入力項目と可視化があります。改善するなら「入力条件」「結果」「結果の前提・注意」「計画への保存」を段階で分離し、変更前後を並列比較できると判断しやすくなります。特に確定した配当実績と将来仮説の数値を同じ強さで表示しない設計が重要です。</w:t>
      </w:r>
    </w:p>
    <w:p>
      <w:pPr>
        <w:pStyle w:val="Heading1"/>
        <w:pageBreakBefore/>
      </w:pPr>
      <w:r>
        <w:t>6B｜画面レビュー：取込・統合設定</w:t>
      </w:r>
    </w:p>
    <w:p>
      <w:pPr>
        <w:spacing w:before="60" w:after="40"/>
        <w:jc w:val="center"/>
      </w:pPr>
      <w:r>
        <w:drawing>
          <wp:inline xmlns:a="http://schemas.openxmlformats.org/drawingml/2006/main" xmlns:pic="http://schemas.openxmlformats.org/drawingml/2006/picture">
            <wp:extent cx="6355080" cy="4350739"/>
            <wp:docPr id="7" name="Picture 7" descr="InvestmentStory レビュー資料図 7: アプリ実画面または改善後UI案" title="evidence_import_settings.png"/>
            <wp:cNvGraphicFramePr>
              <a:graphicFrameLocks noChangeAspect="1"/>
            </wp:cNvGraphicFramePr>
            <a:graphic>
              <a:graphicData uri="http://schemas.openxmlformats.org/drawingml/2006/picture">
                <pic:pic>
                  <pic:nvPicPr>
                    <pic:cNvPr id="0" name="evidence_import_settings.png"/>
                    <pic:cNvPicPr/>
                  </pic:nvPicPr>
                  <pic:blipFill>
                    <a:blip r:embed="rId17"/>
                    <a:stretch>
                      <a:fillRect/>
                    </a:stretch>
                  </pic:blipFill>
                  <pic:spPr>
                    <a:xfrm>
                      <a:off x="0" y="0"/>
                      <a:ext cx="6355080" cy="4350739"/>
                    </a:xfrm>
                    <a:prstGeom prst="rect"/>
                  </pic:spPr>
                </pic:pic>
              </a:graphicData>
            </a:graphic>
          </wp:inline>
        </w:drawing>
      </w:r>
    </w:p>
    <w:p>
      <w:pPr>
        <w:pStyle w:val="Caption"/>
        <w:jc w:val="left"/>
      </w:pPr>
      <w:r>
        <w:t>実画面：取込・統合設定（#24）。CSV優先・読み取り専用・発注なし等の安全方針は明示されている。</w:t>
      </w:r>
    </w:p>
    <w:p>
      <w:r>
        <w:t>取込画面は安全方針の説明が明確です。一方、長文の方針説明と登録済みデータ表よりも、通常時は「前回の取込・未照合件数・次に取込むCSV」を目立たせる方が操作上は有効です。設定画面は高度な項目として独立させることを勧めます。</w:t>
      </w:r>
    </w:p>
    <w:p>
      <w:pPr>
        <w:pStyle w:val="Heading1"/>
        <w:pageBreakBefore/>
      </w:pPr>
      <w:r>
        <w:t>7｜Astra案の評価：P0／P1</w:t>
      </w:r>
    </w:p>
    <w:p>
      <w:r>
        <w:t>以下は各F項目を「採用可／条件付き／実施上の注意」で評価したものです。仕様書は「実装完了報告ではない」と明記しており、実装済みと扱いません。</w:t>
      </w:r>
    </w:p>
    <w:tbl>
      <w:tblPr>
        <w:tblW w:type="auto" w:w="0"/>
        <w:jc w:val="center"/>
        <w:tblLayout w:type="fixed"/>
        <w:tblLook w:firstColumn="1" w:firstRow="1" w:lastColumn="0" w:lastRow="0" w:noHBand="0" w:noVBand="1" w:val="04A0"/>
      </w:tblPr>
      <w:tblGrid>
        <w:gridCol w:w="1728"/>
        <w:gridCol w:w="1944"/>
        <w:gridCol w:w="6451"/>
      </w:tblGrid>
      <w:tr>
        <w:trPr>
          <w:tblHeader w:val="true"/>
        </w:trPr>
        <w:tc>
          <w:tcPr>
            <w:tcW w:type="dxa" w:w="1728"/>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6"/>
              </w:rPr>
              <w:t>ID</w:t>
            </w:r>
          </w:p>
        </w:tc>
        <w:tc>
          <w:tcPr>
            <w:tcW w:type="dxa" w:w="1944"/>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6"/>
              </w:rPr>
              <w:t>評価</w:t>
            </w:r>
          </w:p>
        </w:tc>
        <w:tc>
          <w:tcPr>
            <w:tcW w:type="dxa" w:w="6451"/>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6"/>
              </w:rPr>
              <w:t>所見と実装時に守る条件</w:t>
            </w:r>
          </w:p>
        </w:tc>
      </w:tr>
      <w:tr>
        <w:trPr>
          <w:cantSplit/>
        </w:trPr>
        <w:tc>
          <w:tcPr>
            <w:tcW w:type="dxa" w:w="172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F01 取込照合</w:t>
            </w:r>
          </w:p>
        </w:tc>
        <w:tc>
          <w:tcPr>
            <w:tcW w:type="dxa" w:w="194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最優先・強く推奨</w:t>
            </w:r>
          </w:p>
        </w:tc>
        <w:tc>
          <w:tcPr>
            <w:tcW w:type="dxa" w:w="6451"/>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行別差分・前後合計・要確認の区分は必須。同日同額の正当取引を消さず、同一配当の外貨／円貨は根拠に基づき照合。</w:t>
            </w:r>
          </w:p>
        </w:tc>
      </w:tr>
      <w:tr>
        <w:trPr>
          <w:cantSplit/>
        </w:trPr>
        <w:tc>
          <w:tcPr>
            <w:tcW w:type="dxa" w:w="172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F02 復元</w:t>
            </w:r>
          </w:p>
        </w:tc>
        <w:tc>
          <w:tcPr>
            <w:tcW w:type="dxa" w:w="194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最優先・強く推奨</w:t>
            </w:r>
          </w:p>
        </w:tc>
        <w:tc>
          <w:tcPr>
            <w:tcW w:type="dxa" w:w="6451"/>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利用者が「成功済みの誤取込」から戻せる価値は大。DB全体復元は復元以降の編集消失を明示し、バックアップ破損検査を必須に。</w:t>
            </w:r>
          </w:p>
        </w:tc>
      </w:tr>
      <w:tr>
        <w:trPr>
          <w:cantSplit/>
        </w:trPr>
        <w:tc>
          <w:tcPr>
            <w:tcW w:type="dxa" w:w="172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F03 根拠・品質</w:t>
            </w:r>
          </w:p>
        </w:tc>
        <w:tc>
          <w:tcPr>
            <w:tcW w:type="dxa" w:w="194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最優先・要補足</w:t>
            </w:r>
          </w:p>
        </w:tc>
        <w:tc>
          <w:tcPr>
            <w:tcW w:type="dxa" w:w="6451"/>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概算／未確認を一貫表示。さらに「確定度」と「鮮度」を別軸に分離することを推奨。</w:t>
            </w:r>
          </w:p>
        </w:tc>
      </w:tr>
      <w:tr>
        <w:trPr>
          <w:cantSplit/>
        </w:trPr>
        <w:tc>
          <w:tcPr>
            <w:tcW w:type="dxa" w:w="172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F04 口座移管</w:t>
            </w:r>
          </w:p>
        </w:tc>
        <w:tc>
          <w:tcPr>
            <w:tcW w:type="dxa" w:w="194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推奨・慎重実装</w:t>
            </w:r>
          </w:p>
        </w:tc>
        <w:tc>
          <w:tcPr>
            <w:tcW w:type="dxa" w:w="6451"/>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数量・原価の引継ぎイベントを履歴化。口座移管と課税上のイベント、分割・合併を混同しない。</w:t>
            </w:r>
          </w:p>
        </w:tc>
      </w:tr>
      <w:tr>
        <w:trPr>
          <w:cantSplit/>
        </w:trPr>
        <w:tc>
          <w:tcPr>
            <w:tcW w:type="dxa" w:w="172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F05 原価補完</w:t>
            </w:r>
          </w:p>
        </w:tc>
        <w:tc>
          <w:tcPr>
            <w:tcW w:type="dxa" w:w="194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推奨・慎重実装</w:t>
            </w:r>
          </w:p>
        </w:tc>
        <w:tc>
          <w:tcPr>
            <w:tcW w:type="dxa" w:w="6451"/>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確定円額と参考為替による概算の領域を分離。取引日・出所・手数料の取扱いを履歴保存。</w:t>
            </w:r>
          </w:p>
        </w:tc>
      </w:tr>
      <w:tr>
        <w:trPr>
          <w:cantSplit/>
        </w:trPr>
        <w:tc>
          <w:tcPr>
            <w:tcW w:type="dxa" w:w="172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F06 配当照合</w:t>
            </w:r>
          </w:p>
        </w:tc>
        <w:tc>
          <w:tcPr>
            <w:tcW w:type="dxa" w:w="194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強く推奨</w:t>
            </w:r>
          </w:p>
        </w:tc>
        <w:tc>
          <w:tcPr>
            <w:tcW w:type="dxa" w:w="6451"/>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入金実績、将来予定、推定、期限経過・未照合を別状態にする。口座ごとの正当な別配当を保持。</w:t>
            </w:r>
          </w:p>
        </w:tc>
      </w:tr>
      <w:tr>
        <w:trPr>
          <w:cantSplit/>
        </w:trPr>
        <w:tc>
          <w:tcPr>
            <w:tcW w:type="dxa" w:w="172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F07 一覧操作</w:t>
            </w:r>
          </w:p>
        </w:tc>
        <w:tc>
          <w:tcPr>
            <w:tcW w:type="dxa" w:w="194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強く推奨</w:t>
            </w:r>
          </w:p>
        </w:tc>
        <w:tc>
          <w:tcPr>
            <w:tcW w:type="dxa" w:w="6451"/>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検索、固定列、集約／展開、列設定の保存。現状の横スクロール負荷に直接効く。</w:t>
            </w:r>
          </w:p>
        </w:tc>
      </w:tr>
      <w:tr>
        <w:trPr>
          <w:cantSplit/>
        </w:trPr>
        <w:tc>
          <w:tcPr>
            <w:tcW w:type="dxa" w:w="172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F08 グラフ</w:t>
            </w:r>
          </w:p>
        </w:tc>
        <w:tc>
          <w:tcPr>
            <w:tcW w:type="dxa" w:w="194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強く推奨</w:t>
            </w:r>
          </w:p>
        </w:tc>
        <w:tc>
          <w:tcPr>
            <w:tcW w:type="dxa" w:w="6451"/>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線種・凡例・表表示・0と欠測の区別。画面倍率とキーボード操作を受入試験へ。</w:t>
            </w:r>
          </w:p>
        </w:tc>
      </w:tr>
      <w:tr>
        <w:trPr>
          <w:cantSplit/>
        </w:trPr>
        <w:tc>
          <w:tcPr>
            <w:tcW w:type="dxa" w:w="172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F09 更新と復旧</w:t>
            </w:r>
          </w:p>
        </w:tc>
        <w:tc>
          <w:tcPr>
            <w:tcW w:type="dxa" w:w="194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強く推奨</w:t>
            </w:r>
          </w:p>
        </w:tc>
        <w:tc>
          <w:tcPr>
            <w:tcW w:type="dxa" w:w="6451"/>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残高／株価／為替／取込時刻を分離。エラー診断と再試行を容易にする。</w:t>
            </w:r>
          </w:p>
        </w:tc>
      </w:tr>
    </w:tbl>
    <w:p>
      <w:pPr>
        <w:spacing w:after="0"/>
      </w:pPr>
    </w:p>
    <w:tbl>
      <w:tblPr>
        <w:tblW w:type="auto" w:w="0"/>
        <w:tblLook w:firstColumn="1" w:firstRow="1" w:lastColumn="0" w:lastRow="0" w:noHBand="0" w:noVBand="1" w:val="04A0"/>
      </w:tblPr>
      <w:tblGrid>
        <w:gridCol w:w="10166"/>
      </w:tblGrid>
      <w:tr>
        <w:tc>
          <w:tcPr>
            <w:tcW w:type="dxa" w:w="10166"/>
            <w:shd w:fill="F2F7FA"/>
            <w:tcMar>
              <w:top w:w="150" w:type="dxa"/>
              <w:start w:w="180" w:type="dxa"/>
              <w:bottom w:w="150" w:type="dxa"/>
              <w:end w:w="180" w:type="dxa"/>
            </w:tcMar>
          </w:tcPr>
          <w:p>
            <w:r>
              <w:rPr>
                <w:b/>
                <w:color w:val="1672A4"/>
              </w:rPr>
              <w:t xml:space="preserve">順番への意見  </w:t>
            </w:r>
            <w:r>
              <w:rPr>
                <w:sz w:val="18"/>
              </w:rPr>
              <w:t>F01〜F03を最優先とする方針は維持。ただしF07〜F09のうち「ラベルの修正・時刻の明示・横スクロール解消」は、台帳改修の完了を待たず小さく先行実施すると日々の価値が出ます。</w:t>
            </w:r>
          </w:p>
        </w:tc>
      </w:tr>
    </w:tbl>
    <w:p>
      <w:pPr>
        <w:pStyle w:val="Heading1"/>
        <w:pageBreakBefore/>
      </w:pPr>
      <w:r>
        <w:t>8｜Astra案の評価：P2／P3</w:t>
      </w:r>
    </w:p>
    <w:tbl>
      <w:tblPr>
        <w:tblW w:type="auto" w:w="0"/>
        <w:jc w:val="center"/>
        <w:tblLayout w:type="fixed"/>
        <w:tblLook w:firstColumn="1" w:firstRow="1" w:lastColumn="0" w:lastRow="0" w:noHBand="0" w:noVBand="1" w:val="04A0"/>
      </w:tblPr>
      <w:tblGrid>
        <w:gridCol w:w="1728"/>
        <w:gridCol w:w="2146"/>
        <w:gridCol w:w="6250"/>
      </w:tblGrid>
      <w:tr>
        <w:trPr>
          <w:tblHeader w:val="true"/>
        </w:trPr>
        <w:tc>
          <w:tcPr>
            <w:tcW w:type="dxa" w:w="1728"/>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6"/>
              </w:rPr>
              <w:t>ID</w:t>
            </w:r>
          </w:p>
        </w:tc>
        <w:tc>
          <w:tcPr>
            <w:tcW w:type="dxa" w:w="2146"/>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6"/>
              </w:rPr>
              <w:t>評価</w:t>
            </w:r>
          </w:p>
        </w:tc>
        <w:tc>
          <w:tcPr>
            <w:tcW w:type="dxa" w:w="6250"/>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6"/>
              </w:rPr>
              <w:t>所見と実装時に守る条件</w:t>
            </w:r>
          </w:p>
        </w:tc>
      </w:tr>
      <w:tr>
        <w:trPr>
          <w:cantSplit/>
        </w:trPr>
        <w:tc>
          <w:tcPr>
            <w:tcW w:type="dxa" w:w="172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F10 資金台帳</w:t>
            </w:r>
          </w:p>
        </w:tc>
        <w:tc>
          <w:tcPr>
            <w:tcW w:type="dxa" w:w="2146"/>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重要・範囲大</w:t>
            </w:r>
          </w:p>
        </w:tc>
        <w:tc>
          <w:tcPr>
            <w:tcW w:type="dxa" w:w="6250"/>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現金、両替、税・手数料、振替を履歴化する土台。開始残高未確定の期間を完全再現と見せない。</w:t>
            </w:r>
          </w:p>
        </w:tc>
      </w:tr>
      <w:tr>
        <w:trPr>
          <w:cantSplit/>
        </w:trPr>
        <w:tc>
          <w:tcPr>
            <w:tcW w:type="dxa" w:w="172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F11 TWR/XIRR</w:t>
            </w:r>
          </w:p>
        </w:tc>
        <w:tc>
          <w:tcPr>
            <w:tcW w:type="dxa" w:w="2146"/>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重要・前提必須</w:t>
            </w:r>
          </w:p>
        </w:tc>
        <w:tc>
          <w:tcPr>
            <w:tcW w:type="dxa" w:w="6250"/>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全資産の実績成績はF10＋評価履歴後。入出金だけで利益が出ない試験を必須に。比較指数も通貨／配当条件を一致。</w:t>
            </w:r>
          </w:p>
        </w:tc>
      </w:tr>
      <w:tr>
        <w:trPr>
          <w:cantSplit/>
        </w:trPr>
        <w:tc>
          <w:tcPr>
            <w:tcW w:type="dxa" w:w="172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F12 配分目標</w:t>
            </w:r>
          </w:p>
        </w:tc>
        <w:tc>
          <w:tcPr>
            <w:tcW w:type="dxa" w:w="2146"/>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推奨</w:t>
            </w:r>
          </w:p>
        </w:tc>
        <w:tc>
          <w:tcPr>
            <w:tcW w:type="dxa" w:w="6250"/>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目標差額・調整案は便利。ただし分類不能や流動性・税・手数料を明示。注文機能は付けない。</w:t>
            </w:r>
          </w:p>
        </w:tc>
      </w:tr>
      <w:tr>
        <w:trPr>
          <w:cantSplit/>
        </w:trPr>
        <w:tc>
          <w:tcPr>
            <w:tcW w:type="dxa" w:w="172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F13 通知</w:t>
            </w:r>
          </w:p>
        </w:tc>
        <w:tc>
          <w:tcPr>
            <w:tcW w:type="dxa" w:w="2146"/>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推奨・連携先を明確に</w:t>
            </w:r>
          </w:p>
        </w:tc>
        <w:tc>
          <w:tcPr>
            <w:tcW w:type="dxa" w:w="6250"/>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同一イベントの再通知抑止に加え、アプリ起動時の表示かOS通知かを定義。初期値は低頻度に。</w:t>
            </w:r>
          </w:p>
        </w:tc>
      </w:tr>
      <w:tr>
        <w:trPr>
          <w:cantSplit/>
        </w:trPr>
        <w:tc>
          <w:tcPr>
            <w:tcW w:type="dxa" w:w="172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F14 出力</w:t>
            </w:r>
          </w:p>
        </w:tc>
        <w:tc>
          <w:tcPr>
            <w:tcW w:type="dxa" w:w="2146"/>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推奨</w:t>
            </w:r>
          </w:p>
        </w:tc>
        <w:tc>
          <w:tcPr>
            <w:tcW w:type="dxa" w:w="6250"/>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CSVと月次レポートに基準日・定義・概算有無を付す。個人金融情報を含むため公開・共有時のマスキングを追加。</w:t>
            </w:r>
          </w:p>
        </w:tc>
      </w:tr>
      <w:tr>
        <w:trPr>
          <w:cantSplit/>
        </w:trPr>
        <w:tc>
          <w:tcPr>
            <w:tcW w:type="dxa" w:w="172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F15 NISA履歴</w:t>
            </w:r>
          </w:p>
        </w:tc>
        <w:tc>
          <w:tcPr>
            <w:tcW w:type="dxa" w:w="2146"/>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推奨・法令確認</w:t>
            </w:r>
          </w:p>
        </w:tc>
        <w:tc>
          <w:tcPr>
            <w:tcW w:type="dxa" w:w="6250"/>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評価額と枠使用量を混同しない。制度改正・成長投資枠等の扱いは実装時の公式資料で再確認。</w:t>
            </w:r>
          </w:p>
        </w:tc>
      </w:tr>
      <w:tr>
        <w:trPr>
          <w:cantSplit/>
        </w:trPr>
        <w:tc>
          <w:tcPr>
            <w:tcW w:type="dxa" w:w="172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F16 自動連携</w:t>
            </w:r>
          </w:p>
        </w:tc>
        <w:tc>
          <w:tcPr>
            <w:tcW w:type="dxa" w:w="2146"/>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将来候補で妥当</w:t>
            </w:r>
          </w:p>
        </w:tc>
        <w:tc>
          <w:tcPr>
            <w:tcW w:type="dxa" w:w="6250"/>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自動確定を急がず、まず新規CSV検出→利用者プレビュー。認証を伴う自動連携は権限・費用・保守を検証。</w:t>
            </w:r>
          </w:p>
        </w:tc>
      </w:tr>
      <w:tr>
        <w:trPr>
          <w:cantSplit/>
        </w:trPr>
        <w:tc>
          <w:tcPr>
            <w:tcW w:type="dxa" w:w="172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F17 投信内訳</w:t>
            </w:r>
          </w:p>
        </w:tc>
        <w:tc>
          <w:tcPr>
            <w:tcW w:type="dxa" w:w="2146"/>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将来候補で妥当</w:t>
            </w:r>
          </w:p>
        </w:tc>
        <w:tc>
          <w:tcPr>
            <w:tcW w:type="dxa" w:w="6250"/>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組入日付・データカバー率・二重集計防止が必要。ライセンスコストも考慮。</w:t>
            </w:r>
          </w:p>
        </w:tc>
      </w:tr>
      <w:tr>
        <w:trPr>
          <w:cantSplit/>
        </w:trPr>
        <w:tc>
          <w:tcPr>
            <w:tcW w:type="dxa" w:w="172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F18 追加シナリオ</w:t>
            </w:r>
          </w:p>
        </w:tc>
        <w:tc>
          <w:tcPr>
            <w:tcW w:type="dxa" w:w="2146"/>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将来候補で妥当</w:t>
            </w:r>
          </w:p>
        </w:tc>
        <w:tc>
          <w:tcPr>
            <w:tcW w:type="dxa" w:w="6250"/>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保存と比較を中心にする。実績と仮説の混線、実データ更新への副作用を避ける。</w:t>
            </w:r>
          </w:p>
        </w:tc>
      </w:tr>
    </w:tbl>
    <w:p>
      <w:pPr>
        <w:spacing w:after="0"/>
      </w:pPr>
    </w:p>
    <w:p>
      <w:pPr>
        <w:pStyle w:val="Heading2"/>
      </w:pPr>
      <w:r>
        <w:t>特に評価した設計思想</w:t>
      </w:r>
    </w:p>
    <w:p>
      <w:pPr>
        <w:pStyle w:val="ListBullet"/>
        <w:ind w:left="331" w:hanging="173"/>
      </w:pPr>
      <w:r>
        <w:t>「資産額の増減」と「運用利回り」を明確に分ける。総合損益率をTWR相当に見せない。</w:t>
      </w:r>
    </w:p>
    <w:p>
      <w:pPr>
        <w:pStyle w:val="ListBullet"/>
        <w:ind w:left="331" w:hanging="173"/>
      </w:pPr>
      <w:r>
        <w:t>推定原価を税務用確定原価と混ぜない。</w:t>
      </w:r>
    </w:p>
    <w:p>
      <w:pPr>
        <w:pStyle w:val="ListBullet"/>
        <w:ind w:left="331" w:hanging="173"/>
      </w:pPr>
      <w:r>
        <w:t>複数口座で同じ銘柄・同じ金額の配当を安易に重複排除しない。</w:t>
      </w:r>
    </w:p>
    <w:p>
      <w:pPr>
        <w:pStyle w:val="ListBullet"/>
        <w:ind w:left="331" w:hanging="173"/>
      </w:pPr>
      <w:r>
        <w:t>非同期処理・原子的な取込・回帰テストを重視し、全体を書き直さない。</w:t>
      </w:r>
    </w:p>
    <w:p>
      <w:pPr>
        <w:pStyle w:val="Heading1"/>
        <w:pageBreakBefore/>
      </w:pPr>
      <w:r>
        <w:t>9｜Astra案に追加したい仕様上の修正</w:t>
      </w:r>
    </w:p>
    <w:p>
      <w:r>
        <w:rPr>
          <w:i/>
          <w:color w:val="5E7186"/>
          <w:sz w:val="17"/>
        </w:rPr>
        <w:t>新しい機能というより、既存F項目の要件を明確にする指摘です。先に確定したい順に記載します。</w:t>
      </w:r>
    </w:p>
    <w:p>
      <w:pPr>
        <w:pStyle w:val="Heading2"/>
      </w:pPr>
      <w:r>
        <w:t>必須  |  F03  確定度と鮮度を別々に持つ</w:t>
      </w:r>
    </w:p>
    <w:p>
      <w:r>
        <w:t>確定・概算・未確認はデータの確からしさ、最新・遅延・時刻不明は鮮度です。単一の4状態にすると「確定だが古い」の表現が難しくなります。</w:t>
      </w:r>
    </w:p>
    <w:p>
      <w:pPr>
        <w:pStyle w:val="Heading2"/>
      </w:pPr>
      <w:r>
        <w:t>必須  |  F02  復元時の「失われる編集」を日時・件数で示す</w:t>
      </w:r>
    </w:p>
    <w:p>
      <w:r>
        <w:t>バックアップへ戻す前に、バックアップ以降の取込・手動編集・保存計画の消失範囲を表示し、事前退避と検証結果を残します。</w:t>
      </w:r>
    </w:p>
    <w:p>
      <w:pPr>
        <w:pStyle w:val="Heading2"/>
      </w:pPr>
      <w:r>
        <w:t>必須  |  F01  重複の同一性キー・証拠の優先順位を定義</w:t>
      </w:r>
    </w:p>
    <w:p>
      <w:r>
        <w:t>ファイルハッシュ＝取引IDではありません。証券会社の取引番号、注文番号、日時、口座、数量、通貨などの組合せで曖昧な場合は要確認へ。</w:t>
      </w:r>
    </w:p>
    <w:p>
      <w:pPr>
        <w:pStyle w:val="Heading2"/>
      </w:pPr>
      <w:r>
        <w:t>必須  |  F10/11  履歴不足期間を算出可能とみなさない</w:t>
      </w:r>
    </w:p>
    <w:p>
      <w:r>
        <w:t>現金期首・期末、外部入出金と時点評価が揃った期間のみTWR/XIRRを算出。証跡のない遡及推計は明示します。</w:t>
      </w:r>
    </w:p>
    <w:p>
      <w:pPr>
        <w:pStyle w:val="Heading2"/>
      </w:pPr>
      <w:r>
        <w:t>高  |  F06  支払予定日と権利確定日を分ける</w:t>
      </w:r>
    </w:p>
    <w:p>
      <w:r>
        <w:t>口座・税区分・為替換算日・銘柄企業行動も照合キーに含め、期限経過を未来予測額に算入しません。</w:t>
      </w:r>
    </w:p>
    <w:p>
      <w:pPr>
        <w:pStyle w:val="Heading2"/>
      </w:pPr>
      <w:r>
        <w:t>高  |  F14/15  出力・制度計算の定義版とプライバシー</w:t>
      </w:r>
    </w:p>
    <w:p>
      <w:r>
        <w:t>PDF/CSVに算式版と出所を含め、共有用の金額・口座・パスをマスキング。NISAの制度年度は適用日を記録します。</w:t>
      </w:r>
    </w:p>
    <w:p>
      <w:pPr>
        <w:pStyle w:val="Heading1"/>
        <w:pageBreakBefore/>
      </w:pPr>
      <w:r>
        <w:t>10｜仕様書にない改善提案（追加A01〜A10）</w:t>
      </w:r>
    </w:p>
    <w:p>
      <w:r>
        <w:t>F01〜F18に既に含まれる内容は重複提案にしません。下記は、仕様書にない独立した運用体験・品質管理の仕組み、または十分に定義されていない横断機能です。</w:t>
      </w:r>
    </w:p>
    <w:tbl>
      <w:tblPr>
        <w:tblW w:type="auto" w:w="0"/>
        <w:jc w:val="center"/>
        <w:tblLayout w:type="fixed"/>
        <w:tblLook w:firstColumn="1" w:firstRow="1" w:lastColumn="0" w:lastRow="0" w:noHBand="0" w:noVBand="1" w:val="04A0"/>
      </w:tblPr>
      <w:tblGrid>
        <w:gridCol w:w="749"/>
        <w:gridCol w:w="806"/>
        <w:gridCol w:w="2693"/>
        <w:gridCol w:w="5875"/>
      </w:tblGrid>
      <w:tr>
        <w:trPr>
          <w:tblHeader w:val="true"/>
        </w:trPr>
        <w:tc>
          <w:tcPr>
            <w:tcW w:type="dxa" w:w="749"/>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6"/>
              </w:rPr>
              <w:t>ID</w:t>
            </w:r>
          </w:p>
        </w:tc>
        <w:tc>
          <w:tcPr>
            <w:tcW w:type="dxa" w:w="806"/>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6"/>
              </w:rPr>
              <w:t>優先度</w:t>
            </w:r>
          </w:p>
        </w:tc>
        <w:tc>
          <w:tcPr>
            <w:tcW w:type="dxa" w:w="2693"/>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6"/>
              </w:rPr>
              <w:t>追加案</w:t>
            </w:r>
          </w:p>
        </w:tc>
        <w:tc>
          <w:tcPr>
            <w:tcW w:type="dxa" w:w="5875"/>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6"/>
              </w:rPr>
              <w:t>実装の意図・受入観点</w:t>
            </w:r>
          </w:p>
        </w:tc>
      </w:tr>
      <w:tr>
        <w:trPr>
          <w:cantSplit/>
        </w:trPr>
        <w:tc>
          <w:tcPr>
            <w:tcW w:type="dxa" w:w="749"/>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A01</w:t>
            </w:r>
          </w:p>
        </w:tc>
        <w:tc>
          <w:tcPr>
            <w:tcW w:type="dxa" w:w="806"/>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P1</w:t>
            </w:r>
          </w:p>
        </w:tc>
        <w:tc>
          <w:tcPr>
            <w:tcW w:type="dxa" w:w="2693"/>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統合「今日の確認」受信箱</w:t>
            </w:r>
          </w:p>
        </w:tc>
        <w:tc>
          <w:tcPr>
            <w:tcW w:type="dxa" w:w="5875"/>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CSV競合・原価不足・期限経過配当・更新失敗を横断集約し、重要順表示。クリックで該当行へ。</w:t>
            </w:r>
          </w:p>
        </w:tc>
      </w:tr>
      <w:tr>
        <w:trPr>
          <w:cantSplit/>
        </w:trPr>
        <w:tc>
          <w:tcPr>
            <w:tcW w:type="dxa" w:w="749"/>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A02</w:t>
            </w:r>
          </w:p>
        </w:tc>
        <w:tc>
          <w:tcPr>
            <w:tcW w:type="dxa" w:w="806"/>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P1</w:t>
            </w:r>
          </w:p>
        </w:tc>
        <w:tc>
          <w:tcPr>
            <w:tcW w:type="dxa" w:w="2693"/>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プライバシー表示モード</w:t>
            </w:r>
          </w:p>
        </w:tc>
        <w:tc>
          <w:tcPr>
            <w:tcW w:type="dxa" w:w="5875"/>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外部画面共有時に金額・保有数量・口座・DB絶対パスを一括マスク。解除を意図的操作に。</w:t>
            </w:r>
          </w:p>
        </w:tc>
      </w:tr>
      <w:tr>
        <w:trPr>
          <w:cantSplit/>
        </w:trPr>
        <w:tc>
          <w:tcPr>
            <w:tcW w:type="dxa" w:w="749"/>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A03</w:t>
            </w:r>
          </w:p>
        </w:tc>
        <w:tc>
          <w:tcPr>
            <w:tcW w:type="dxa" w:w="806"/>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P1</w:t>
            </w:r>
          </w:p>
        </w:tc>
        <w:tc>
          <w:tcPr>
            <w:tcW w:type="dxa" w:w="2693"/>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全画面の表示密度・拡大設定</w:t>
            </w:r>
          </w:p>
        </w:tc>
        <w:tc>
          <w:tcPr>
            <w:tcW w:type="dxa" w:w="5875"/>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標準／コンパクト／大きな文字。125/150% DPIとキーボードフォーカスを画面全体で確認。</w:t>
            </w:r>
          </w:p>
        </w:tc>
      </w:tr>
      <w:tr>
        <w:trPr>
          <w:cantSplit/>
        </w:trPr>
        <w:tc>
          <w:tcPr>
            <w:tcW w:type="dxa" w:w="749"/>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A04</w:t>
            </w:r>
          </w:p>
        </w:tc>
        <w:tc>
          <w:tcPr>
            <w:tcW w:type="dxa" w:w="806"/>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P1</w:t>
            </w:r>
          </w:p>
        </w:tc>
        <w:tc>
          <w:tcPr>
            <w:tcW w:type="dxa" w:w="2693"/>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異常値・整合性の横断チェック</w:t>
            </w:r>
          </w:p>
        </w:tc>
        <w:tc>
          <w:tcPr>
            <w:tcW w:type="dxa" w:w="5875"/>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株価急変、通貨取り違え、分割前後の数量急増、損益の符号などを警告。自動修正はしない。</w:t>
            </w:r>
          </w:p>
        </w:tc>
      </w:tr>
      <w:tr>
        <w:trPr>
          <w:cantSplit/>
        </w:trPr>
        <w:tc>
          <w:tcPr>
            <w:tcW w:type="dxa" w:w="749"/>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A05</w:t>
            </w:r>
          </w:p>
        </w:tc>
        <w:tc>
          <w:tcPr>
            <w:tcW w:type="dxa" w:w="806"/>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P1</w:t>
            </w:r>
          </w:p>
        </w:tc>
        <w:tc>
          <w:tcPr>
            <w:tcW w:type="dxa" w:w="2693"/>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CSV形式変更の追跡と互換試験</w:t>
            </w:r>
          </w:p>
        </w:tc>
        <w:tc>
          <w:tcPr>
            <w:tcW w:type="dxa" w:w="5875"/>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SBI/野村の明細列変更を検出し、形式版の対応表と固定テストデータを更新。黙って列を捨てない。</w:t>
            </w:r>
          </w:p>
        </w:tc>
      </w:tr>
      <w:tr>
        <w:trPr>
          <w:cantSplit/>
        </w:trPr>
        <w:tc>
          <w:tcPr>
            <w:tcW w:type="dxa" w:w="749"/>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A06</w:t>
            </w:r>
          </w:p>
        </w:tc>
        <w:tc>
          <w:tcPr>
            <w:tcW w:type="dxa" w:w="806"/>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P2</w:t>
            </w:r>
          </w:p>
        </w:tc>
        <w:tc>
          <w:tcPr>
            <w:tcW w:type="dxa" w:w="2693"/>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月末確定スナップショット</w:t>
            </w:r>
          </w:p>
        </w:tc>
        <w:tc>
          <w:tcPr>
            <w:tcW w:type="dxa" w:w="5875"/>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締めた月の残高・算式版・換算根拠を保存。後日の再取込で過去グラフが変わった場合は差分を説明。</w:t>
            </w:r>
          </w:p>
        </w:tc>
      </w:tr>
      <w:tr>
        <w:trPr>
          <w:cantSplit/>
        </w:trPr>
        <w:tc>
          <w:tcPr>
            <w:tcW w:type="dxa" w:w="749"/>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A07</w:t>
            </w:r>
          </w:p>
        </w:tc>
        <w:tc>
          <w:tcPr>
            <w:tcW w:type="dxa" w:w="806"/>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P0+</w:t>
            </w:r>
          </w:p>
        </w:tc>
        <w:tc>
          <w:tcPr>
            <w:tcW w:type="dxa" w:w="2693"/>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バックアップの世代・容量・復元演習</w:t>
            </w:r>
          </w:p>
        </w:tc>
        <w:tc>
          <w:tcPr>
            <w:tcW w:type="dxa" w:w="5875"/>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F02に保持上限、暗号化、別媒体保存、定期復元試験を追加。バックアップ成功ログだけでは安心しない。</w:t>
            </w:r>
          </w:p>
        </w:tc>
      </w:tr>
      <w:tr>
        <w:trPr>
          <w:cantSplit/>
        </w:trPr>
        <w:tc>
          <w:tcPr>
            <w:tcW w:type="dxa" w:w="749"/>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A08</w:t>
            </w:r>
          </w:p>
        </w:tc>
        <w:tc>
          <w:tcPr>
            <w:tcW w:type="dxa" w:w="806"/>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P2</w:t>
            </w:r>
          </w:p>
        </w:tc>
        <w:tc>
          <w:tcPr>
            <w:tcW w:type="dxa" w:w="2693"/>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初回利用ウィザードと画面内ヘルプ</w:t>
            </w:r>
          </w:p>
        </w:tc>
        <w:tc>
          <w:tcPr>
            <w:tcW w:type="dxa" w:w="5875"/>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データがない場合に「サンプル／CSV取込／手動登録」を案内。初回作業と用語定義を短く示す。</w:t>
            </w:r>
          </w:p>
        </w:tc>
      </w:tr>
      <w:tr>
        <w:trPr>
          <w:cantSplit/>
        </w:trPr>
        <w:tc>
          <w:tcPr>
            <w:tcW w:type="dxa" w:w="749"/>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A09</w:t>
            </w:r>
          </w:p>
        </w:tc>
        <w:tc>
          <w:tcPr>
            <w:tcW w:type="dxa" w:w="806"/>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P2</w:t>
            </w:r>
          </w:p>
        </w:tc>
        <w:tc>
          <w:tcPr>
            <w:tcW w:type="dxa" w:w="2693"/>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手動修正の影響プレビュー</w:t>
            </w:r>
          </w:p>
        </w:tc>
        <w:tc>
          <w:tcPr>
            <w:tcW w:type="dxa" w:w="5875"/>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取得原価・口座・数量の変更前後を一覧化し、確認後反映。手動修正履歴から変更単位で再調整可能に。</w:t>
            </w:r>
          </w:p>
        </w:tc>
      </w:tr>
      <w:tr>
        <w:trPr>
          <w:cantSplit/>
        </w:trPr>
        <w:tc>
          <w:tcPr>
            <w:tcW w:type="dxa" w:w="749"/>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A10</w:t>
            </w:r>
          </w:p>
        </w:tc>
        <w:tc>
          <w:tcPr>
            <w:tcW w:type="dxa" w:w="806"/>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P2</w:t>
            </w:r>
          </w:p>
        </w:tc>
        <w:tc>
          <w:tcPr>
            <w:tcW w:type="dxa" w:w="2693"/>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オフライン閲覧モード</w:t>
            </w:r>
          </w:p>
        </w:tc>
        <w:tc>
          <w:tcPr>
            <w:tcW w:type="dxa" w:w="5875"/>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通信不能でも直近確定データは閲覧可能。株価・為替は古いと明示し、更新失敗で誤った0にしない。</w:t>
            </w:r>
          </w:p>
        </w:tc>
      </w:tr>
    </w:tbl>
    <w:p>
      <w:pPr>
        <w:spacing w:after="0"/>
      </w:pPr>
    </w:p>
    <w:p>
      <w:pPr>
        <w:pStyle w:val="Heading1"/>
        <w:pageBreakBefore/>
      </w:pPr>
      <w:r>
        <w:t>11｜追加提案の中で特に効果が大きいもの</w:t>
      </w:r>
    </w:p>
    <w:p>
      <w:pPr>
        <w:pStyle w:val="Heading2"/>
      </w:pPr>
      <w:r>
        <w:t>A01 統合「今日の確認」：アプリを作業支援へ進化させる</w:t>
      </w:r>
    </w:p>
    <w:p>
      <w:r>
        <w:t>現状は画面を巡回して確認する情報が分散します。配当・取込・原価・価格更新の「未解決」を統一し、期限、件数、影響金額、次の操作を一列で示すと、毎日アプリを起動する理由がはっきりします。F03の根拠表示とF06の配当照合を利用し、通知機能F13は同じ一覧を参照する構成がよいです。</w:t>
      </w:r>
    </w:p>
    <w:p>
      <w:pPr>
        <w:pStyle w:val="Heading2"/>
      </w:pPr>
      <w:r>
        <w:t>A02 画面共有用のマスキング：個人金融アプリでは優先度高</w:t>
      </w:r>
    </w:p>
    <w:p>
      <w:r>
        <w:t>実画面には金額・銘柄・口座・ローカルDBの絶対パス等が見えます。Teams共有やスクリーンショット撮影時には、クリック一つで資産額や口座情報を「●●●」へ切り替える表示モードが有用です。外部送信・診断出力だけを保護するF09/F14ではカバーしません。</w:t>
      </w:r>
    </w:p>
    <w:p>
      <w:pPr>
        <w:pStyle w:val="Heading2"/>
      </w:pPr>
      <w:r>
        <w:t>A04 異常値チェック：人の目による見逃しを減らす</w:t>
      </w:r>
    </w:p>
    <w:p>
      <w:r>
        <w:t>異常な増減を見たとき、すぐ誤取込と判断するのではなく「分割・通貨換算・企業行動・評価ソース変更」の可能性を候補表示します。正当な変動を自動修正せず、確認理由を付けて保留できる構造がよいです。</w:t>
      </w:r>
    </w:p>
    <w:p>
      <w:pPr>
        <w:pStyle w:val="Heading2"/>
      </w:pPr>
      <w:r>
        <w:t>A06 月末スナップショット：後から変わる数字に説明を付ける</w:t>
      </w:r>
    </w:p>
    <w:p>
      <w:r>
        <w:t>CSV再取込や原価の確定により、過去のグラフが後から変わることはあり得ます。月末の「当時表示していた数字」と「現時点で再計算した数字」を混同せず、変化の理由を確認できると長期の振り返りに役立ちます。</w:t>
      </w:r>
    </w:p>
    <w:tbl>
      <w:tblPr>
        <w:tblW w:type="auto" w:w="0"/>
        <w:tblLook w:firstColumn="1" w:firstRow="1" w:lastColumn="0" w:lastRow="0" w:noHBand="0" w:noVBand="1" w:val="04A0"/>
      </w:tblPr>
      <w:tblGrid>
        <w:gridCol w:w="10166"/>
      </w:tblGrid>
      <w:tr>
        <w:tc>
          <w:tcPr>
            <w:tcW w:type="dxa" w:w="10166"/>
            <w:shd w:fill="F2F7FA"/>
            <w:tcMar>
              <w:top w:w="150" w:type="dxa"/>
              <w:start w:w="180" w:type="dxa"/>
              <w:bottom w:w="150" w:type="dxa"/>
              <w:end w:w="180" w:type="dxa"/>
            </w:tcMar>
          </w:tcPr>
          <w:p>
            <w:r>
              <w:rPr>
                <w:b/>
                <w:color w:val="1672A4"/>
              </w:rPr>
              <w:t xml:space="preserve">提案の境界  </w:t>
            </w:r>
            <w:r>
              <w:rPr>
                <w:sz w:val="18"/>
              </w:rPr>
              <w:t>A01はF03/F06/F09を横断するUI、A04はF01の単一CSVの検証を超えた横断監査、A06はF14のPDF出力とは別の履歴凍結、A02はF09のログ秘匿を超えた表示そのものの秘匿です。</w:t>
            </w:r>
          </w:p>
        </w:tc>
      </w:tr>
    </w:tbl>
    <w:p>
      <w:pPr>
        <w:pStyle w:val="Heading1"/>
        <w:pageBreakBefore/>
      </w:pPr>
      <w:r>
        <w:t>12｜画像生成による画面コンセプト</w:t>
      </w:r>
    </w:p>
    <w:p>
      <w:r>
        <w:t>画像生成を使用し、ダッシュボード統合と取込差分という2つの改善方向をビジュアル化しました。以下は発想を共有するための参考画像です。図中の値・語句・画面構成は実データや実装済み機能の保証ではありません。</w:t>
      </w:r>
    </w:p>
    <w:p>
      <w:pPr>
        <w:pStyle w:val="Heading2"/>
      </w:pPr>
      <w:r>
        <w:t>アイデア A：資産状況の統合ダッシュボード</w:t>
      </w:r>
    </w:p>
    <w:p>
      <w:pPr>
        <w:spacing w:before="60" w:after="40"/>
        <w:jc w:val="center"/>
      </w:pPr>
      <w:r>
        <w:drawing>
          <wp:inline xmlns:a="http://schemas.openxmlformats.org/drawingml/2006/main" xmlns:pic="http://schemas.openxmlformats.org/drawingml/2006/picture">
            <wp:extent cx="5422392" cy="2612535"/>
            <wp:docPr id="8" name="Picture 8" descr="InvestmentStory レビュー資料図 8: アプリ実画面または改善後UI案" title="imagegen_concept_dashboard.png"/>
            <wp:cNvGraphicFramePr>
              <a:graphicFrameLocks noChangeAspect="1"/>
            </wp:cNvGraphicFramePr>
            <a:graphic>
              <a:graphicData uri="http://schemas.openxmlformats.org/drawingml/2006/picture">
                <pic:pic>
                  <pic:nvPicPr>
                    <pic:cNvPr id="0" name="imagegen_concept_dashboard.png"/>
                    <pic:cNvPicPr/>
                  </pic:nvPicPr>
                  <pic:blipFill>
                    <a:blip r:embed="rId18"/>
                    <a:stretch>
                      <a:fillRect/>
                    </a:stretch>
                  </pic:blipFill>
                  <pic:spPr>
                    <a:xfrm>
                      <a:off x="0" y="0"/>
                      <a:ext cx="5422392" cy="2612535"/>
                    </a:xfrm>
                    <a:prstGeom prst="rect"/>
                  </pic:spPr>
                </pic:pic>
              </a:graphicData>
            </a:graphic>
          </wp:inline>
        </w:drawing>
      </w:r>
    </w:p>
    <w:p>
      <w:pPr>
        <w:pStyle w:val="Caption"/>
        <w:jc w:val="left"/>
      </w:pPr>
      <w:r>
        <w:t>生成画像から画面部分を抽出。全体把握の方向性を示す参考図（文字・数値はダミー）。</w:t>
      </w:r>
    </w:p>
    <w:p>
      <w:pPr>
        <w:pStyle w:val="Heading2"/>
      </w:pPr>
      <w:r>
        <w:t>アイデア B：CSV取込の照合プレビュー</w:t>
      </w:r>
    </w:p>
    <w:p>
      <w:pPr>
        <w:spacing w:before="60" w:after="40"/>
        <w:jc w:val="center"/>
      </w:pPr>
      <w:r>
        <w:drawing>
          <wp:inline xmlns:a="http://schemas.openxmlformats.org/drawingml/2006/main" xmlns:pic="http://schemas.openxmlformats.org/drawingml/2006/picture">
            <wp:extent cx="5422392" cy="2060508"/>
            <wp:docPr id="9" name="Picture 9" descr="InvestmentStory レビュー資料図 9: アプリ実画面または改善後UI案" title="imagegen_concept_csv.png"/>
            <wp:cNvGraphicFramePr>
              <a:graphicFrameLocks noChangeAspect="1"/>
            </wp:cNvGraphicFramePr>
            <a:graphic>
              <a:graphicData uri="http://schemas.openxmlformats.org/drawingml/2006/picture">
                <pic:pic>
                  <pic:nvPicPr>
                    <pic:cNvPr id="0" name="imagegen_concept_csv.png"/>
                    <pic:cNvPicPr/>
                  </pic:nvPicPr>
                  <pic:blipFill>
                    <a:blip r:embed="rId19"/>
                    <a:stretch>
                      <a:fillRect/>
                    </a:stretch>
                  </pic:blipFill>
                  <pic:spPr>
                    <a:xfrm>
                      <a:off x="0" y="0"/>
                      <a:ext cx="5422392" cy="2060508"/>
                    </a:xfrm>
                    <a:prstGeom prst="rect"/>
                  </pic:spPr>
                </pic:pic>
              </a:graphicData>
            </a:graphic>
          </wp:inline>
        </w:drawing>
      </w:r>
    </w:p>
    <w:p>
      <w:pPr>
        <w:pStyle w:val="Caption"/>
        <w:jc w:val="left"/>
      </w:pPr>
      <w:r>
        <w:t>生成画像から画面部分を抽出。件数・分類・原情報を一画面で確認する方向性を示す。</w:t>
      </w:r>
    </w:p>
    <w:tbl>
      <w:tblPr>
        <w:tblW w:type="auto" w:w="0"/>
        <w:tblLook w:firstColumn="1" w:firstRow="1" w:lastColumn="0" w:lastRow="0" w:noHBand="0" w:noVBand="1" w:val="04A0"/>
      </w:tblPr>
      <w:tblGrid>
        <w:gridCol w:w="10166"/>
      </w:tblGrid>
      <w:tr>
        <w:tc>
          <w:tcPr>
            <w:tcW w:type="dxa" w:w="10166"/>
            <w:shd w:fill="F2F7FA"/>
            <w:tcMar>
              <w:top w:w="150" w:type="dxa"/>
              <w:start w:w="180" w:type="dxa"/>
              <w:bottom w:w="150" w:type="dxa"/>
              <w:end w:w="180" w:type="dxa"/>
            </w:tcMar>
          </w:tcPr>
          <w:p>
            <w:r>
              <w:rPr>
                <w:b/>
                <w:color w:val="1672A4"/>
              </w:rPr>
              <w:t xml:space="preserve">実装に向けた扱い  </w:t>
            </w:r>
            <w:r>
              <w:rPr>
                <w:sz w:val="18"/>
              </w:rPr>
              <w:t>生成画像は視覚的なイメージ共有に使用します。仕様書を満たす正確な文言・分類・数値の扱いは次ページ以降のUIラベル案と受入条件を採用し、絵に描かれた数値を実装要件としません。</w:t>
            </w:r>
          </w:p>
        </w:tc>
      </w:tr>
    </w:tbl>
    <w:p>
      <w:pPr>
        <w:pStyle w:val="Heading1"/>
        <w:pageBreakBefore/>
      </w:pPr>
      <w:r>
        <w:t>13｜画面案 1：ダッシュボード（改善後）</w:t>
      </w:r>
    </w:p>
    <w:p>
      <w:pPr>
        <w:spacing w:before="60" w:after="40"/>
        <w:jc w:val="center"/>
      </w:pPr>
      <w:r>
        <w:drawing>
          <wp:inline xmlns:a="http://schemas.openxmlformats.org/drawingml/2006/main" xmlns:pic="http://schemas.openxmlformats.org/drawingml/2006/picture">
            <wp:extent cx="6419088" cy="3783883"/>
            <wp:docPr id="10" name="Picture 10" descr="InvestmentStory レビュー資料図 10: アプリ実画面または改善後UI案" title="concept_01_dashboard.png"/>
            <wp:cNvGraphicFramePr>
              <a:graphicFrameLocks noChangeAspect="1"/>
            </wp:cNvGraphicFramePr>
            <a:graphic>
              <a:graphicData uri="http://schemas.openxmlformats.org/drawingml/2006/picture">
                <pic:pic>
                  <pic:nvPicPr>
                    <pic:cNvPr id="0" name="concept_01_dashboard.png"/>
                    <pic:cNvPicPr/>
                  </pic:nvPicPr>
                  <pic:blipFill>
                    <a:blip r:embed="rId11"/>
                    <a:stretch>
                      <a:fillRect/>
                    </a:stretch>
                  </pic:blipFill>
                  <pic:spPr>
                    <a:xfrm>
                      <a:off x="0" y="0"/>
                      <a:ext cx="6419088" cy="3783883"/>
                    </a:xfrm>
                    <a:prstGeom prst="rect"/>
                  </pic:spPr>
                </pic:pic>
              </a:graphicData>
            </a:graphic>
          </wp:inline>
        </w:drawing>
      </w:r>
    </w:p>
    <w:p>
      <w:pPr>
        <w:pStyle w:val="Caption"/>
        <w:jc w:val="left"/>
      </w:pPr>
      <w:r>
        <w:t>UI構成図／説明用データ。ダークテーマは現状を尊重し、確認待ち→主要指標→推移→配分の順に配置。</w:t>
      </w:r>
    </w:p>
    <w:tbl>
      <w:tblPr>
        <w:tblW w:type="auto" w:w="0"/>
        <w:jc w:val="center"/>
        <w:tblLayout w:type="fixed"/>
        <w:tblLook w:firstColumn="1" w:firstRow="1" w:lastColumn="0" w:lastRow="0" w:noHBand="0" w:noVBand="1" w:val="04A0"/>
      </w:tblPr>
      <w:tblGrid>
        <w:gridCol w:w="1915"/>
        <w:gridCol w:w="8208"/>
      </w:tblGrid>
      <w:tr>
        <w:trPr>
          <w:tblHeader w:val="true"/>
        </w:trPr>
        <w:tc>
          <w:tcPr>
            <w:tcW w:type="dxa" w:w="1915"/>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7"/>
              </w:rPr>
              <w:t>改善点</w:t>
            </w:r>
          </w:p>
        </w:tc>
        <w:tc>
          <w:tcPr>
            <w:tcW w:type="dxa" w:w="8208"/>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7"/>
              </w:rPr>
              <w:t>表示・動作の要点</w:t>
            </w:r>
          </w:p>
        </w:tc>
      </w:tr>
      <w:tr>
        <w:trPr>
          <w:cantSplit/>
        </w:trPr>
        <w:tc>
          <w:tcPr>
            <w:tcW w:type="dxa" w:w="1915"/>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ファーストビュー</w:t>
            </w:r>
          </w:p>
        </w:tc>
        <w:tc>
          <w:tcPr>
            <w:tcW w:type="dxa" w:w="8208"/>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基準日／更新時刻、要確認件数、主要4指標をスクロール前に表示。</w:t>
            </w:r>
          </w:p>
        </w:tc>
      </w:tr>
      <w:tr>
        <w:trPr>
          <w:cantSplit/>
        </w:trPr>
        <w:tc>
          <w:tcPr>
            <w:tcW w:type="dxa" w:w="1915"/>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金額の扱い</w:t>
            </w:r>
          </w:p>
        </w:tc>
        <w:tc>
          <w:tcPr>
            <w:tcW w:type="dxa" w:w="8208"/>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概算を含む場合は注記。押すと元CSV・換算日・算式・保存履歴を表示。</w:t>
            </w:r>
          </w:p>
        </w:tc>
      </w:tr>
      <w:tr>
        <w:trPr>
          <w:cantSplit/>
        </w:trPr>
        <w:tc>
          <w:tcPr>
            <w:tcW w:type="dxa" w:w="1915"/>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グラフと配分</w:t>
            </w:r>
          </w:p>
        </w:tc>
        <w:tc>
          <w:tcPr>
            <w:tcW w:type="dxa" w:w="8208"/>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期間・線種・凡例の定義を統一。未取得は0で補完せず、金額合計と一致。</w:t>
            </w:r>
          </w:p>
        </w:tc>
      </w:tr>
    </w:tbl>
    <w:p>
      <w:pPr>
        <w:spacing w:after="0"/>
      </w:pPr>
    </w:p>
    <w:p>
      <w:pPr>
        <w:pStyle w:val="Heading1"/>
        <w:pageBreakBefore/>
      </w:pPr>
      <w:r>
        <w:t>14｜画面案 2：CSV取込・照合プレビュー</w:t>
      </w:r>
    </w:p>
    <w:p>
      <w:pPr>
        <w:spacing w:before="60" w:after="40"/>
        <w:jc w:val="center"/>
      </w:pPr>
      <w:r>
        <w:drawing>
          <wp:inline xmlns:a="http://schemas.openxmlformats.org/drawingml/2006/main" xmlns:pic="http://schemas.openxmlformats.org/drawingml/2006/picture">
            <wp:extent cx="6419088" cy="3783883"/>
            <wp:docPr id="11" name="Picture 11" descr="InvestmentStory レビュー資料図 11: アプリ実画面または改善後UI案" title="concept_02_csv.png"/>
            <wp:cNvGraphicFramePr>
              <a:graphicFrameLocks noChangeAspect="1"/>
            </wp:cNvGraphicFramePr>
            <a:graphic>
              <a:graphicData uri="http://schemas.openxmlformats.org/drawingml/2006/picture">
                <pic:pic>
                  <pic:nvPicPr>
                    <pic:cNvPr id="0" name="concept_02_csv.png"/>
                    <pic:cNvPicPr/>
                  </pic:nvPicPr>
                  <pic:blipFill>
                    <a:blip r:embed="rId20"/>
                    <a:stretch>
                      <a:fillRect/>
                    </a:stretch>
                  </pic:blipFill>
                  <pic:spPr>
                    <a:xfrm>
                      <a:off x="0" y="0"/>
                      <a:ext cx="6419088" cy="3783883"/>
                    </a:xfrm>
                    <a:prstGeom prst="rect"/>
                  </pic:spPr>
                </pic:pic>
              </a:graphicData>
            </a:graphic>
          </wp:inline>
        </w:drawing>
      </w:r>
    </w:p>
    <w:p>
      <w:pPr>
        <w:pStyle w:val="Caption"/>
        <w:jc w:val="left"/>
      </w:pPr>
      <w:r>
        <w:t>UI構成図／説明用データ。6分類の件数、元行、取込前後の差分、保留行を一画面で確認。</w:t>
      </w:r>
    </w:p>
    <w:tbl>
      <w:tblPr>
        <w:tblW w:type="auto" w:w="0"/>
        <w:jc w:val="center"/>
        <w:tblLayout w:type="fixed"/>
        <w:tblLook w:firstColumn="1" w:firstRow="1" w:lastColumn="0" w:lastRow="0" w:noHBand="0" w:noVBand="1" w:val="04A0"/>
      </w:tblPr>
      <w:tblGrid>
        <w:gridCol w:w="1829"/>
        <w:gridCol w:w="8294"/>
      </w:tblGrid>
      <w:tr>
        <w:trPr>
          <w:tblHeader w:val="true"/>
        </w:trPr>
        <w:tc>
          <w:tcPr>
            <w:tcW w:type="dxa" w:w="1829"/>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7"/>
              </w:rPr>
              <w:t>重要操作</w:t>
            </w:r>
          </w:p>
        </w:tc>
        <w:tc>
          <w:tcPr>
            <w:tcW w:type="dxa" w:w="8294"/>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7"/>
              </w:rPr>
              <w:t>受入条件</w:t>
            </w:r>
          </w:p>
        </w:tc>
      </w:tr>
      <w:tr>
        <w:trPr>
          <w:cantSplit/>
        </w:trPr>
        <w:tc>
          <w:tcPr>
            <w:tcW w:type="dxa" w:w="1829"/>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反映前の確認</w:t>
            </w:r>
          </w:p>
        </w:tc>
        <w:tc>
          <w:tcPr>
            <w:tcW w:type="dxa" w:w="8294"/>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新規・更新だけを今回反映対象として提示し、競合／要確認は保留。行別件数が元行数と一致。</w:t>
            </w:r>
          </w:p>
        </w:tc>
      </w:tr>
      <w:tr>
        <w:trPr>
          <w:cantSplit/>
        </w:trPr>
        <w:tc>
          <w:tcPr>
            <w:tcW w:type="dxa" w:w="1829"/>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エラー時</w:t>
            </w:r>
          </w:p>
        </w:tc>
        <w:tc>
          <w:tcPr>
            <w:tcW w:type="dxa" w:w="8294"/>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保存前例外で変更が残らない。バックアップ作成失敗時は反映しない。</w:t>
            </w:r>
          </w:p>
        </w:tc>
      </w:tr>
      <w:tr>
        <w:trPr>
          <w:cantSplit/>
        </w:trPr>
        <w:tc>
          <w:tcPr>
            <w:tcW w:type="dxa" w:w="1829"/>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復元</w:t>
            </w:r>
          </w:p>
        </w:tc>
        <w:tc>
          <w:tcPr>
            <w:tcW w:type="dxa" w:w="8294"/>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反映済みの履歴と復元世代が結びつき、復元で消える後続編集を事前に説明。</w:t>
            </w:r>
          </w:p>
        </w:tc>
      </w:tr>
    </w:tbl>
    <w:p>
      <w:pPr>
        <w:spacing w:after="0"/>
      </w:pPr>
    </w:p>
    <w:p>
      <w:pPr>
        <w:pStyle w:val="Heading1"/>
        <w:pageBreakBefore/>
      </w:pPr>
      <w:r>
        <w:t>15｜画面案 3：銘柄一覧と数値の根拠</w:t>
      </w:r>
    </w:p>
    <w:p>
      <w:pPr>
        <w:spacing w:before="60" w:after="40"/>
        <w:jc w:val="center"/>
      </w:pPr>
      <w:r>
        <w:drawing>
          <wp:inline xmlns:a="http://schemas.openxmlformats.org/drawingml/2006/main" xmlns:pic="http://schemas.openxmlformats.org/drawingml/2006/picture">
            <wp:extent cx="6419088" cy="3783883"/>
            <wp:docPr id="12" name="Picture 12" descr="InvestmentStory レビュー資料図 12: アプリ実画面または改善後UI案" title="concept_03_list.png"/>
            <wp:cNvGraphicFramePr>
              <a:graphicFrameLocks noChangeAspect="1"/>
            </wp:cNvGraphicFramePr>
            <a:graphic>
              <a:graphicData uri="http://schemas.openxmlformats.org/drawingml/2006/picture">
                <pic:pic>
                  <pic:nvPicPr>
                    <pic:cNvPr id="0" name="concept_03_list.png"/>
                    <pic:cNvPicPr/>
                  </pic:nvPicPr>
                  <pic:blipFill>
                    <a:blip r:embed="rId21"/>
                    <a:stretch>
                      <a:fillRect/>
                    </a:stretch>
                  </pic:blipFill>
                  <pic:spPr>
                    <a:xfrm>
                      <a:off x="0" y="0"/>
                      <a:ext cx="6419088" cy="3783883"/>
                    </a:xfrm>
                    <a:prstGeom prst="rect"/>
                  </pic:spPr>
                </pic:pic>
              </a:graphicData>
            </a:graphic>
          </wp:inline>
        </w:drawing>
      </w:r>
    </w:p>
    <w:p>
      <w:pPr>
        <w:pStyle w:val="Caption"/>
        <w:jc w:val="left"/>
      </w:pPr>
      <w:r>
        <w:t>UI構成図／説明用データ。銘柄集約を展開して口座別行を表示し、右ペインで根拠を確認。</w:t>
      </w:r>
    </w:p>
    <w:tbl>
      <w:tblPr>
        <w:tblW w:type="auto" w:w="0"/>
        <w:jc w:val="center"/>
        <w:tblLayout w:type="fixed"/>
        <w:tblLook w:firstColumn="1" w:firstRow="1" w:lastColumn="0" w:lastRow="0" w:noHBand="0" w:noVBand="1" w:val="04A0"/>
      </w:tblPr>
      <w:tblGrid>
        <w:gridCol w:w="1829"/>
        <w:gridCol w:w="8294"/>
      </w:tblGrid>
      <w:tr>
        <w:trPr>
          <w:tblHeader w:val="true"/>
        </w:trPr>
        <w:tc>
          <w:tcPr>
            <w:tcW w:type="dxa" w:w="1829"/>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7"/>
              </w:rPr>
              <w:t>改善点</w:t>
            </w:r>
          </w:p>
        </w:tc>
        <w:tc>
          <w:tcPr>
            <w:tcW w:type="dxa" w:w="8294"/>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7"/>
              </w:rPr>
              <w:t>実装方針</w:t>
            </w:r>
          </w:p>
        </w:tc>
      </w:tr>
      <w:tr>
        <w:trPr>
          <w:cantSplit/>
        </w:trPr>
        <w:tc>
          <w:tcPr>
            <w:tcW w:type="dxa" w:w="1829"/>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常設検索</w:t>
            </w:r>
          </w:p>
        </w:tc>
        <w:tc>
          <w:tcPr>
            <w:tcW w:type="dxa" w:w="8294"/>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銘柄名・コードと証券会社／口座／品質で複合絞り込み。条件・列幅・並び順を保存。</w:t>
            </w:r>
          </w:p>
        </w:tc>
      </w:tr>
      <w:tr>
        <w:trPr>
          <w:cantSplit/>
        </w:trPr>
        <w:tc>
          <w:tcPr>
            <w:tcW w:type="dxa" w:w="1829"/>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口座別の意味</w:t>
            </w:r>
          </w:p>
        </w:tc>
        <w:tc>
          <w:tcPr>
            <w:tcW w:type="dxa" w:w="8294"/>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同一銘柄を重複とみなさず、口座別数量・原価の合計と集約値を照合。</w:t>
            </w:r>
          </w:p>
        </w:tc>
      </w:tr>
      <w:tr>
        <w:trPr>
          <w:cantSplit/>
        </w:trPr>
        <w:tc>
          <w:tcPr>
            <w:tcW w:type="dxa" w:w="1829"/>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原価の扱い</w:t>
            </w:r>
          </w:p>
        </w:tc>
        <w:tc>
          <w:tcPr>
            <w:tcW w:type="dxa" w:w="8294"/>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確定円額と参考為替原価を区別し、「概算のまま税務用には使用しない」と明記。</w:t>
            </w:r>
          </w:p>
        </w:tc>
      </w:tr>
    </w:tbl>
    <w:p>
      <w:pPr>
        <w:spacing w:after="0"/>
      </w:pPr>
    </w:p>
    <w:p>
      <w:pPr>
        <w:pStyle w:val="Heading1"/>
        <w:pageBreakBefore/>
      </w:pPr>
      <w:r>
        <w:t>16｜画面案 4：配当の確認待ち</w:t>
      </w:r>
    </w:p>
    <w:p>
      <w:pPr>
        <w:spacing w:before="60" w:after="40"/>
        <w:jc w:val="center"/>
      </w:pPr>
      <w:r>
        <w:drawing>
          <wp:inline xmlns:a="http://schemas.openxmlformats.org/drawingml/2006/main" xmlns:pic="http://schemas.openxmlformats.org/drawingml/2006/picture">
            <wp:extent cx="6419088" cy="3783883"/>
            <wp:docPr id="13" name="Picture 13" descr="InvestmentStory レビュー資料図 13: アプリ実画面または改善後UI案" title="concept_04_dividend.png"/>
            <wp:cNvGraphicFramePr>
              <a:graphicFrameLocks noChangeAspect="1"/>
            </wp:cNvGraphicFramePr>
            <a:graphic>
              <a:graphicData uri="http://schemas.openxmlformats.org/drawingml/2006/picture">
                <pic:pic>
                  <pic:nvPicPr>
                    <pic:cNvPr id="0" name="concept_04_dividend.png"/>
                    <pic:cNvPicPr/>
                  </pic:nvPicPr>
                  <pic:blipFill>
                    <a:blip r:embed="rId22"/>
                    <a:stretch>
                      <a:fillRect/>
                    </a:stretch>
                  </pic:blipFill>
                  <pic:spPr>
                    <a:xfrm>
                      <a:off x="0" y="0"/>
                      <a:ext cx="6419088" cy="3783883"/>
                    </a:xfrm>
                    <a:prstGeom prst="rect"/>
                  </pic:spPr>
                </pic:pic>
              </a:graphicData>
            </a:graphic>
          </wp:inline>
        </w:drawing>
      </w:r>
    </w:p>
    <w:p>
      <w:pPr>
        <w:pStyle w:val="Caption"/>
        <w:jc w:val="left"/>
      </w:pPr>
      <w:r>
        <w:t>UI構成図／説明用データ。期限経過・未照合を将来予定に混ぜず、操作できる一覧へ。</w:t>
      </w:r>
    </w:p>
    <w:tbl>
      <w:tblPr>
        <w:tblW w:type="auto" w:w="0"/>
        <w:jc w:val="center"/>
        <w:tblLayout w:type="fixed"/>
        <w:tblLook w:firstColumn="1" w:firstRow="1" w:lastColumn="0" w:lastRow="0" w:noHBand="0" w:noVBand="1" w:val="04A0"/>
      </w:tblPr>
      <w:tblGrid>
        <w:gridCol w:w="1829"/>
        <w:gridCol w:w="8294"/>
      </w:tblGrid>
      <w:tr>
        <w:trPr>
          <w:tblHeader w:val="true"/>
        </w:trPr>
        <w:tc>
          <w:tcPr>
            <w:tcW w:type="dxa" w:w="1829"/>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7"/>
              </w:rPr>
              <w:t>改善点</w:t>
            </w:r>
          </w:p>
        </w:tc>
        <w:tc>
          <w:tcPr>
            <w:tcW w:type="dxa" w:w="8294"/>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7"/>
              </w:rPr>
              <w:t>実装方針</w:t>
            </w:r>
          </w:p>
        </w:tc>
      </w:tr>
      <w:tr>
        <w:trPr>
          <w:cantSplit/>
        </w:trPr>
        <w:tc>
          <w:tcPr>
            <w:tcW w:type="dxa" w:w="1829"/>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状態が分かる</w:t>
            </w:r>
          </w:p>
        </w:tc>
        <w:tc>
          <w:tcPr>
            <w:tcW w:type="dxa" w:w="8294"/>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入金済・将来予定・推定・期限経過を明示し、グラフでも線種・色・表で区別。</w:t>
            </w:r>
          </w:p>
        </w:tc>
      </w:tr>
      <w:tr>
        <w:trPr>
          <w:cantSplit/>
        </w:trPr>
        <w:tc>
          <w:tcPr>
            <w:tcW w:type="dxa" w:w="1829"/>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照合を短く</w:t>
            </w:r>
          </w:p>
        </w:tc>
        <w:tc>
          <w:tcPr>
            <w:tcW w:type="dxa" w:w="8294"/>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銘柄、証券会社、口座区分、通貨、入金日を同時に示し、根拠に移動できる。</w:t>
            </w:r>
          </w:p>
        </w:tc>
      </w:tr>
      <w:tr>
        <w:trPr>
          <w:cantSplit/>
        </w:trPr>
        <w:tc>
          <w:tcPr>
            <w:tcW w:type="dxa" w:w="1829"/>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誤集計対策</w:t>
            </w:r>
          </w:p>
        </w:tc>
        <w:tc>
          <w:tcPr>
            <w:tcW w:type="dxa" w:w="8294"/>
            <w:vAlign w:val="center"/>
            <w:tcMar>
              <w:top w:w="100" w:type="dxa"/>
              <w:start w:w="105" w:type="dxa"/>
              <w:bottom w:w="100" w:type="dxa"/>
              <w:end w:w="105" w:type="dxa"/>
            </w:tcMar>
            <w:tcBorders>
              <w:bottom w:val="single" w:color="DAE3E9" w:sz="3"/>
            </w:tcBorders>
          </w:tcPr>
          <w:p>
            <w:pPr>
              <w:spacing w:after="0" w:line="274" w:lineRule="auto"/>
            </w:pPr>
            <w:r>
              <w:rPr>
                <w:color w:val="203044"/>
                <w:sz w:val="17"/>
              </w:rPr>
              <w:t>NISAと特定口座の正当な別件を消さず、予定と実績は照合後に二重加算しない。</w:t>
            </w:r>
          </w:p>
        </w:tc>
      </w:tr>
    </w:tbl>
    <w:p>
      <w:pPr>
        <w:spacing w:after="0"/>
      </w:pPr>
    </w:p>
    <w:p>
      <w:pPr>
        <w:pStyle w:val="Heading1"/>
        <w:pageBreakBefore/>
      </w:pPr>
      <w:r>
        <w:t>17｜推奨ロードマップと完成判定</w:t>
      </w:r>
    </w:p>
    <w:p>
      <w:r>
        <w:t>Astra案の依存関係を尊重し、後戻りの少ない導入順に組み替えます。工数は未見積りのため、期間ではなく「次工程へ進めるゲート」で管理します。</w:t>
      </w:r>
    </w:p>
    <w:tbl>
      <w:tblPr>
        <w:tblW w:type="auto" w:w="0"/>
        <w:jc w:val="center"/>
        <w:tblLayout w:type="fixed"/>
        <w:tblLook w:firstColumn="1" w:firstRow="1" w:lastColumn="0" w:lastRow="0" w:noHBand="0" w:noVBand="1" w:val="04A0"/>
      </w:tblPr>
      <w:tblGrid>
        <w:gridCol w:w="1584"/>
        <w:gridCol w:w="2981"/>
        <w:gridCol w:w="5558"/>
      </w:tblGrid>
      <w:tr>
        <w:trPr>
          <w:tblHeader w:val="true"/>
        </w:trPr>
        <w:tc>
          <w:tcPr>
            <w:tcW w:type="dxa" w:w="1584"/>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6"/>
              </w:rPr>
              <w:t>段階</w:t>
            </w:r>
          </w:p>
        </w:tc>
        <w:tc>
          <w:tcPr>
            <w:tcW w:type="dxa" w:w="2981"/>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6"/>
              </w:rPr>
              <w:t>主な対象</w:t>
            </w:r>
          </w:p>
        </w:tc>
        <w:tc>
          <w:tcPr>
            <w:tcW w:type="dxa" w:w="5558"/>
            <w:shd w:fill="EAF3F8"/>
            <w:tcMar>
              <w:top w:w="105" w:type="dxa"/>
              <w:start w:w="110" w:type="dxa"/>
              <w:bottom w:w="110" w:type="dxa"/>
              <w:end w:w="110" w:type="dxa"/>
            </w:tcMar>
            <w:tcBorders>
              <w:bottom w:val="single" w:color="DAE3E9" w:sz="3"/>
            </w:tcBorders>
            <w:vAlign w:val="center"/>
          </w:tcPr>
          <w:p>
            <w:pPr>
              <w:spacing w:after="0" w:line="271" w:lineRule="auto"/>
            </w:pPr>
            <w:r>
              <w:rPr>
                <w:b/>
                <w:color w:val="183149"/>
                <w:sz w:val="16"/>
              </w:rPr>
              <w:t>完了判定</w:t>
            </w:r>
          </w:p>
        </w:tc>
      </w:tr>
      <w:tr>
        <w:trPr>
          <w:cantSplit/>
        </w:trPr>
        <w:tc>
          <w:tcPr>
            <w:tcW w:type="dxa" w:w="158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0. 基準固定</w:t>
            </w:r>
          </w:p>
        </w:tc>
        <w:tc>
          <w:tcPr>
            <w:tcW w:type="dxa" w:w="2981"/>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配布exe／DB／CSV／評価スクリーンショット</w:t>
            </w:r>
          </w:p>
        </w:tc>
        <w:tc>
          <w:tcPr>
            <w:tcW w:type="dxa" w:w="555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現在の数字、件数、アプリ・DB版を基準として記録。テストDBと匿名化データを作成。</w:t>
            </w:r>
          </w:p>
        </w:tc>
      </w:tr>
      <w:tr>
        <w:trPr>
          <w:cantSplit/>
        </w:trPr>
        <w:tc>
          <w:tcPr>
            <w:tcW w:type="dxa" w:w="158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1. 数値の保護</w:t>
            </w:r>
          </w:p>
        </w:tc>
        <w:tc>
          <w:tcPr>
            <w:tcW w:type="dxa" w:w="2981"/>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F01 F02 F03＋A07</w:t>
            </w:r>
          </w:p>
        </w:tc>
        <w:tc>
          <w:tcPr>
            <w:tcW w:type="dxa" w:w="555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再取込冪等・同日別取引保持・原子性・復元成功・品質表示一致。</w:t>
            </w:r>
          </w:p>
        </w:tc>
      </w:tr>
      <w:tr>
        <w:trPr>
          <w:cantSplit/>
        </w:trPr>
        <w:tc>
          <w:tcPr>
            <w:tcW w:type="dxa" w:w="158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2. 毎日の操作</w:t>
            </w:r>
          </w:p>
        </w:tc>
        <w:tc>
          <w:tcPr>
            <w:tcW w:type="dxa" w:w="2981"/>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F06 F07 F08 F09＋A01 A02 A03</w:t>
            </w:r>
          </w:p>
        </w:tc>
        <w:tc>
          <w:tcPr>
            <w:tcW w:type="dxa" w:w="555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確認待ち処理、表の固定列、色非依存グラフ、150% DPI、更新失敗・画面共有の確認。</w:t>
            </w:r>
          </w:p>
        </w:tc>
      </w:tr>
      <w:tr>
        <w:trPr>
          <w:cantSplit/>
        </w:trPr>
        <w:tc>
          <w:tcPr>
            <w:tcW w:type="dxa" w:w="158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3. 口座と原価</w:t>
            </w:r>
          </w:p>
        </w:tc>
        <w:tc>
          <w:tcPr>
            <w:tcW w:type="dxa" w:w="2981"/>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F04 F05＋A04 A05</w:t>
            </w:r>
          </w:p>
        </w:tc>
        <w:tc>
          <w:tcPr>
            <w:tcW w:type="dxa" w:w="555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移管前後の数量原価不変、参考為替から確定値への置換、CSV版差の異常検出。</w:t>
            </w:r>
          </w:p>
        </w:tc>
      </w:tr>
      <w:tr>
        <w:trPr>
          <w:cantSplit/>
        </w:trPr>
        <w:tc>
          <w:tcPr>
            <w:tcW w:type="dxa" w:w="158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4. 長期の分析</w:t>
            </w:r>
          </w:p>
        </w:tc>
        <w:tc>
          <w:tcPr>
            <w:tcW w:type="dxa" w:w="2981"/>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F10→F11 F12 F15＋A06</w:t>
            </w:r>
          </w:p>
        </w:tc>
        <w:tc>
          <w:tcPr>
            <w:tcW w:type="dxa" w:w="555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現金台帳が合い、入金のみで利回り増加なし、履歴欠測に理由表示。</w:t>
            </w:r>
          </w:p>
        </w:tc>
      </w:tr>
      <w:tr>
        <w:trPr>
          <w:cantSplit/>
        </w:trPr>
        <w:tc>
          <w:tcPr>
            <w:tcW w:type="dxa" w:w="1584"/>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5. 便利機能</w:t>
            </w:r>
          </w:p>
        </w:tc>
        <w:tc>
          <w:tcPr>
            <w:tcW w:type="dxa" w:w="2981"/>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F13 F14、必要に応じてP3</w:t>
            </w:r>
          </w:p>
        </w:tc>
        <w:tc>
          <w:tcPr>
            <w:tcW w:type="dxa" w:w="5558"/>
            <w:vAlign w:val="center"/>
            <w:tcMar>
              <w:top w:w="100" w:type="dxa"/>
              <w:start w:w="105" w:type="dxa"/>
              <w:bottom w:w="100" w:type="dxa"/>
              <w:end w:w="105" w:type="dxa"/>
            </w:tcMar>
            <w:tcBorders>
              <w:bottom w:val="single" w:color="DAE3E9" w:sz="3"/>
            </w:tcBorders>
          </w:tcPr>
          <w:p>
            <w:pPr>
              <w:spacing w:after="0" w:line="274" w:lineRule="auto"/>
            </w:pPr>
            <w:r>
              <w:rPr>
                <w:color w:val="203044"/>
                <w:sz w:val="16"/>
              </w:rPr>
              <w:t>通知重複なし、PDF/CSV整合・マスキング、外部連携の費用と保守を評価。</w:t>
            </w:r>
          </w:p>
        </w:tc>
      </w:tr>
    </w:tbl>
    <w:p>
      <w:pPr>
        <w:spacing w:after="0"/>
      </w:pPr>
    </w:p>
    <w:p>
      <w:pPr>
        <w:pStyle w:val="Heading2"/>
      </w:pPr>
      <w:r>
        <w:t>最小限の確認シナリオ</w:t>
      </w:r>
    </w:p>
    <w:p>
      <w:pPr>
        <w:pStyle w:val="ListBullet"/>
        <w:ind w:left="331" w:hanging="173"/>
      </w:pPr>
      <w:r>
        <w:t>CSV：同一ファイル再取込／同日同額の正当な複数取引／外貨と円貨の同一配当／不正CSVで途中失敗。</w:t>
      </w:r>
    </w:p>
    <w:p>
      <w:pPr>
        <w:pStyle w:val="ListBullet"/>
        <w:ind w:left="331" w:hanging="173"/>
      </w:pPr>
      <w:r>
        <w:t>口座・原価：NVDA・CSCOの異表現重複、CMBTの口座と概算原価、NISAと特定の配当。</w:t>
      </w:r>
    </w:p>
    <w:p>
      <w:pPr>
        <w:pStyle w:val="ListBullet"/>
        <w:ind w:left="331" w:hanging="173"/>
      </w:pPr>
      <w:r>
        <w:t>運用成績：開始残高0や履歴欠測、入金のみ、配当のみ、外貨換算時点差、ベンチマーク通貨差。</w:t>
      </w:r>
    </w:p>
    <w:p>
      <w:pPr>
        <w:pStyle w:val="ListBullet"/>
        <w:ind w:left="331" w:hanging="173"/>
      </w:pPr>
      <w:r>
        <w:t>UI・性能：1366×768／1920×1080、100%/150%拡大、キーボード・通信断。100銘柄＋取引1万件＋配当1万件で一覧・グラフ応答500ms以内を目標。</w:t>
      </w:r>
    </w:p>
    <w:tbl>
      <w:tblPr>
        <w:tblW w:type="auto" w:w="0"/>
        <w:tblLook w:firstColumn="1" w:firstRow="1" w:lastColumn="0" w:lastRow="0" w:noHBand="0" w:noVBand="1" w:val="04A0"/>
      </w:tblPr>
      <w:tblGrid>
        <w:gridCol w:w="10166"/>
      </w:tblGrid>
      <w:tr>
        <w:tc>
          <w:tcPr>
            <w:tcW w:type="dxa" w:w="10166"/>
            <w:shd w:fill="F2F7FA"/>
            <w:tcMar>
              <w:top w:w="150" w:type="dxa"/>
              <w:start w:w="180" w:type="dxa"/>
              <w:bottom w:w="150" w:type="dxa"/>
              <w:end w:w="180" w:type="dxa"/>
            </w:tcMar>
          </w:tcPr>
          <w:p>
            <w:r>
              <w:rPr>
                <w:b/>
                <w:color w:val="1672A4"/>
              </w:rPr>
              <w:t xml:space="preserve">リリース判定  </w:t>
            </w:r>
            <w:r>
              <w:rPr>
                <w:sz w:val="18"/>
              </w:rPr>
              <w:t>「改善した画面がきれいに見える」だけでは完了にしません。数量・取得額・評価額・税引後配当・未解決件数を、導入前後およびアプリ再起動後に突き合わせることを必須とします。</w:t>
            </w:r>
          </w:p>
        </w:tc>
      </w:tr>
    </w:tbl>
    <w:p>
      <w:pPr>
        <w:pStyle w:val="Heading1"/>
        <w:pageBreakBefore/>
      </w:pPr>
      <w:r>
        <w:t>付録｜画面証跡・出典・評価の限界</w:t>
      </w:r>
    </w:p>
    <w:p>
      <w:pPr>
        <w:pStyle w:val="Heading2"/>
        <w:spacing w:before="180" w:after="60"/>
      </w:pPr>
      <w:r>
        <w:t>提供された画像の対応</w:t>
      </w:r>
    </w:p>
    <w:tbl>
      <w:tblPr>
        <w:tblW w:type="auto" w:w="0"/>
        <w:jc w:val="center"/>
        <w:tblLayout w:type="fixed"/>
        <w:tblLook w:firstColumn="1" w:firstRow="1" w:lastColumn="0" w:lastRow="0" w:noHBand="0" w:noVBand="1" w:val="04A0"/>
      </w:tblPr>
      <w:tblGrid>
        <w:gridCol w:w="1699"/>
        <w:gridCol w:w="8424"/>
      </w:tblGrid>
      <w:tr>
        <w:trPr>
          <w:tblHeader w:val="true"/>
        </w:trPr>
        <w:tc>
          <w:tcPr>
            <w:tcW w:type="dxa" w:w="1699"/>
            <w:shd w:fill="EAF3F8"/>
            <w:tcMar>
              <w:top w:w="105" w:type="dxa"/>
              <w:start w:w="110" w:type="dxa"/>
              <w:bottom w:w="110" w:type="dxa"/>
              <w:end w:w="110" w:type="dxa"/>
            </w:tcMar>
            <w:tcBorders>
              <w:bottom w:val="single" w:color="DAE3E9" w:sz="3"/>
            </w:tcBorders>
            <w:vAlign w:val="center"/>
          </w:tcPr>
          <w:p>
            <w:pPr>
              <w:spacing w:after="0" w:line="247" w:lineRule="auto" w:before="0"/>
            </w:pPr>
            <w:r>
              <w:rPr>
                <w:b/>
                <w:color w:val="183149"/>
                <w:sz w:val="17"/>
              </w:rPr>
              <w:t>画像番号</w:t>
            </w:r>
          </w:p>
        </w:tc>
        <w:tc>
          <w:tcPr>
            <w:tcW w:type="dxa" w:w="8424"/>
            <w:shd w:fill="EAF3F8"/>
            <w:tcMar>
              <w:top w:w="105" w:type="dxa"/>
              <w:start w:w="110" w:type="dxa"/>
              <w:bottom w:w="110" w:type="dxa"/>
              <w:end w:w="110" w:type="dxa"/>
            </w:tcMar>
            <w:tcBorders>
              <w:bottom w:val="single" w:color="DAE3E9" w:sz="3"/>
            </w:tcBorders>
            <w:vAlign w:val="center"/>
          </w:tcPr>
          <w:p>
            <w:pPr>
              <w:spacing w:after="0" w:line="247" w:lineRule="auto" w:before="0"/>
            </w:pPr>
            <w:r>
              <w:rPr>
                <w:b/>
                <w:color w:val="183149"/>
                <w:sz w:val="17"/>
              </w:rPr>
              <w:t>画面・用途</w:t>
            </w:r>
          </w:p>
        </w:tc>
      </w:tr>
      <w:tr>
        <w:trPr>
          <w:cantSplit/>
        </w:trPr>
        <w:tc>
          <w:tcPr>
            <w:tcW w:type="dxa" w:w="1699"/>
            <w:vAlign w:val="center"/>
            <w:tcMar>
              <w:top w:w="100" w:type="dxa"/>
              <w:start w:w="105" w:type="dxa"/>
              <w:bottom w:w="100" w:type="dxa"/>
              <w:end w:w="105" w:type="dxa"/>
            </w:tcMar>
            <w:tcBorders>
              <w:bottom w:val="single" w:color="DAE3E9" w:sz="3"/>
            </w:tcBorders>
          </w:tcPr>
          <w:p>
            <w:pPr>
              <w:spacing w:after="0" w:line="247" w:lineRule="auto" w:before="0"/>
            </w:pPr>
            <w:r>
              <w:rPr>
                <w:color w:val="203044"/>
                <w:sz w:val="17"/>
              </w:rPr>
              <w:t>#01</w:t>
            </w:r>
          </w:p>
        </w:tc>
        <w:tc>
          <w:tcPr>
            <w:tcW w:type="dxa" w:w="8424"/>
            <w:vAlign w:val="center"/>
            <w:tcMar>
              <w:top w:w="100" w:type="dxa"/>
              <w:start w:w="105" w:type="dxa"/>
              <w:bottom w:w="100" w:type="dxa"/>
              <w:end w:w="105" w:type="dxa"/>
            </w:tcMar>
            <w:tcBorders>
              <w:bottom w:val="single" w:color="DAE3E9" w:sz="3"/>
            </w:tcBorders>
          </w:tcPr>
          <w:p>
            <w:pPr>
              <w:spacing w:after="0" w:line="247" w:lineRule="auto" w:before="0"/>
            </w:pPr>
            <w:r>
              <w:rPr>
                <w:color w:val="203044"/>
                <w:sz w:val="17"/>
              </w:rPr>
              <w:t>設定：テーマ、データ取得、API取得ログ</w:t>
            </w:r>
          </w:p>
        </w:tc>
      </w:tr>
      <w:tr>
        <w:trPr>
          <w:cantSplit/>
        </w:trPr>
        <w:tc>
          <w:tcPr>
            <w:tcW w:type="dxa" w:w="1699"/>
            <w:vAlign w:val="center"/>
            <w:tcMar>
              <w:top w:w="100" w:type="dxa"/>
              <w:start w:w="105" w:type="dxa"/>
              <w:bottom w:w="100" w:type="dxa"/>
              <w:end w:w="105" w:type="dxa"/>
            </w:tcMar>
            <w:tcBorders>
              <w:bottom w:val="single" w:color="DAE3E9" w:sz="3"/>
            </w:tcBorders>
          </w:tcPr>
          <w:p>
            <w:pPr>
              <w:spacing w:after="0" w:line="247" w:lineRule="auto" w:before="0"/>
            </w:pPr>
            <w:r>
              <w:rPr>
                <w:color w:val="203044"/>
                <w:sz w:val="17"/>
              </w:rPr>
              <w:t>#02–#03</w:t>
            </w:r>
          </w:p>
        </w:tc>
        <w:tc>
          <w:tcPr>
            <w:tcW w:type="dxa" w:w="8424"/>
            <w:vAlign w:val="center"/>
            <w:tcMar>
              <w:top w:w="100" w:type="dxa"/>
              <w:start w:w="105" w:type="dxa"/>
              <w:bottom w:w="100" w:type="dxa"/>
              <w:end w:w="105" w:type="dxa"/>
            </w:tcMar>
            <w:tcBorders>
              <w:bottom w:val="single" w:color="DAE3E9" w:sz="3"/>
            </w:tcBorders>
          </w:tcPr>
          <w:p>
            <w:pPr>
              <w:spacing w:after="0" w:line="247" w:lineRule="auto" w:before="0"/>
            </w:pPr>
            <w:r>
              <w:rPr>
                <w:color w:val="203044"/>
                <w:sz w:val="17"/>
              </w:rPr>
              <w:t>ダッシュボード：KPI、NISA、資産推移、構成</w:t>
            </w:r>
          </w:p>
        </w:tc>
      </w:tr>
      <w:tr>
        <w:trPr>
          <w:cantSplit/>
        </w:trPr>
        <w:tc>
          <w:tcPr>
            <w:tcW w:type="dxa" w:w="1699"/>
            <w:vAlign w:val="center"/>
            <w:tcMar>
              <w:top w:w="100" w:type="dxa"/>
              <w:start w:w="105" w:type="dxa"/>
              <w:bottom w:w="100" w:type="dxa"/>
              <w:end w:w="105" w:type="dxa"/>
            </w:tcMar>
            <w:tcBorders>
              <w:bottom w:val="single" w:color="DAE3E9" w:sz="3"/>
            </w:tcBorders>
          </w:tcPr>
          <w:p>
            <w:pPr>
              <w:spacing w:after="0" w:line="247" w:lineRule="auto" w:before="0"/>
            </w:pPr>
            <w:r>
              <w:rPr>
                <w:color w:val="203044"/>
                <w:sz w:val="17"/>
              </w:rPr>
              <w:t>#04–#05</w:t>
            </w:r>
          </w:p>
        </w:tc>
        <w:tc>
          <w:tcPr>
            <w:tcW w:type="dxa" w:w="8424"/>
            <w:vAlign w:val="center"/>
            <w:tcMar>
              <w:top w:w="100" w:type="dxa"/>
              <w:start w:w="105" w:type="dxa"/>
              <w:bottom w:w="100" w:type="dxa"/>
              <w:end w:w="105" w:type="dxa"/>
            </w:tcMar>
            <w:tcBorders>
              <w:bottom w:val="single" w:color="DAE3E9" w:sz="3"/>
            </w:tcBorders>
          </w:tcPr>
          <w:p>
            <w:pPr>
              <w:spacing w:after="0" w:line="247" w:lineRule="auto" w:before="0"/>
            </w:pPr>
            <w:r>
              <w:rPr>
                <w:color w:val="203044"/>
                <w:sz w:val="17"/>
              </w:rPr>
              <w:t>銘柄一覧：口座、概算表示、表の横スクロール</w:t>
            </w:r>
          </w:p>
        </w:tc>
      </w:tr>
      <w:tr>
        <w:trPr>
          <w:cantSplit/>
        </w:trPr>
        <w:tc>
          <w:tcPr>
            <w:tcW w:type="dxa" w:w="1699"/>
            <w:vAlign w:val="center"/>
            <w:tcMar>
              <w:top w:w="100" w:type="dxa"/>
              <w:start w:w="105" w:type="dxa"/>
              <w:bottom w:w="100" w:type="dxa"/>
              <w:end w:w="105" w:type="dxa"/>
            </w:tcMar>
            <w:tcBorders>
              <w:bottom w:val="single" w:color="DAE3E9" w:sz="3"/>
            </w:tcBorders>
          </w:tcPr>
          <w:p>
            <w:pPr>
              <w:spacing w:after="0" w:line="247" w:lineRule="auto" w:before="0"/>
            </w:pPr>
            <w:r>
              <w:rPr>
                <w:color w:val="203044"/>
                <w:sz w:val="17"/>
              </w:rPr>
              <w:t>#06–#09</w:t>
            </w:r>
          </w:p>
        </w:tc>
        <w:tc>
          <w:tcPr>
            <w:tcW w:type="dxa" w:w="8424"/>
            <w:vAlign w:val="center"/>
            <w:tcMar>
              <w:top w:w="100" w:type="dxa"/>
              <w:start w:w="105" w:type="dxa"/>
              <w:bottom w:w="100" w:type="dxa"/>
              <w:end w:w="105" w:type="dxa"/>
            </w:tcMar>
            <w:tcBorders>
              <w:bottom w:val="single" w:color="DAE3E9" w:sz="3"/>
            </w:tcBorders>
          </w:tcPr>
          <w:p>
            <w:pPr>
              <w:spacing w:after="0" w:line="247" w:lineRule="auto" w:before="0"/>
            </w:pPr>
            <w:r>
              <w:rPr>
                <w:color w:val="203044"/>
                <w:sz w:val="17"/>
              </w:rPr>
              <w:t>銘柄詳細：概要、チャート、配当、取引履歴等</w:t>
            </w:r>
          </w:p>
        </w:tc>
      </w:tr>
      <w:tr>
        <w:trPr>
          <w:cantSplit/>
        </w:trPr>
        <w:tc>
          <w:tcPr>
            <w:tcW w:type="dxa" w:w="1699"/>
            <w:vAlign w:val="center"/>
            <w:tcMar>
              <w:top w:w="100" w:type="dxa"/>
              <w:start w:w="105" w:type="dxa"/>
              <w:bottom w:w="100" w:type="dxa"/>
              <w:end w:w="105" w:type="dxa"/>
            </w:tcMar>
            <w:tcBorders>
              <w:bottom w:val="single" w:color="DAE3E9" w:sz="3"/>
            </w:tcBorders>
          </w:tcPr>
          <w:p>
            <w:pPr>
              <w:spacing w:after="0" w:line="247" w:lineRule="auto" w:before="0"/>
            </w:pPr>
            <w:r>
              <w:rPr>
                <w:color w:val="203044"/>
                <w:sz w:val="17"/>
              </w:rPr>
              <w:t>#10–#12</w:t>
            </w:r>
          </w:p>
        </w:tc>
        <w:tc>
          <w:tcPr>
            <w:tcW w:type="dxa" w:w="8424"/>
            <w:vAlign w:val="center"/>
            <w:tcMar>
              <w:top w:w="100" w:type="dxa"/>
              <w:start w:w="105" w:type="dxa"/>
              <w:bottom w:w="100" w:type="dxa"/>
              <w:end w:w="105" w:type="dxa"/>
            </w:tcMar>
            <w:tcBorders>
              <w:bottom w:val="single" w:color="DAE3E9" w:sz="3"/>
            </w:tcBorders>
          </w:tcPr>
          <w:p>
            <w:pPr>
              <w:spacing w:after="0" w:line="247" w:lineRule="auto" w:before="0"/>
            </w:pPr>
            <w:r>
              <w:rPr>
                <w:color w:val="203044"/>
                <w:sz w:val="17"/>
              </w:rPr>
              <w:t>配当実績・予定：年次集計、グラフ、予定一覧</w:t>
            </w:r>
          </w:p>
        </w:tc>
      </w:tr>
      <w:tr>
        <w:trPr>
          <w:cantSplit/>
        </w:trPr>
        <w:tc>
          <w:tcPr>
            <w:tcW w:type="dxa" w:w="1699"/>
            <w:vAlign w:val="center"/>
            <w:tcMar>
              <w:top w:w="100" w:type="dxa"/>
              <w:start w:w="105" w:type="dxa"/>
              <w:bottom w:w="100" w:type="dxa"/>
              <w:end w:w="105" w:type="dxa"/>
            </w:tcMar>
            <w:tcBorders>
              <w:bottom w:val="single" w:color="DAE3E9" w:sz="3"/>
            </w:tcBorders>
          </w:tcPr>
          <w:p>
            <w:pPr>
              <w:spacing w:after="0" w:line="247" w:lineRule="auto" w:before="0"/>
            </w:pPr>
            <w:r>
              <w:rPr>
                <w:color w:val="203044"/>
                <w:sz w:val="17"/>
              </w:rPr>
              <w:t>#13–#16</w:t>
            </w:r>
          </w:p>
        </w:tc>
        <w:tc>
          <w:tcPr>
            <w:tcW w:type="dxa" w:w="8424"/>
            <w:vAlign w:val="center"/>
            <w:tcMar>
              <w:top w:w="100" w:type="dxa"/>
              <w:start w:w="105" w:type="dxa"/>
              <w:bottom w:w="100" w:type="dxa"/>
              <w:end w:w="105" w:type="dxa"/>
            </w:tcMar>
            <w:tcBorders>
              <w:bottom w:val="single" w:color="DAE3E9" w:sz="3"/>
            </w:tcBorders>
          </w:tcPr>
          <w:p>
            <w:pPr>
              <w:spacing w:after="0" w:line="247" w:lineRule="auto" w:before="0"/>
            </w:pPr>
            <w:r>
              <w:rPr>
                <w:color w:val="203044"/>
                <w:sz w:val="17"/>
              </w:rPr>
              <w:t>不労所得：要約、推移、ランキング・目標</w:t>
            </w:r>
          </w:p>
        </w:tc>
      </w:tr>
      <w:tr>
        <w:trPr>
          <w:cantSplit/>
        </w:trPr>
        <w:tc>
          <w:tcPr>
            <w:tcW w:type="dxa" w:w="1699"/>
            <w:vAlign w:val="center"/>
            <w:tcMar>
              <w:top w:w="100" w:type="dxa"/>
              <w:start w:w="105" w:type="dxa"/>
              <w:bottom w:w="100" w:type="dxa"/>
              <w:end w:w="105" w:type="dxa"/>
            </w:tcMar>
            <w:tcBorders>
              <w:bottom w:val="single" w:color="DAE3E9" w:sz="3"/>
            </w:tcBorders>
          </w:tcPr>
          <w:p>
            <w:pPr>
              <w:spacing w:after="0" w:line="247" w:lineRule="auto" w:before="0"/>
            </w:pPr>
            <w:r>
              <w:rPr>
                <w:color w:val="203044"/>
                <w:sz w:val="17"/>
              </w:rPr>
              <w:t>#17–#22</w:t>
            </w:r>
          </w:p>
        </w:tc>
        <w:tc>
          <w:tcPr>
            <w:tcW w:type="dxa" w:w="8424"/>
            <w:vAlign w:val="center"/>
            <w:tcMar>
              <w:top w:w="100" w:type="dxa"/>
              <w:start w:w="105" w:type="dxa"/>
              <w:bottom w:w="100" w:type="dxa"/>
              <w:end w:w="105" w:type="dxa"/>
            </w:tcMar>
            <w:tcBorders>
              <w:bottom w:val="single" w:color="DAE3E9" w:sz="3"/>
            </w:tcBorders>
          </w:tcPr>
          <w:p>
            <w:pPr>
              <w:spacing w:after="0" w:line="247" w:lineRule="auto" w:before="0"/>
            </w:pPr>
            <w:r>
              <w:rPr>
                <w:color w:val="203044"/>
                <w:sz w:val="17"/>
              </w:rPr>
              <w:t>未来シミュレーション：条件、買い増し、図表</w:t>
            </w:r>
          </w:p>
        </w:tc>
      </w:tr>
      <w:tr>
        <w:trPr>
          <w:cantSplit/>
        </w:trPr>
        <w:tc>
          <w:tcPr>
            <w:tcW w:type="dxa" w:w="1699"/>
            <w:vAlign w:val="center"/>
            <w:tcMar>
              <w:top w:w="100" w:type="dxa"/>
              <w:start w:w="105" w:type="dxa"/>
              <w:bottom w:w="100" w:type="dxa"/>
              <w:end w:w="105" w:type="dxa"/>
            </w:tcMar>
            <w:tcBorders>
              <w:bottom w:val="single" w:color="DAE3E9" w:sz="3"/>
            </w:tcBorders>
          </w:tcPr>
          <w:p>
            <w:pPr>
              <w:spacing w:after="0" w:line="247" w:lineRule="auto" w:before="0"/>
            </w:pPr>
            <w:r>
              <w:rPr>
                <w:color w:val="203044"/>
                <w:sz w:val="17"/>
              </w:rPr>
              <w:t>#23</w:t>
            </w:r>
          </w:p>
        </w:tc>
        <w:tc>
          <w:tcPr>
            <w:tcW w:type="dxa" w:w="8424"/>
            <w:vAlign w:val="center"/>
            <w:tcMar>
              <w:top w:w="100" w:type="dxa"/>
              <w:start w:w="105" w:type="dxa"/>
              <w:bottom w:w="100" w:type="dxa"/>
              <w:end w:w="105" w:type="dxa"/>
            </w:tcMar>
            <w:tcBorders>
              <w:bottom w:val="single" w:color="DAE3E9" w:sz="3"/>
            </w:tcBorders>
          </w:tcPr>
          <w:p>
            <w:pPr>
              <w:spacing w:after="0" w:line="247" w:lineRule="auto" w:before="0"/>
            </w:pPr>
            <w:r>
              <w:rPr>
                <w:color w:val="203044"/>
                <w:sz w:val="17"/>
              </w:rPr>
              <w:t>内容がほぼ無く、判定根拠から除外</w:t>
            </w:r>
          </w:p>
        </w:tc>
      </w:tr>
      <w:tr>
        <w:trPr>
          <w:cantSplit/>
        </w:trPr>
        <w:tc>
          <w:tcPr>
            <w:tcW w:type="dxa" w:w="1699"/>
            <w:vAlign w:val="center"/>
            <w:tcMar>
              <w:top w:w="100" w:type="dxa"/>
              <w:start w:w="105" w:type="dxa"/>
              <w:bottom w:w="100" w:type="dxa"/>
              <w:end w:w="105" w:type="dxa"/>
            </w:tcMar>
            <w:tcBorders>
              <w:bottom w:val="single" w:color="DAE3E9" w:sz="3"/>
            </w:tcBorders>
          </w:tcPr>
          <w:p>
            <w:pPr>
              <w:spacing w:after="0" w:line="247" w:lineRule="auto" w:before="0"/>
            </w:pPr>
            <w:r>
              <w:rPr>
                <w:color w:val="203044"/>
                <w:sz w:val="17"/>
              </w:rPr>
              <w:t>#24</w:t>
            </w:r>
          </w:p>
        </w:tc>
        <w:tc>
          <w:tcPr>
            <w:tcW w:type="dxa" w:w="8424"/>
            <w:vAlign w:val="center"/>
            <w:tcMar>
              <w:top w:w="100" w:type="dxa"/>
              <w:start w:w="105" w:type="dxa"/>
              <w:bottom w:w="100" w:type="dxa"/>
              <w:end w:w="105" w:type="dxa"/>
            </w:tcMar>
            <w:tcBorders>
              <w:bottom w:val="single" w:color="DAE3E9" w:sz="3"/>
            </w:tcBorders>
          </w:tcPr>
          <w:p>
            <w:pPr>
              <w:spacing w:after="0" w:line="247" w:lineRule="auto" w:before="0"/>
            </w:pPr>
            <w:r>
              <w:rPr>
                <w:color w:val="203044"/>
                <w:sz w:val="17"/>
              </w:rPr>
              <w:t>取込・統合設定：取り込みの安全方針と照合</w:t>
            </w:r>
          </w:p>
        </w:tc>
      </w:tr>
    </w:tbl>
    <w:p>
      <w:pPr>
        <w:spacing w:after="50" w:line="259" w:lineRule="auto"/>
      </w:pPr>
    </w:p>
    <w:p>
      <w:pPr>
        <w:pStyle w:val="Heading2"/>
        <w:spacing w:before="180" w:after="60"/>
      </w:pPr>
      <w:r>
        <w:t>Astra仕様書との対応</w:t>
      </w:r>
    </w:p>
    <w:p>
      <w:pPr>
        <w:spacing w:after="50" w:line="259" w:lineRule="auto"/>
      </w:pPr>
      <w:r>
        <w:t>参照資料：『InvestmentStory 機能拡張と画面改善仕様書』2026年10月18日版1.0（全12頁）。第1章＝現状整理、第3章＝F01〜F18の優先順位、第4〜8章＝実装条件、第9章＝画面・算式規則、第10章＝受入試験。</w:t>
      </w:r>
    </w:p>
    <w:p>
      <w:pPr>
        <w:spacing w:after="50" w:line="259" w:lineRule="auto"/>
      </w:pPr>
      <w:r>
        <w:t>同仕様書に挙げられた他製品・W3Cの参照先は、仕様書の調査根拠として扱いました。今回、新たに各社の機能や最新契約条件を独立検証したものではありません。</w:t>
      </w:r>
    </w:p>
    <w:p>
      <w:pPr>
        <w:pStyle w:val="Heading2"/>
        <w:spacing w:before="180" w:after="60"/>
      </w:pPr>
      <w:r>
        <w:t>制約・確認が必要なもの</w:t>
      </w:r>
    </w:p>
    <w:p>
      <w:pPr>
        <w:pStyle w:val="ListBullet"/>
        <w:spacing w:after="50" w:line="259" w:lineRule="auto"/>
        <w:ind w:left="331" w:hanging="173"/>
      </w:pPr>
      <w:r>
        <w:t>ソース・実行バイナリ・DBの未受領により、取込処理の正確性、性能・例外処理、暗号化、適法性の検証は実施していません。</w:t>
      </w:r>
    </w:p>
    <w:p>
      <w:pPr>
        <w:pStyle w:val="ListBullet"/>
        <w:spacing w:after="50" w:line="259" w:lineRule="auto"/>
        <w:ind w:left="331" w:hanging="173"/>
      </w:pPr>
      <w:r>
        <w:t>数字が一致して見えることと、原価・税務・口座・企業行動が正しいことは別です。最終的には証券会社原票・取引履歴と照合する必要があります。</w:t>
      </w:r>
    </w:p>
    <w:p>
      <w:pPr>
        <w:pStyle w:val="ListBullet"/>
        <w:spacing w:after="50" w:line="259" w:lineRule="auto"/>
        <w:ind w:left="331" w:hanging="173"/>
      </w:pPr>
      <w:r>
        <w:t>UIモックアップと生成画像はデザイン検討用です。画面中の数値、資産配分、取込例は説明のためのダミーや一部提供画面の例であり、実計算結果を保証しません。</w:t>
      </w:r>
    </w:p>
    <w:tbl>
      <w:tblPr>
        <w:tblW w:type="auto" w:w="0"/>
        <w:tblLook w:firstColumn="1" w:firstRow="1" w:lastColumn="0" w:lastRow="0" w:noHBand="0" w:noVBand="1" w:val="04A0"/>
      </w:tblPr>
      <w:tblGrid>
        <w:gridCol w:w="10166"/>
      </w:tblGrid>
      <w:tr>
        <w:tc>
          <w:tcPr>
            <w:tcW w:type="dxa" w:w="10166"/>
            <w:shd w:fill="F2F7FA"/>
            <w:tcMar>
              <w:top w:w="150" w:type="dxa"/>
              <w:start w:w="180" w:type="dxa"/>
              <w:bottom w:w="150" w:type="dxa"/>
              <w:end w:w="180" w:type="dxa"/>
            </w:tcMar>
          </w:tcPr>
          <w:p>
            <w:pPr>
              <w:spacing w:before="0" w:after="0" w:line="252" w:lineRule="auto"/>
            </w:pPr>
            <w:r>
              <w:rPr>
                <w:b/>
                <w:color w:val="1672A4"/>
              </w:rPr>
              <w:t xml:space="preserve">総括  </w:t>
            </w:r>
            <w:r>
              <w:rPr>
                <w:sz w:val="18"/>
              </w:rPr>
              <w:t>「これだけ多くの機能があるアプリ」を、「結果を信じて日々使えるアプリ」に育てる改善計画として、Astra案は方向性が良いと評価します。仕様の穴を先に塞ぎ、UIの整理と継続運用の仕組みを同時に進めるのが最も効果的です。</w:t>
            </w:r>
          </w:p>
        </w:tc>
      </w:tr>
    </w:tbl>
    <w:sectPr w:rsidR="00FC693F" w:rsidRPr="0006063C" w:rsidSect="00034616">
      <w:headerReference w:type="default" r:id="rId9"/>
      <w:footerReference w:type="default" r:id="rId10"/>
      <w:pgSz w:w="12240" w:h="15840"/>
      <w:pgMar w:top="893" w:right="1037" w:bottom="922" w:left="1037" w:header="418"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7186"/>
        <w:sz w:val="15"/>
      </w:rPr>
      <w:t xml:space="preserve">InvestmentStory  |  2026.10.18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b/>
        <w:color w:val="1672A4"/>
        <w:sz w:val="15"/>
      </w:rPr>
      <w:t>INVESTMENTSTORY  /  DESIGN &amp; PRODUCT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CJK JP" w:hAnsi="Noto Sans CJK JP" w:eastAsia="Noto Sans CJK JP"/>
      <w:color w:val="2030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Noto Sans CJK JP" w:hAnsi="Noto Sans CJK JP" w:eastAsia="Noto Sans CJK JP"/>
      <w:b/>
      <w:bCs/>
      <w:color w:val="183149"/>
      <w:sz w:val="31"/>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CJK JP" w:hAnsi="Noto Sans CJK JP" w:eastAsia="Noto Sans CJK JP"/>
      <w:b/>
      <w:bCs/>
      <w:color w:val="1672A4"/>
      <w:sz w:val="23"/>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Noto Sans CJK JP" w:hAnsi="Noto Sans CJK JP" w:eastAsia="Noto Sans CJK JP"/>
      <w:b/>
      <w:bCs/>
      <w:color w:val="18314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before="0"/>
      <w:contextualSpacing/>
    </w:pPr>
    <w:rPr>
      <w:rFonts w:asciiTheme="majorHAnsi" w:eastAsiaTheme="majorEastAsia" w:hAnsiTheme="majorHAnsi" w:cstheme="majorBidi" w:ascii="Noto Sans CJK JP" w:hAnsi="Noto Sans CJK JP" w:eastAsia="Noto Sans CJK JP"/>
      <w:b/>
      <w:color w:val="18314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Noto Sans CJK JP" w:hAnsi="Noto Sans CJK JP" w:eastAsia="Noto Sans CJK JP"/>
      <w:b w:val="0"/>
      <w:i/>
      <w:iCs/>
      <w:color w:val="5E718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Noto Sans CJK JP" w:hAnsi="Noto Sans CJK JP" w:eastAsia="Noto Sans CJK JP"/>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Noto Sans CJK JP" w:hAnsi="Noto Sans CJK JP" w:eastAsia="Noto Sans CJK JP"/>
      <w:b/>
      <w:bCs/>
      <w:color w:val="5E718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basedOn w:val="Normal"/>
    <w:pPr>
      <w:spacing w:after="240"/>
    </w:pPr>
    <w:rPr>
      <w:rFonts w:ascii="Noto Sans CJK JP" w:hAnsi="Noto Sans CJK JP" w:eastAsia="Noto Sans CJK JP"/>
      <w:b/>
      <w:color w:val="183149"/>
      <w:sz w:val="5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InvestmentStory 改善案レビューと追加提案</dc:title>
  <dc:subject>現状評価・Astra改善案の評価・追加改善提案</dc:subject>
  <dc:creator/>
  <cp:keywords>InvestmentStory, UI, review</cp:keywords>
  <dc:description/>
  <cp:lastModifiedBy/>
  <cp:revision>1</cp:revision>
  <dcterms:created xsi:type="dcterms:W3CDTF">2013-12-23T23:15:00Z</dcterms:created>
  <dcterms:modified xsi:type="dcterms:W3CDTF">2013-12-23T23:15:00Z</dcterms:modified>
  <cp:category/>
</cp:coreProperties>
</file>