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项目执行情况简介</w:t>
      </w:r>
    </w:p>
    <w:p>
      <w:pPr>
        <w:jc w:val="center"/>
      </w:pPr>
      <w:r>
        <w:rPr>
          <w:rFonts w:ascii="Times New Roman" w:hAnsi="Times New Roman" w:eastAsia="宋体"/>
          <w:sz w:val="21"/>
        </w:rPr>
        <w:t>项目名称：面向多模态分子预训练的药物信息采集与处理</w:t>
      </w:r>
    </w:p>
    <w:p>
      <w:pPr>
        <w:spacing w:line="360" w:lineRule="auto" w:after="120"/>
        <w:ind w:firstLine="403"/>
      </w:pPr>
      <w:r>
        <w:rPr>
          <w:rFonts w:ascii="Times New Roman" w:hAnsi="Times New Roman" w:eastAsia="宋体"/>
          <w:sz w:val="22"/>
        </w:rPr>
        <w:t>本项目围绕“面向多模态分子预训练的药物信息采集与处理”开展研究，主要目标是构建较大规模、标准化、可用于模型评测的药物信息数据集，为后续分子相关算法与模型提供较清晰的性能基准。项目立足于药物发现领域中数据来源分散、结构表示不统一、活性信息难以直接建模等实际问题，重点围绕化学结构、药效数据及蛋白质—配体相互作用等核心信息开展数据采集、整理与处理工作，并结合基准任务构建和 baseline 模型验证，对数据集的可用性进行初步检验。</w:t>
      </w:r>
    </w:p>
    <w:p>
      <w:pPr>
        <w:spacing w:line="360" w:lineRule="auto" w:after="120"/>
        <w:ind w:firstLine="403"/>
      </w:pPr>
      <w:r>
        <w:rPr>
          <w:rFonts w:ascii="Times New Roman" w:hAnsi="Times New Roman" w:eastAsia="宋体"/>
          <w:sz w:val="22"/>
        </w:rPr>
        <w:t>项目实施过程中，已完成 ChEMBL、BindingDB 等公开数据库的收集、筛选与初步整合，建立了从原始药物分子记录到标准化数据集的处理流程。在数据预处理方面，完成了 SMILES 标准化、重复记录去除、分子描述符提取、类药分子筛选以及活性/靶点信息编码等工作。样本测试表明，原始 2000 条记录中，SMILES 标准化成功 1998 条，去重后得到 1738 个唯一分子，进一步经过类药筛选后保留 418 个分子，说明项目所建立的数据处理流程能够有效提升原始药物数据的规范性和分析可用性。在全量处理层面，原始整合记录规模约为 293.8 万条，成功生成约 276.3 万条分子描述符记录，表明项目已具备处理较大规模药物数据的能力。</w:t>
      </w:r>
    </w:p>
    <w:p>
      <w:pPr>
        <w:spacing w:line="360" w:lineRule="auto" w:after="120"/>
        <w:ind w:firstLine="403"/>
      </w:pPr>
      <w:r>
        <w:rPr>
          <w:rFonts w:ascii="Times New Roman" w:hAnsi="Times New Roman" w:eastAsia="宋体"/>
          <w:sz w:val="22"/>
        </w:rPr>
        <w:t>在项目成果方面，已初步形成三个方面的结果。其一，构建了以标准化分子结构为核心的分子主表和描述符表，包含 canonical SMILES 及 MW、LogP、TPSA、QED、SAS 等理化性质信息，为后续分子建模和化学空间分析提供了基础。其二，围绕活性与靶点信息完成了任务化整理，共获得 61147 条可用于监督学习的分子—靶点活性记录，并筛选出 36 个可用于 benchmark 评测的靶点任务，初步形成了结构—活性预测数据基础。其三，基于构建的数据集完成了第一版 baseline 验证，采用 Morgan fingerprint 结合 Logistic Regression 和 Random Forest 对多个代表性靶点任务进行测试，结果表明该数据集具有较明确的结构—活性可学习信号，初步具备 benchmark 应用价值。</w:t>
      </w:r>
    </w:p>
    <w:p>
      <w:pPr>
        <w:spacing w:line="360" w:lineRule="auto" w:after="120"/>
        <w:ind w:firstLine="403"/>
      </w:pPr>
      <w:r>
        <w:rPr>
          <w:rFonts w:ascii="Times New Roman" w:hAnsi="Times New Roman" w:eastAsia="宋体"/>
          <w:sz w:val="22"/>
        </w:rPr>
        <w:t>本项目的创新与特色主要体现在三个方面：一是围绕“多模态分子预训练”这一目标开展数据工作，不仅关注数据收集，更重视数据的标准化、任务化和可评测性；二是将结构信息与活性/靶点信息联动整理，使数据资源由原始数据库集合转化为面向模型评测的任务集合；三是在数据处理基础上同步开展 baseline 验证，并进一步通过 raw 与 processed、随机切分与 scaffold 切分等方式进行对照分析，使项目形成了“数据构建—任务设计—模型评测”的基本闭环。项目在实践层面为后续药物分子预训练、活性预测和多模态药物建模提供了较规范的数据基础，在方法层面也为类似研究提供了可参考的数据处理流程。</w:t>
      </w:r>
    </w:p>
    <w:p>
      <w:pPr>
        <w:spacing w:line="360" w:lineRule="auto" w:after="120"/>
        <w:ind w:firstLine="403"/>
      </w:pPr>
      <w:r>
        <w:rPr>
          <w:rFonts w:ascii="Times New Roman" w:hAnsi="Times New Roman" w:eastAsia="宋体"/>
          <w:sz w:val="22"/>
        </w:rPr>
        <w:t>目前项目尚未发表与本项目直接相关的论文，也未申请专利。现阶段研究重心主要放在数据集构建、实验验证与技术路线打通方面，成果凝练和论文写作仍有进一步推进空间。财务执行方面，项目总体支出较为谨慎，研究工作主要依托公开数据资源和现有计算条件展开，未出现明显超预算或不合理开支情况。团队合作方面，项目负责人主要负责技术路线设计、数据处理实现、任务构建与模型验证，其他成员参与数据源梳理、文献调研、实验辅助与结果整理，整体分工较为明确，合作较为顺畅。研究记录方面，已形成较完整的数据来源说明、处理脚本、运行日志、任务构建表和 baseline 结果表，研究过程具有较好的连续性和可追溯性。总体来看，本项目较好完成了数据整合、预处理与初步验证等核心任务，基本达到预期阶段目标，并为后续进一步扩展多模态信息源和开展更强模型评测奠定了基础。</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