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rdbvau"/>
        <w:numPr/>
        <w:jc w:val="left"/>
        <w:rPr/>
      </w:pPr>
      <w:r>
        <w:rPr/>
        <w:t>信息</w:t>
      </w:r>
      <w:r>
        <w:rPr/>
        <w:t>融合</w:t>
      </w:r>
    </w:p>
    <w:p>
      <w:pPr>
        <w:pStyle w:val="ablt93"/>
        <w:pBdr/>
        <w:ind/>
        <w:rPr>
          <w:b/>
        </w:rPr>
      </w:pPr>
      <w:r>
        <w:rPr/>
        <w:t>说明</w:t>
      </w:r>
      <w:r>
        <w:rPr/>
        <w:t>：</w:t>
      </w:r>
      <w:r>
        <w:rPr/>
        <w:t>除了</w:t>
      </w:r>
      <w:r>
        <w:rPr/>
        <w:t>因子</w:t>
      </w:r>
      <w:r>
        <w:rPr/>
        <w:t>数据</w:t>
      </w:r>
      <w:r>
        <w:rPr/>
        <w:t>，</w:t>
      </w:r>
      <w:r>
        <w:rPr/>
        <w:t>还有</w:t>
      </w:r>
      <w:r>
        <w:rPr/>
        <w:t>其他</w:t>
      </w:r>
      <w:r>
        <w:rPr/>
        <w:t>的</w:t>
      </w:r>
      <w:r>
        <w:rPr/>
        <w:t>信息</w:t>
      </w:r>
      <w:r>
        <w:rPr/>
        <w:t>融入</w:t>
      </w:r>
      <w:r>
        <w:rPr/>
        <w:t>到</w:t>
      </w:r>
      <w:r>
        <w:rPr/>
        <w:t>模型</w:t>
      </w:r>
      <w:r>
        <w:rPr/>
        <w:t>的</w:t>
      </w:r>
      <w:r>
        <w:rPr/>
        <w:t>训练</w:t>
      </w:r>
      <w:r>
        <w:rPr/>
        <w:t>。</w:t>
      </w:r>
      <w:r>
        <w:rPr/>
        <w:t>例如</w:t>
      </w:r>
      <w:r>
        <w:rPr/>
        <w:t>barra</w:t>
      </w:r>
      <w:r>
        <w:rPr/>
        <w:t>、</w:t>
      </w:r>
      <w:r>
        <w:rPr/>
        <w:t>时间</w:t>
      </w:r>
      <w:r>
        <w:rPr/>
        <w:t>编码</w:t>
      </w:r>
      <w:r>
        <w:rPr/>
        <w:t>、</w:t>
      </w:r>
      <w:r>
        <w:rPr/>
        <w:t>流动性</w:t>
      </w:r>
      <w:r>
        <w:rPr/>
        <w:t>。</w:t>
      </w:r>
      <w:r>
        <w:rPr>
          <w:b/>
        </w:rPr>
        <w:t>看看这些信息是否有效。</w:t>
      </w:r>
    </w:p>
    <w:p>
      <w:pPr>
        <w:pStyle w:val="ablt93"/>
        <w:pBdr/>
        <w:ind/>
        <w:rPr/>
      </w:pPr>
    </w:p>
    <w:p>
      <w:pPr>
        <w:pStyle w:val="ablt93"/>
        <w:pBdr/>
        <w:ind/>
        <w:rPr>
          <w:b/>
        </w:rPr>
      </w:pPr>
      <w:r>
        <w:rPr/>
        <w:t>模型</w:t>
      </w:r>
      <w:r>
        <w:rPr/>
        <w:t>：</w:t>
      </w:r>
      <w:r>
        <w:rPr/>
        <w:t>4</w:t>
      </w:r>
      <w:r>
        <w:rPr/>
        <w:t>层</w:t>
      </w:r>
      <w:r>
        <w:rPr/>
        <w:t>MLP</w:t>
      </w:r>
      <w:r>
        <w:rPr/>
        <w:t>。</w:t>
      </w:r>
      <w:r>
        <w:rPr>
          <w:b/>
        </w:rPr>
        <w:t>探索是将这部分信息拼在因子层还是输出层。</w:t>
      </w:r>
    </w:p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信息</w:t>
      </w:r>
      <w:r>
        <w:rPr/>
        <w:t>类型</w:t>
      </w:r>
      <w:r>
        <w:rPr/>
        <w:t>：</w:t>
      </w:r>
      <w:r>
        <w:rPr/>
        <w:t>barra</w:t>
      </w:r>
      <w:r>
        <w:rPr/>
        <w:t>因子</w:t>
      </w:r>
      <w:r>
        <w:rPr/>
        <w:t>有</w:t>
      </w:r>
      <w:r>
        <w:rPr/>
        <w:t>1</w:t>
      </w:r>
      <w:r>
        <w:rPr/>
        <w:t>4</w:t>
      </w:r>
      <w:r>
        <w:rPr/>
        <w:t>个</w:t>
      </w:r>
      <w:r>
        <w:rPr/>
        <w:t>。</w:t>
      </w:r>
      <w:r>
        <w:rPr/>
        <w:t>周度</w:t>
      </w:r>
      <w:r>
        <w:rPr/>
        <w:t>、</w:t>
      </w:r>
      <w:r>
        <w:rPr/>
        <w:t>月度</w:t>
      </w:r>
      <w:r>
        <w:rPr/>
        <w:t>、</w:t>
      </w:r>
      <w:r>
        <w:rPr/>
        <w:t>季度</w:t>
      </w:r>
      <w:r>
        <w:rPr/>
        <w:t>编码</w:t>
      </w:r>
      <w:r>
        <w:rPr/>
        <w:t>有</w:t>
      </w:r>
      <w:r>
        <w:rPr/>
        <w:t>7</w:t>
      </w:r>
      <w:r>
        <w:rPr/>
        <w:t>个</w:t>
      </w:r>
      <w:r>
        <w:rPr/>
        <w:t>。</w:t>
      </w:r>
      <w:r>
        <w:rPr/>
        <w:t>历史</w:t>
      </w:r>
      <w:r>
        <w:rPr/>
        <w:t>流动性</w:t>
      </w:r>
      <w:r>
        <w:rPr/>
        <w:t>数据</w:t>
      </w:r>
      <w:r>
        <w:rPr/>
        <w:t>有</w:t>
      </w:r>
      <w:r>
        <w:rPr/>
        <w:t>2</w:t>
      </w:r>
      <w:r>
        <w:rPr/>
        <w:t>0</w:t>
      </w:r>
      <w:r>
        <w:rPr/>
        <w:t>个</w:t>
      </w:r>
      <w:r>
        <w:rPr/>
        <w:t>。</w:t>
      </w:r>
      <w:r>
        <w:rPr/>
        <w:t>分别</w:t>
      </w:r>
      <w:r>
        <w:rPr/>
        <w:t>以</w:t>
      </w:r>
      <w:r>
        <w:rPr/>
        <w:t>barra</w:t>
      </w:r>
      <w:r>
        <w:rPr/>
        <w:t>、</w:t>
      </w:r>
      <w:r>
        <w:rPr/>
        <w:t>time</w:t>
      </w:r>
      <w:r>
        <w:rPr/>
        <w:t>和</w:t>
      </w:r>
      <w:r>
        <w:rPr/>
        <w:t>hist</w:t>
      </w:r>
      <w:r>
        <w:rPr/>
        <w:t>简称</w:t>
      </w:r>
      <w:r>
        <w:rPr/>
        <w:t>。</w:t>
      </w:r>
    </w:p>
    <w:p>
      <w:pPr>
        <w:pStyle w:val="ablt93"/>
        <w:pBdr/>
        <w:ind/>
        <w:rPr/>
      </w:pPr>
      <w:r>
        <w:rPr/>
        <w:t>节假日</w:t>
      </w:r>
      <w:r>
        <w:rPr/>
        <w:t>有</w:t>
      </w:r>
      <w:r>
        <w:rPr/>
        <w:t>7</w:t>
      </w:r>
      <w:r>
        <w:rPr/>
        <w:t>个</w:t>
      </w:r>
      <w:r>
        <w:rPr/>
        <w:t>，</w:t>
      </w:r>
      <w:r>
        <w:rPr/>
        <w:t>节前</w:t>
      </w:r>
      <w:r>
        <w:rPr/>
        <w:t>5</w:t>
      </w:r>
      <w:r>
        <w:rPr/>
        <w:t>天</w:t>
      </w:r>
      <w:r>
        <w:rPr/>
        <w:t>编码</w:t>
      </w:r>
      <w:r>
        <w:rPr/>
        <w:t>1</w:t>
      </w:r>
      <w:r>
        <w:rPr/>
        <w:t>，</w:t>
      </w:r>
      <w:r>
        <w:rPr/>
        <w:t>节后</w:t>
      </w:r>
      <w:r>
        <w:rPr/>
        <w:t>5</w:t>
      </w:r>
      <w:r>
        <w:rPr/>
        <w:t>天</w:t>
      </w:r>
      <w:r>
        <w:rPr/>
        <w:t>编码</w:t>
      </w:r>
      <w:r>
        <w:rPr/>
        <w:t>-</w:t>
      </w:r>
      <w:r>
        <w:rPr/>
        <w:t>1</w:t>
      </w:r>
      <w:r>
        <w:rPr/>
        <w:t>,</w:t>
      </w:r>
      <w:r>
        <w:rPr/>
        <w:t>。</w:t>
      </w:r>
      <w:r>
        <w:rPr/>
        <w:t>以</w:t>
      </w:r>
      <w:r>
        <w:rPr/>
        <w:t>holiday</w:t>
      </w:r>
      <w:r>
        <w:rPr/>
        <w:t>简称</w:t>
      </w:r>
    </w:p>
    <w:p>
      <w:pPr>
        <w:pStyle w:val="ablt93"/>
        <w:pBdr/>
        <w:ind/>
        <w:rPr/>
      </w:pPr>
    </w:p>
    <w:p>
      <w:pPr>
        <w:pStyle w:val="ablt93"/>
        <w:pBdr>
          <w:bottom/>
        </w:pBdr>
        <w:ind/>
        <w:rPr/>
      </w:pPr>
      <w:r>
        <w:rPr/>
        <w:t>结果</w:t>
      </w:r>
      <w:r>
        <w:rPr/>
        <w:t>：</w:t>
      </w:r>
    </w:p>
    <w:tbl>
      <w:tblPr>
        <w:tblStyle w:val="rwv58c"/>
        <w:tblLayout w:type="fixed"/>
      </w:tblPr>
      <w:tblGrid>
        <w:gridCol w:w="192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ICIR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loss_train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corr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ICIR_mix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label_ret_mix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stability_mix</w:t>
            </w:r>
          </w:p>
        </w:tc>
      </w:tr>
      <w:tr>
        <w:trPr>
          <w:wBefore/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holiday在输出层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0.1212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1.3954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0.2456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0.3901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-0.2803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0.8333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1.2949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0.2701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0.4415   </w:t>
            </w:r>
          </w:p>
        </w:tc>
      </w:tr>
      <w:tr>
        <w:trPr>
          <w:wBefore/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holiday在因子层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0.1206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1.3878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0.2487 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0.3989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-0.2770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0.8183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1.2936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0.2690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0.4388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time加在输出层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0.1199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1.3240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0.2576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0.4153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-0.2813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0.8260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1.2780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0.2702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0.4427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time加在因子层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0.1189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1.3538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0.2527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0.3978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-0.2845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0.8123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1.2907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0.2736  </w:t>
            </w: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0.4487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hist加在输出层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0.1217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1.3845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0.2646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0.4318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-0.2662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0.8159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1.2914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0.2731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0.4475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hist加在因子层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0.1212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1.3701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0.2615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0.4195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-0.2805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0.8232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1.2843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0.2715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0.4451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barra加在输出层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0.1174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1.3203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0.2553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0.4227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-0.2664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0.8209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1.2831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0.2737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0.4466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barra加在因子层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0.1210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1.3304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>
                <w:color w:val="FF0000"/>
              </w:rPr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FF0000"/>
                <w:spacing w:val="0"/>
                <w:sz w:val="22"/>
                <w:u w:val="none"/>
              </w:rPr>
              <w:t xml:space="preserve">0.2558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0.4171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-0.2756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0.8316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1.2884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0.2715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0.4490   </w:t>
            </w:r>
          </w:p>
        </w:tc>
      </w:tr>
      <w:tr>
        <w:trPr>
          <w:trHeight w:val="855"/>
        </w:trPr>
        <w:tc>
          <w:tcPr>
            <w:tcW w:w="192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纯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因子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，</w:t>
            </w: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>baseline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0.1224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1.4312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0.2510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0.4048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-0.2801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0.8320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0.1287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1.2926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0.2634   </w:t>
            </w:r>
          </w:p>
        </w:tc>
        <w:tc>
          <w:tcPr>
            <w:tcW w:w="1710" w:type="dxa"/>
            <w:tcBorders>
              <w:top w:val="single" w:color="CBCDD1" w:sz="0" w:space="0"/>
              <w:left w:val="single" w:color="CBCDD1" w:sz="0" w:space="0"/>
              <w:bottom w:val="single" w:color="CBCDD1" w:sz="0" w:space="0"/>
              <w:right w:val="single" w:color="CBCDD1" w:sz="0" w:space="0"/>
            </w:tcBorders>
            <w:tcMar>
              <w:bottom w:w="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center"/>
              <w:rPr/>
            </w:pPr>
            <w:r>
              <w:rPr>
                <w:rFonts w:ascii="等线" w:hAnsi="等线" w:eastAsia="等线" w:cs="等线"/>
                <w:i w:val="false"/>
                <w:strike w:val="false"/>
                <w:color w:val="000000"/>
                <w:spacing w:val="0"/>
                <w:sz w:val="22"/>
                <w:u w:val="none"/>
              </w:rPr>
              <w:t xml:space="preserve">0.4356   </w:t>
            </w:r>
          </w:p>
        </w:tc>
      </w:tr>
    </w:tbl>
    <w:p>
      <w:pPr>
        <w:pStyle w:val="ablt93"/>
        <w:pBdr/>
        <w:ind/>
        <w:rPr/>
      </w:pPr>
    </w:p>
    <w:p>
      <w:pPr>
        <w:pStyle w:val="ablt93"/>
        <w:pBdr/>
        <w:ind/>
        <w:rPr/>
      </w:pPr>
      <w:r>
        <w:rPr/>
        <w:t>结论</w:t>
      </w:r>
      <w:r>
        <w:rPr/>
        <w:t>：</w:t>
      </w:r>
    </w:p>
    <w:p>
      <w:pPr>
        <w:pStyle w:val="ablt93"/>
        <w:numPr>
          <w:ilvl w:val="0"/>
          <w:numId w:val="1"/>
        </w:numPr>
        <w:pBdr/>
        <w:rPr/>
      </w:pPr>
      <w:r>
        <w:rPr/>
        <w:t>除了</w:t>
      </w:r>
      <w:r>
        <w:rPr/>
        <w:t>节日</w:t>
      </w:r>
      <w:r>
        <w:rPr/>
        <w:t>编码</w:t>
      </w:r>
      <w:r>
        <w:rPr/>
        <w:t>信息</w:t>
      </w:r>
      <w:r>
        <w:rPr/>
        <w:t>加上去</w:t>
      </w:r>
      <w:r>
        <w:rPr/>
        <w:t>后</w:t>
      </w:r>
      <w:r>
        <w:rPr/>
        <w:t>表现</w:t>
      </w:r>
      <w:r>
        <w:rPr/>
        <w:t>都</w:t>
      </w:r>
      <w:r>
        <w:rPr/>
        <w:t>优于</w:t>
      </w:r>
      <w:r>
        <w:rPr/>
        <w:t>baseline</w:t>
      </w:r>
      <w:r>
        <w:rPr/>
        <w:t>，</w:t>
      </w:r>
      <w:r>
        <w:rPr/>
        <w:t>说明</w:t>
      </w:r>
      <w:r>
        <w:rPr/>
        <w:t>这部分</w:t>
      </w:r>
      <w:r>
        <w:rPr/>
        <w:t>信息</w:t>
      </w:r>
      <w:r>
        <w:rPr>
          <w:b/>
        </w:rPr>
        <w:t>都是有效的</w:t>
      </w:r>
      <w:r>
        <w:rPr/>
        <w:t>。</w:t>
      </w:r>
    </w:p>
    <w:p>
      <w:pPr>
        <w:pStyle w:val="ablt93"/>
        <w:numPr>
          <w:ilvl w:val="0"/>
          <w:numId w:val="1"/>
        </w:numPr>
        <w:pBdr>
          <w:bottom/>
        </w:pBdr>
        <w:ind/>
        <w:rPr/>
      </w:pPr>
      <w:r>
        <w:rPr>
          <w:b/>
        </w:rPr>
        <w:t>加在输出层</w:t>
      </w:r>
      <w:r>
        <w:rPr/>
        <w:t>效果</w:t>
      </w:r>
      <w:r>
        <w:rPr/>
        <w:t>相对</w:t>
      </w:r>
      <w:r>
        <w:rPr/>
        <w:t>较好</w:t>
      </w:r>
      <w:r>
        <w:rPr/>
        <w:t>。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6">
      <w:start w:val="1"/>
      <w:numFmt w:val="decimal"/>
      <w:lvlText w:val="%7、"/>
      <w:lvlJc w:val="left"/>
      <w:pPr>
        <w:ind w:left="2976" w:hanging="336"/>
      </w:pPr>
    </w:lvl>
    <w:lvl w:ilvl="3">
      <w:start w:val="1"/>
      <w:numFmt w:val="decimal"/>
      <w:lvlText w:val="%4、"/>
      <w:lvlJc w:val="left"/>
      <w:pPr>
        <w:ind w:left="1656" w:hanging="336"/>
      </w:pPr>
    </w:lvl>
    <w:lvl w:ilvl="8">
      <w:start w:val="1"/>
      <w:numFmt w:val="lowerRoman"/>
      <w:lvlText w:val="%9)"/>
      <w:lvlJc w:val="left"/>
      <w:pPr>
        <w:ind w:left="3856" w:hanging="336"/>
      </w:pPr>
    </w:lvl>
    <w:lvl w:ilvl="2">
      <w:start w:val="1"/>
      <w:numFmt w:val="lowerRoman"/>
      <w:lvlText w:val="%3)"/>
      <w:lvlJc w:val="left"/>
      <w:pPr>
        <w:ind w:left="1216" w:hanging="336"/>
      </w:pPr>
    </w:lvl>
    <w:lvl w:ilvl="1">
      <w:start w:val="1"/>
      <w:numFmt w:val="lowerLetter"/>
      <w:lvlText w:val="%2)"/>
      <w:lvlJc w:val="left"/>
      <w:pPr>
        <w:ind w:left="776" w:hanging="336"/>
      </w:pPr>
    </w:lvl>
    <w:lvl w:ilvl="5">
      <w:start w:val="1"/>
      <w:numFmt w:val="lowerRoman"/>
      <w:lvlText w:val="%6)"/>
      <w:lvlJc w:val="left"/>
      <w:pPr>
        <w:ind w:left="2536" w:hanging="336"/>
      </w:pPr>
    </w:lvl>
    <w:lvl w:ilvl="4">
      <w:start w:val="1"/>
      <w:numFmt w:val="lowerLetter"/>
      <w:lvlText w:val="%5)"/>
      <w:lvlJc w:val="left"/>
      <w:pPr>
        <w:ind w:left="2096" w:hanging="336"/>
      </w:pPr>
    </w:lvl>
    <w:lvl w:ilvl="7">
      <w:start w:val="1"/>
      <w:numFmt w:val="lowerLetter"/>
      <w:lvlText w:val="%8)"/>
      <w:lvlJc w:val="left"/>
      <w:pPr>
        <w:ind w:left="3416" w:hanging="336"/>
      </w:pPr>
    </w:lvl>
    <w:lvl w:ilvl="0">
      <w:start w:val="1"/>
      <w:numFmt w:val="decimal"/>
      <w:lvlText w:val="%1、"/>
      <w:lvlJc w:val="left"/>
      <w:pPr>
        <w:ind w:left="336" w:hanging="336"/>
      </w:pPr>
      <w:rPr/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oNotFlipMirrorIndents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bafhau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rwv58c">
    <w:name w:val="Table Grid"/>
    <w:basedOn w:val="bafhau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2025-10-30T11:06:34Z</dcterms:created>
  <dcterms:modified xsi:type="dcterms:W3CDTF">2025-10-30T11:06:34Z</dcterms:modified>
</cp:coreProperties>
</file>