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/>
        <w:t>实验记录</w:t>
      </w:r>
      <w:r>
        <w:rPr/>
        <w:t>2</w:t>
      </w:r>
      <w:r>
        <w:rPr/>
        <w:t>0</w:t>
      </w:r>
      <w:r>
        <w:rPr/>
        <w:t>2</w:t>
      </w:r>
      <w:r>
        <w:rPr/>
        <w:t>5</w:t>
      </w:r>
      <w:r>
        <w:rPr/>
        <w:t>1</w:t>
      </w:r>
      <w:r>
        <w:rPr/>
        <w:t>0</w:t>
      </w:r>
      <w:r>
        <w:rPr/>
        <w:t>2</w:t>
      </w:r>
      <w:r>
        <w:rPr/>
        <w:t>1</w:t>
      </w:r>
    </w:p>
    <w:p>
      <w:pPr>
        <w:pStyle w:val="ablt93"/>
        <w:pBdr/>
        <w:ind/>
        <w:rPr>
          <w:i w:val="false"/>
          <w:strike w:val="false"/>
          <w:color w:val="000000"/>
          <w:u w:val="none"/>
        </w:rPr>
      </w:pPr>
      <w:r>
        <w:rPr>
          <w:b/>
          <w:i w:val="false"/>
          <w:strike w:val="false"/>
          <w:color w:val="000000"/>
          <w:u w:val="none"/>
        </w:rPr>
        <w:t>结论</w:t>
      </w:r>
      <w:r>
        <w:rPr>
          <w:b/>
          <w:i w:val="false"/>
          <w:strike w:val="false"/>
          <w:color w:val="000000"/>
          <w:u w:val="none"/>
        </w:rPr>
        <w:t>1</w:t>
      </w:r>
      <w:r>
        <w:rPr>
          <w:b/>
          <w:i w:val="false"/>
          <w:strike w:val="false"/>
          <w:color w:val="000000"/>
          <w:u w:val="none"/>
        </w:rPr>
        <w:t>：</w:t>
      </w:r>
      <w:r>
        <w:rPr>
          <w:i w:val="false"/>
          <w:strike w:val="false"/>
          <w:color w:val="000000"/>
          <w:u w:val="none"/>
        </w:rPr>
        <w:t>基于 Label 对样本进行筛选后训练得到的特化模型，在测试集上对每日 Top500 股票的命中率较高。与 benchmark 模型集成后，Top500 的命中率也有所提升，这或许可以解释集成后 label_ret 提升的原因。然而，该特化模型的每日预测表现较为不稳定，IC 值在正负之间波动较大。</w:t>
      </w:r>
    </w:p>
    <w:p>
      <w:pPr>
        <w:pStyle w:val="ablt93"/>
        <w:pBdr/>
        <w:ind/>
        <w:rPr/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思路</w:t>
      </w:r>
      <w:r>
        <w:rPr>
          <w:b/>
          <w:i w:val="false"/>
          <w:strike w:val="false"/>
          <w:color w:val="000000"/>
          <w:u w:val="none"/>
        </w:rPr>
        <w:t>1</w:t>
      </w:r>
      <w:r>
        <w:rPr>
          <w:b/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 xml:space="preserve">定义每日 </w:t>
      </w:r>
      <w:r>
        <w:rPr>
          <w:i/>
          <w:strike w:val="false"/>
          <w:color w:val="000000"/>
          <w:u w:val="none"/>
        </w:rPr>
        <w:t>Top 500</w:t>
      </w:r>
      <w:r>
        <w:rPr>
          <w:i w:val="false"/>
          <w:strike w:val="false"/>
          <w:color w:val="000000"/>
          <w:u w:val="none"/>
        </w:rPr>
        <w:t xml:space="preserve"> 的命中率：分别取 Label 排名前 500 的样本与模型预测值（preds）排名前 500 的样本，计算二者交集占总数的比例，即为命中率。以此指标衡量基于 Label 筛选样本后训练得到的特化模型的</w:t>
      </w:r>
      <w:r>
        <w:rPr>
          <w:i w:val="false"/>
          <w:strike w:val="false"/>
          <w:color w:val="000000"/>
          <w:u w:val="none"/>
        </w:rPr>
        <w:t>是否</w:t>
      </w:r>
      <w:r>
        <w:rPr>
          <w:i w:val="false"/>
          <w:strike w:val="false"/>
          <w:color w:val="000000"/>
          <w:u w:val="none"/>
        </w:rPr>
        <w:t>达到了</w:t>
      </w:r>
      <w:r>
        <w:rPr>
          <w:i w:val="false"/>
          <w:strike w:val="false"/>
          <w:color w:val="000000"/>
          <w:u w:val="none"/>
        </w:rPr>
        <w:t>预期</w:t>
      </w:r>
      <w:r>
        <w:rPr>
          <w:i w:val="false"/>
          <w:strike w:val="false"/>
          <w:color w:val="000000"/>
          <w:u w:val="none"/>
        </w:rPr>
        <w:t>的</w:t>
      </w:r>
      <w:r>
        <w:rPr>
          <w:i w:val="false"/>
          <w:strike w:val="false"/>
          <w:color w:val="000000"/>
          <w:u w:val="none"/>
        </w:rPr>
        <w:t>目标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对该特化模型在测试集上的全样本预测结果进行统计，分析其 IC分布，以观察模型 IC 值较小的原因。</w:t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b/>
        </w:rPr>
      </w:pPr>
      <w:r>
        <w:rPr>
          <w:b/>
        </w:rPr>
        <w:t>实验</w:t>
      </w:r>
      <w:r>
        <w:rPr>
          <w:b/>
        </w:rPr>
        <w:t>1</w:t>
      </w:r>
      <w:r>
        <w:rPr>
          <w:b/>
        </w:rPr>
        <w:t>：</w:t>
      </w:r>
    </w:p>
    <w:p>
      <w:pPr>
        <w:snapToGrid/>
        <w:spacing w:line="240"/>
        <w:ind/>
        <w:rPr/>
      </w:pPr>
      <w:r>
        <w:rPr>
          <w:rFonts w:ascii="system-ui" w:hAnsi="system-ui" w:eastAsia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四个banch在top 500的命中率，在23-24年的平均表现为：</w:t>
      </w:r>
    </w:p>
    <w:tbl>
      <w:tblPr>
        <w:tblStyle w:val="uss36r"/>
        <w:tblLayout w:type="fixed"/>
      </w:tblPr>
      <w:tblGrid>
        <w:gridCol w:w="2565"/>
        <w:gridCol w:w="2535"/>
      </w:tblGrid>
      <w:tr>
        <w:trPr>
          <w:trHeight w:val="469"/>
        </w:trPr>
        <w:tc>
          <w:tcPr>
            <w:tcW w:w="2565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banchmark</w:t>
            </w:r>
          </w:p>
        </w:tc>
        <w:tc>
          <w:tcPr>
            <w:tcW w:w="2535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Top 500 命中率</w:t>
            </w:r>
          </w:p>
        </w:tc>
      </w:tr>
      <w:tr>
        <w:trPr>
          <w:trHeight w:val="469"/>
        </w:trPr>
        <w:tc>
          <w:tcPr>
            <w:tcW w:w="2565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bench1整体命中率</w:t>
            </w:r>
          </w:p>
        </w:tc>
        <w:tc>
          <w:tcPr>
            <w:tcW w:w="2535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22.96%</w:t>
            </w:r>
          </w:p>
        </w:tc>
      </w:tr>
      <w:tr>
        <w:trPr>
          <w:trHeight w:val="469"/>
        </w:trPr>
        <w:tc>
          <w:tcPr>
            <w:tcW w:w="2565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bench2整体命中率</w:t>
            </w:r>
          </w:p>
        </w:tc>
        <w:tc>
          <w:tcPr>
            <w:tcW w:w="2535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25.41%</w:t>
            </w:r>
          </w:p>
        </w:tc>
      </w:tr>
      <w:tr>
        <w:trPr>
          <w:trHeight w:val="469"/>
        </w:trPr>
        <w:tc>
          <w:tcPr>
            <w:tcW w:w="2565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bench3整体命中率</w:t>
            </w:r>
          </w:p>
        </w:tc>
        <w:tc>
          <w:tcPr>
            <w:tcW w:w="2535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25.07%</w:t>
            </w:r>
          </w:p>
        </w:tc>
      </w:tr>
      <w:tr>
        <w:trPr>
          <w:trHeight w:val="469"/>
        </w:trPr>
        <w:tc>
          <w:tcPr>
            <w:tcW w:w="2565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bench4整体命中率</w:t>
            </w:r>
          </w:p>
        </w:tc>
        <w:tc>
          <w:tcPr>
            <w:tcW w:w="2535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25.40%</w:t>
            </w:r>
          </w:p>
        </w:tc>
      </w:tr>
    </w:tbl>
    <w:p>
      <w:pPr>
        <w:snapToGrid/>
        <w:spacing w:line="240"/>
        <w:ind w:hanging="0"/>
        <w:rPr/>
      </w:pPr>
    </w:p>
    <w:tbl>
      <w:tblPr>
        <w:tblStyle w:val="imhi1w"/>
        <w:tblLayout w:type="fixed"/>
      </w:tblPr>
      <w:tblGrid>
        <w:gridCol w:w="2933"/>
        <w:gridCol w:w="2306"/>
        <w:gridCol w:w="2748"/>
        <w:gridCol w:w="2324"/>
      </w:tblGrid>
      <w:tr>
        <w:trPr>
          <w:trHeight w:val="598"/>
        </w:trPr>
        <w:tc>
          <w:tcPr>
            <w:tcW w:w="2933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说明</w:t>
            </w:r>
          </w:p>
        </w:tc>
        <w:tc>
          <w:tcPr>
            <w:tcW w:w="2306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Top 500 命中率</w:t>
            </w:r>
          </w:p>
        </w:tc>
        <w:tc>
          <w:tcPr>
            <w:tcW w:w="2748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集成后Top 500 命中率</w:t>
            </w:r>
          </w:p>
        </w:tc>
        <w:tc>
          <w:tcPr>
            <w:tcW w:w="2324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label_ret_mix</w:t>
            </w:r>
          </w:p>
        </w:tc>
      </w:tr>
      <w:tr>
        <w:trPr>
          <w:trHeight w:val="535"/>
        </w:trPr>
        <w:tc>
          <w:tcPr>
            <w:tcW w:w="2933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Label top1500</w:t>
            </w:r>
          </w:p>
        </w:tc>
        <w:tc>
          <w:tcPr>
            <w:tcW w:w="2306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b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27.96%</w:t>
            </w:r>
          </w:p>
        </w:tc>
        <w:tc>
          <w:tcPr>
            <w:tcW w:w="2748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b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26.87%</w:t>
            </w:r>
          </w:p>
        </w:tc>
        <w:tc>
          <w:tcPr>
            <w:tcW w:w="2324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b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5.17%</w:t>
            </w:r>
          </w:p>
        </w:tc>
      </w:tr>
      <w:tr>
        <w:trPr>
          <w:trHeight w:val="535"/>
        </w:trPr>
        <w:tc>
          <w:tcPr>
            <w:tcW w:w="2933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Label top1000</w:t>
            </w:r>
          </w:p>
        </w:tc>
        <w:tc>
          <w:tcPr>
            <w:tcW w:w="2306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b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27.71%</w:t>
            </w:r>
          </w:p>
        </w:tc>
        <w:tc>
          <w:tcPr>
            <w:tcW w:w="2748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b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26.97%</w:t>
            </w:r>
          </w:p>
        </w:tc>
        <w:tc>
          <w:tcPr>
            <w:tcW w:w="2324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b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5.83%</w:t>
            </w:r>
          </w:p>
        </w:tc>
      </w:tr>
      <w:tr>
        <w:trPr>
          <w:trHeight w:val="535"/>
        </w:trPr>
        <w:tc>
          <w:tcPr>
            <w:tcW w:w="2933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Baseline</w:t>
            </w:r>
          </w:p>
        </w:tc>
        <w:tc>
          <w:tcPr>
            <w:tcW w:w="2306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24.96%</w:t>
            </w:r>
          </w:p>
        </w:tc>
        <w:tc>
          <w:tcPr>
            <w:tcW w:w="2748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25.41%</w:t>
            </w:r>
          </w:p>
        </w:tc>
        <w:tc>
          <w:tcPr>
            <w:tcW w:w="2324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0.40%</w:t>
            </w:r>
          </w:p>
        </w:tc>
      </w:tr>
      <w:tr>
        <w:trPr>
          <w:trHeight w:val="535"/>
        </w:trPr>
        <w:tc>
          <w:tcPr>
            <w:tcW w:w="2933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Label top100</w:t>
            </w:r>
          </w:p>
        </w:tc>
        <w:tc>
          <w:tcPr>
            <w:tcW w:w="2306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15.90%</w:t>
            </w:r>
          </w:p>
        </w:tc>
        <w:tc>
          <w:tcPr>
            <w:tcW w:w="2748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25.41%</w:t>
            </w:r>
          </w:p>
        </w:tc>
        <w:tc>
          <w:tcPr>
            <w:tcW w:w="2324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2.65%</w:t>
            </w:r>
          </w:p>
        </w:tc>
      </w:tr>
      <w:tr>
        <w:trPr>
          <w:trHeight w:val="535"/>
        </w:trPr>
        <w:tc>
          <w:tcPr>
            <w:tcW w:w="2933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Label top500</w:t>
            </w:r>
          </w:p>
        </w:tc>
        <w:tc>
          <w:tcPr>
            <w:tcW w:w="2306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15.34%</w:t>
            </w:r>
          </w:p>
        </w:tc>
        <w:tc>
          <w:tcPr>
            <w:tcW w:w="2748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26.52%</w:t>
            </w:r>
          </w:p>
        </w:tc>
        <w:tc>
          <w:tcPr>
            <w:tcW w:w="2324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3.94%</w:t>
            </w:r>
          </w:p>
        </w:tc>
      </w:tr>
      <w:tr>
        <w:trPr>
          <w:trHeight w:val="520"/>
        </w:trPr>
        <w:tc>
          <w:tcPr>
            <w:tcW w:w="2933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Label top300</w:t>
            </w:r>
          </w:p>
        </w:tc>
        <w:tc>
          <w:tcPr>
            <w:tcW w:w="2306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14.84%</w:t>
            </w:r>
          </w:p>
        </w:tc>
        <w:tc>
          <w:tcPr>
            <w:tcW w:w="2748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26.30%</w:t>
            </w:r>
          </w:p>
        </w:tc>
        <w:tc>
          <w:tcPr>
            <w:tcW w:w="2324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000000"/>
                <w:spacing w:val="0"/>
                <w:sz w:val="21"/>
                <w:u w:val="none"/>
                <w:vertAlign w:val="baseline"/>
              </w:rPr>
              <w:t>3.48%</w:t>
            </w:r>
          </w:p>
        </w:tc>
      </w:tr>
    </w:tbl>
    <w:p>
      <w:pPr>
        <w:pBdr/>
        <w:snapToGrid/>
        <w:spacing w:line="240"/>
        <w:ind w:hanging="0"/>
        <w:rPr>
          <w:rFonts w:ascii="system-ui" w:hAnsi="system-ui" w:eastAsia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</w:pPr>
    </w:p>
    <w:p>
      <w:pPr>
        <w:snapToGrid/>
        <w:spacing w:line="240"/>
        <w:ind w:hanging="0"/>
        <w:rPr/>
      </w:pPr>
      <w:r>
        <w:rPr>
          <w:rFonts w:ascii="system-ui" w:hAnsi="system-ui" w:eastAsia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将模型的IC_list进行了统计分析，对比baseline的结果如下所示：</w:t>
      </w:r>
    </w:p>
    <w:p>
      <w:pPr>
        <w:snapToGrid/>
        <w:spacing w:line="240"/>
        <w:ind w:hanging="0"/>
        <w:rPr/>
      </w:pPr>
      <w:r>
        <w:rPr/>
        <w:drawing>
          <wp:inline distT="0" distB="0" distL="0" distR="0">
            <wp:extent cx="4725359" cy="255373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725359" cy="255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53320" cy="255367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553320" cy="255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240"/>
        <w:ind w:hanging="0"/>
        <w:rPr/>
      </w:pPr>
      <w:r>
        <w:rPr>
          <w:rFonts w:ascii="system-ui" w:hAnsi="system-ui" w:eastAsia="system-ui" w:cs="system-ui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左边是只学习Label top训练出来的模型在测试集上的IC统计。右边是baseline，全样本学习的结果。明显的发现，单模型IC小的直接原因是存在很多天，模型给出的IC结果是负数。导致最终算mean时正负抵消了。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Bdr>
          <w:bottom/>
        </w:pBdr>
        <w:snapToGrid/>
        <w:spacing w:line="240"/>
        <w:ind w:hanging="0"/>
        <w:rPr>
          <w:b w:val="false"/>
        </w:rPr>
      </w:pPr>
      <w:r>
        <w:rPr>
          <w:b/>
          <w:i w:val="false"/>
          <w:strike w:val="false"/>
          <w:color w:val="000000"/>
          <w:u w:val="none"/>
        </w:rPr>
        <w:t>结论</w:t>
      </w:r>
      <w:r>
        <w:rPr>
          <w:b/>
          <w:i w:val="false"/>
          <w:strike w:val="false"/>
          <w:color w:val="000000"/>
          <w:u w:val="none"/>
        </w:rPr>
        <w:t>2</w:t>
      </w:r>
      <w:r>
        <w:rPr>
          <w:b/>
          <w:i w:val="false"/>
          <w:strike w:val="false"/>
          <w:color w:val="000000"/>
          <w:u w:val="none"/>
        </w:rPr>
        <w:t>：</w:t>
      </w:r>
      <w:r>
        <w:rPr>
          <w:i w:val="false"/>
          <w:strike w:val="false"/>
          <w:color w:val="000000"/>
          <w:u w:val="none"/>
        </w:rPr>
        <w:t>针对空头方向训练的特化模型，目前尚未表现出类</w:t>
      </w:r>
      <w:r>
        <w:rPr>
          <w:b w:val="false"/>
          <w:i w:val="false"/>
          <w:strike w:val="false"/>
          <w:color w:val="000000"/>
          <w:u w:val="none"/>
        </w:rPr>
        <w:t>似于多头方向特化模型那样显著的提升效果。</w:t>
      </w:r>
      <w:r>
        <w:rPr>
          <w:b w:val="false"/>
          <w:i w:val="false"/>
          <w:strike w:val="false"/>
          <w:color w:val="000000"/>
          <w:u w:val="none"/>
        </w:rPr>
        <w:t>集成</w:t>
      </w:r>
      <w:r>
        <w:rPr>
          <w:b w:val="false"/>
          <w:i w:val="false"/>
          <w:strike w:val="false"/>
          <w:color w:val="000000"/>
          <w:u w:val="none"/>
        </w:rPr>
        <w:t>后</w:t>
      </w:r>
      <w:r>
        <w:rPr>
          <w:rFonts w:ascii="system-ui" w:hAnsi="system-ui" w:eastAsia="system-ui" w:cs="system-ui"/>
          <w:b w:val="false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只是提高了</w:t>
      </w:r>
      <w:r>
        <w:rPr>
          <w:rFonts w:ascii="system-ui" w:hAnsi="system-ui" w:eastAsia="system-ui" w:cs="system-ui"/>
          <w:b w:val="false"/>
          <w:i w:val="false"/>
          <w:strike w:val="false"/>
          <w:color w:val="auto"/>
          <w:spacing w:val="0"/>
          <w:sz w:val="24"/>
          <w:u w:val="none"/>
          <w:shd w:val="clear" w:color="auto" w:fill="FFFFFF"/>
        </w:rPr>
        <w:t>stability</w:t>
      </w:r>
      <w:r>
        <w:rPr>
          <w:rFonts w:ascii="system-ui" w:hAnsi="system-ui" w:eastAsia="system-ui" w:cs="system-ui"/>
          <w:b w:val="false"/>
          <w:i w:val="false"/>
          <w:strike w:val="false"/>
          <w:color w:val="auto"/>
          <w:spacing w:val="0"/>
          <w:sz w:val="24"/>
          <w:u w:val="none"/>
          <w:shd w:val="clear" w:color="auto" w:fill="FFFFFF"/>
        </w:rPr>
        <w:t>，</w:t>
      </w:r>
      <w:r>
        <w:rPr>
          <w:rFonts w:ascii="system-ui" w:hAnsi="system-ui" w:eastAsia="system-ui" w:cs="system-ui"/>
          <w:b w:val="false"/>
          <w:i w:val="false"/>
          <w:strike w:val="false"/>
          <w:color w:val="auto"/>
          <w:spacing w:val="0"/>
          <w:sz w:val="24"/>
          <w:u w:val="none"/>
          <w:shd w:val="clear" w:color="auto" w:fill="FFFFFF"/>
        </w:rPr>
        <w:t>换句话说，仅仅减小了</w:t>
      </w:r>
      <w:r>
        <w:rPr>
          <w:rFonts w:ascii="system-ui" w:hAnsi="system-ui" w:eastAsia="system-ui" w:cs="system-ui"/>
          <w:b w:val="false"/>
          <w:i w:val="false"/>
          <w:strike w:val="false"/>
          <w:color w:val="10141A"/>
          <w:spacing w:val="0"/>
          <w:sz w:val="21"/>
          <w:u w:val="none"/>
          <w:shd w:val="clear" w:color="auto" w:fill="FFFFFF"/>
        </w:rPr>
        <w:t>label_ret</w:t>
      </w:r>
      <w:r>
        <w:rPr>
          <w:rFonts w:ascii="system-ui" w:hAnsi="system-ui" w:eastAsia="system-ui" w:cs="system-ui"/>
          <w:b w:val="false"/>
          <w:i w:val="false"/>
          <w:strike w:val="false"/>
          <w:color w:val="auto"/>
          <w:spacing w:val="0"/>
          <w:sz w:val="24"/>
          <w:u w:val="none"/>
          <w:shd w:val="clear" w:color="auto" w:fill="FFFFFF"/>
        </w:rPr>
        <w:t>的方差</w:t>
      </w:r>
    </w:p>
    <w:p>
      <w:pPr>
        <w:pStyle w:val="ablt93"/>
        <w:numPr/>
        <w:pBdr>
          <w:bottom/>
        </w:pBdr>
        <w:ind w:left="0"/>
        <w:rPr>
          <w:i w:val="false"/>
          <w:strike w:val="false"/>
          <w:color w:val="000000"/>
          <w:u w:val="none"/>
        </w:rPr>
      </w:pPr>
    </w:p>
    <w:p>
      <w:pPr>
        <w:pBdr>
          <w:bottom/>
        </w:pBdr>
        <w:snapToGrid/>
        <w:spacing w:line="326"/>
        <w:ind/>
        <w:rPr/>
      </w:pPr>
      <w:r>
        <w:rPr>
          <w:b/>
          <w:i w:val="false"/>
          <w:strike w:val="false"/>
          <w:color w:val="000000"/>
          <w:u w:val="none"/>
        </w:rPr>
        <w:t>思路</w:t>
      </w:r>
      <w:r>
        <w:rPr>
          <w:b/>
          <w:i w:val="false"/>
          <w:strike w:val="false"/>
          <w:color w:val="000000"/>
          <w:u w:val="none"/>
        </w:rPr>
        <w:t>2</w:t>
      </w:r>
      <w:r>
        <w:rPr>
          <w:b/>
          <w:i w:val="false"/>
          <w:strike w:val="false"/>
          <w:color w:val="000000"/>
          <w:u w:val="none"/>
        </w:rPr>
        <w:t>：</w:t>
      </w:r>
      <w:r>
        <w:rPr>
          <w:i w:val="false"/>
          <w:strike w:val="false"/>
          <w:color w:val="000000"/>
          <w:u w:val="none"/>
        </w:rPr>
        <w:t>依据 Label 对样本进行筛选，在计算</w:t>
      </w:r>
      <w:r>
        <w:rPr>
          <w:i w:val="false"/>
          <w:strike w:val="false"/>
          <w:color w:val="000000"/>
          <w:u w:val="none"/>
        </w:rPr>
        <w:t>损失（get_loss_fn）和收益（get_excess_return</w:t>
      </w:r>
      <w:r>
        <w:rPr>
          <w:rFonts w:ascii="Consolas" w:hAnsi="Consolas" w:cs="Consolas"/>
          <w:b w:val="false"/>
          <w:i w:val="false"/>
          <w:strike w:val="false"/>
          <w:color w:val="795E26"/>
          <w:sz w:val="21"/>
          <w:u w:val="none"/>
          <w:shd w:val="clear" w:color="auto" w:fill="FFFFFF"/>
        </w:rPr>
        <w:t>）</w:t>
      </w:r>
      <w:r>
        <w:rPr>
          <w:i w:val="false"/>
          <w:strike w:val="false"/>
          <w:color w:val="000000"/>
          <w:u w:val="none"/>
        </w:rPr>
        <w:t>时，将 Pred 和 Label 同时取负值，以模拟做空情形下的收益表现。</w:t>
      </w:r>
    </w:p>
    <w:p>
      <w:pPr>
        <w:pStyle w:val="ablt93"/>
        <w:numPr/>
        <w:pBdr>
          <w:bottom/>
        </w:pBdr>
        <w:ind w:left="0"/>
        <w:rPr>
          <w:b/>
        </w:rPr>
      </w:pPr>
      <w:r>
        <w:rPr>
          <w:b/>
        </w:rPr>
        <w:t>实验</w:t>
      </w:r>
      <w:r>
        <w:rPr>
          <w:b/>
        </w:rPr>
        <w:t>2</w:t>
      </w:r>
      <w:r>
        <w:rPr>
          <w:b/>
        </w:rPr>
        <w:t>：</w:t>
      </w:r>
    </w:p>
    <w:tbl>
      <w:tblPr>
        <w:tblStyle w:val="uss36r"/>
        <w:tblLayout w:type="fixed"/>
      </w:tblPr>
      <w:tblGrid>
        <w:gridCol w:w="2059"/>
        <w:gridCol w:w="2002"/>
        <w:gridCol w:w="2002"/>
        <w:gridCol w:w="2593"/>
        <w:gridCol w:w="2269"/>
      </w:tblGrid>
      <w:tr>
        <w:trPr>
          <w:trHeight w:val="703"/>
        </w:trPr>
        <w:tc>
          <w:tcPr>
            <w:tcW w:w="2059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说明</w:t>
            </w:r>
          </w:p>
        </w:tc>
        <w:tc>
          <w:tcPr>
            <w:tcW w:w="2002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b/>
              </w:rPr>
            </w:pPr>
            <w:r>
              <w:rPr>
                <w:rFonts w:ascii="system-ui" w:hAnsi="system-ui" w:eastAsia="system-ui" w:cs="system-ui"/>
                <w:b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IC_mix（%）</w:t>
            </w:r>
          </w:p>
        </w:tc>
        <w:tc>
          <w:tcPr>
            <w:tcW w:w="2002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ICIR_mix (%)</w:t>
            </w:r>
          </w:p>
        </w:tc>
        <w:tc>
          <w:tcPr>
            <w:tcW w:w="2593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b/>
              </w:rPr>
            </w:pPr>
            <w:r>
              <w:rPr>
                <w:rFonts w:ascii="system-ui" w:hAnsi="system-ui" w:eastAsia="system-ui" w:cs="system-ui"/>
                <w:b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label_ret_mix（%）</w:t>
            </w:r>
          </w:p>
        </w:tc>
        <w:tc>
          <w:tcPr>
            <w:tcW w:w="2269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stability_mix (%)</w:t>
            </w:r>
          </w:p>
        </w:tc>
      </w:tr>
      <w:tr>
        <w:trPr>
          <w:trHeight w:val="699"/>
        </w:trPr>
        <w:tc>
          <w:tcPr>
            <w:tcW w:w="2059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只学习Last 2000</w:t>
            </w:r>
          </w:p>
        </w:tc>
        <w:tc>
          <w:tcPr>
            <w:tcW w:w="2002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b/>
              </w:rPr>
            </w:pPr>
            <w:r>
              <w:rPr>
                <w:rFonts w:ascii="system-ui" w:hAnsi="system-ui" w:eastAsia="system-ui" w:cs="system-ui"/>
                <w:b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-2.73%</w:t>
            </w:r>
          </w:p>
        </w:tc>
        <w:tc>
          <w:tcPr>
            <w:tcW w:w="2002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-5.67%</w:t>
            </w:r>
          </w:p>
        </w:tc>
        <w:tc>
          <w:tcPr>
            <w:tcW w:w="2593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b/>
              </w:rPr>
            </w:pPr>
            <w:r>
              <w:rPr>
                <w:rFonts w:ascii="system-ui" w:hAnsi="system-ui" w:eastAsia="system-ui" w:cs="system-ui"/>
                <w:b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-5.50%</w:t>
            </w:r>
          </w:p>
        </w:tc>
        <w:tc>
          <w:tcPr>
            <w:tcW w:w="2269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4.53%</w:t>
            </w:r>
          </w:p>
        </w:tc>
      </w:tr>
      <w:tr>
        <w:trPr>
          <w:trHeight w:val="716"/>
        </w:trPr>
        <w:tc>
          <w:tcPr>
            <w:tcW w:w="2059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只学习Last 1500</w:t>
            </w:r>
          </w:p>
        </w:tc>
        <w:tc>
          <w:tcPr>
            <w:tcW w:w="2002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b/>
              </w:rPr>
            </w:pPr>
            <w:r>
              <w:rPr>
                <w:rFonts w:ascii="system-ui" w:hAnsi="system-ui" w:eastAsia="system-ui" w:cs="system-ui"/>
                <w:b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-2.73%</w:t>
            </w:r>
          </w:p>
        </w:tc>
        <w:tc>
          <w:tcPr>
            <w:tcW w:w="2002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-6.18%</w:t>
            </w:r>
          </w:p>
        </w:tc>
        <w:tc>
          <w:tcPr>
            <w:tcW w:w="2593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b/>
              </w:rPr>
            </w:pPr>
            <w:r>
              <w:rPr>
                <w:rFonts w:ascii="system-ui" w:hAnsi="system-ui" w:eastAsia="system-ui" w:cs="system-ui"/>
                <w:b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-5.00%</w:t>
            </w:r>
          </w:p>
        </w:tc>
        <w:tc>
          <w:tcPr>
            <w:tcW w:w="2269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4.17%</w:t>
            </w:r>
          </w:p>
        </w:tc>
      </w:tr>
      <w:tr>
        <w:trPr>
          <w:trHeight w:val="716"/>
        </w:trPr>
        <w:tc>
          <w:tcPr>
            <w:tcW w:w="2059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只学习Last 1000</w:t>
            </w:r>
          </w:p>
        </w:tc>
        <w:tc>
          <w:tcPr>
            <w:tcW w:w="2002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b/>
              </w:rPr>
            </w:pPr>
            <w:r>
              <w:rPr>
                <w:rFonts w:ascii="system-ui" w:hAnsi="system-ui" w:eastAsia="system-ui" w:cs="system-ui"/>
                <w:b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-3.00%</w:t>
            </w:r>
          </w:p>
        </w:tc>
        <w:tc>
          <w:tcPr>
            <w:tcW w:w="2002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-6.00%</w:t>
            </w:r>
          </w:p>
        </w:tc>
        <w:tc>
          <w:tcPr>
            <w:tcW w:w="2593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b/>
              </w:rPr>
            </w:pPr>
            <w:r>
              <w:rPr>
                <w:rFonts w:ascii="system-ui" w:hAnsi="system-ui" w:eastAsia="system-ui" w:cs="system-ui"/>
                <w:b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-6.03%</w:t>
            </w:r>
          </w:p>
        </w:tc>
        <w:tc>
          <w:tcPr>
            <w:tcW w:w="2269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4.05%</w:t>
            </w:r>
          </w:p>
        </w:tc>
      </w:tr>
      <w:tr>
        <w:trPr>
          <w:trHeight w:val="703"/>
        </w:trPr>
        <w:tc>
          <w:tcPr>
            <w:tcW w:w="2059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只学习Last 500</w:t>
            </w:r>
          </w:p>
        </w:tc>
        <w:tc>
          <w:tcPr>
            <w:tcW w:w="2002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b/>
              </w:rPr>
            </w:pPr>
            <w:r>
              <w:rPr>
                <w:rFonts w:ascii="system-ui" w:hAnsi="system-ui" w:eastAsia="system-ui" w:cs="system-ui"/>
                <w:b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-1.75%</w:t>
            </w:r>
          </w:p>
        </w:tc>
        <w:tc>
          <w:tcPr>
            <w:tcW w:w="2002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-3.88%</w:t>
            </w:r>
          </w:p>
        </w:tc>
        <w:tc>
          <w:tcPr>
            <w:tcW w:w="2593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b/>
              </w:rPr>
            </w:pPr>
            <w:r>
              <w:rPr>
                <w:rFonts w:ascii="system-ui" w:hAnsi="system-ui" w:eastAsia="system-ui" w:cs="system-ui"/>
                <w:b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-3.48%</w:t>
            </w:r>
          </w:p>
        </w:tc>
        <w:tc>
          <w:tcPr>
            <w:tcW w:w="2269" w:type="dxa"/>
            <w:tcBorders>
              <w:top w:val="single" w:color="babdc1" w:sz="6" w:space="0"/>
              <w:left w:val="single" w:color="babdc1" w:sz="6" w:space="0"/>
              <w:bottom w:val="single" w:color="babdc1" w:sz="6" w:space="0"/>
              <w:right w:val="single" w:color="babdc1" w:sz="6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system-ui" w:hAnsi="system-ui" w:eastAsia="system-ui" w:cs="system-ui"/>
                <w:i w:val="false"/>
                <w:strike w:val="false"/>
                <w:color w:val="10141A"/>
                <w:spacing w:val="0"/>
                <w:sz w:val="21"/>
                <w:u w:val="none"/>
                <w:vertAlign w:val="baseline"/>
              </w:rPr>
              <w:t>4.61%</w:t>
            </w:r>
          </w:p>
        </w:tc>
      </w:tr>
    </w:tbl>
    <w:p>
      <w:pPr>
        <w:pStyle w:val="ablt93"/>
        <w:numPr/>
        <w:pBdr/>
        <w:ind w:left="0"/>
        <w:rPr>
          <w:b/>
        </w:rPr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imhi1w">
    <w:name w:val="Table Grid"/>
    <w:basedOn w:val="zxux6j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uss36r">
    <w:name w:val="Table Grid"/>
    <w:basedOn w:val="197pg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zxux6j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197pg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2025-10-30T11:05:33Z</dcterms:created>
  <dcterms:modified xsi:type="dcterms:W3CDTF">2025-10-30T11:05:33Z</dcterms:modified>
</cp:coreProperties>
</file>