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0"/>
        <w:jc w:val="center"/>
      </w:pPr>
      <w:r>
        <w:rPr>
          <w:rFonts w:ascii="黑体" w:hAnsi="黑体" w:eastAsia="黑体"/>
          <w:b/>
          <w:color w:val="1F4E79"/>
          <w:sz w:val="40"/>
        </w:rPr>
        <w:br/>
        <w:t>基于 seL4 + Microkit 的汽车车灯控制演示系统</w:t>
        <w:br/>
      </w:r>
    </w:p>
    <w:p>
      <w:pPr>
        <w:jc w:val="center"/>
      </w:pPr>
      <w:r>
        <w:rPr>
          <w:rFonts w:ascii="黑体" w:hAnsi="黑体" w:eastAsia="黑体"/>
          <w:b/>
          <w:sz w:val="52"/>
        </w:rPr>
        <w:t>文档质量审查报告</w:t>
      </w:r>
    </w:p>
    <w:p>
      <w:pPr>
        <w:spacing w:after="1600"/>
        <w:jc w:val="center"/>
      </w:pPr>
      <w:r>
        <w:rPr>
          <w:rFonts w:ascii="宋体" w:hAnsi="宋体" w:eastAsia="宋体"/>
          <w:color w:val="5A5A5A"/>
          <w:sz w:val="30"/>
        </w:rPr>
        <w:t>文档质量审查报告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项目版本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LightDemo Engineering Final v2.0</w:t>
            </w:r>
          </w:p>
        </w:tc>
      </w:tr>
      <w:tr>
        <w:tc>
          <w:tcPr>
            <w:tcW w:type="dxa" w:w="4618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运行平台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Ubuntu 22.04 + Microkit SDK 2.0.1 + QEMU qemu_virt_aarch64</w:t>
            </w:r>
          </w:p>
        </w:tc>
      </w:tr>
      <w:tr>
        <w:tc>
          <w:tcPr>
            <w:tcW w:type="dxa" w:w="4618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文档版本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v2.1（Word 标准化版）</w:t>
            </w:r>
          </w:p>
        </w:tc>
      </w:tr>
      <w:tr>
        <w:tc>
          <w:tcPr>
            <w:tcW w:type="dxa" w:w="4618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项目成员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（请填写实际成员）</w:t>
            </w:r>
          </w:p>
        </w:tc>
      </w:tr>
      <w:tr>
        <w:tc>
          <w:tcPr>
            <w:tcW w:type="dxa" w:w="4618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指导老师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（请填写实际指导老师）</w:t>
            </w:r>
          </w:p>
        </w:tc>
      </w:tr>
      <w:tr>
        <w:tc>
          <w:tcPr>
            <w:tcW w:type="dxa" w:w="4618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提交日期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2026-06-17</w:t>
            </w:r>
          </w:p>
        </w:tc>
      </w:tr>
    </w:tbl>
    <w:p>
      <w:r>
        <w:br w:type="page"/>
      </w:r>
    </w:p>
    <w:p>
      <w:pPr>
        <w:pStyle w:val="Heading1"/>
      </w:pPr>
      <w:r>
        <w:t>文档控制信息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9"/>
        <w:gridCol w:w="2309"/>
        <w:gridCol w:w="2309"/>
        <w:gridCol w:w="2309"/>
      </w:tblGrid>
      <w:tr>
        <w:tc>
          <w:tcPr>
            <w:tcW w:type="dxa" w:w="230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230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30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230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文档名称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文档质量审查报告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文档状态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提交版</w:t>
            </w:r>
          </w:p>
        </w:tc>
      </w:tr>
      <w:tr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适用项目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基于 seL4 + Microkit 的汽车车灯控制演示系统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适用版本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final-v2.0</w:t>
            </w:r>
          </w:p>
        </w:tc>
      </w:tr>
      <w:tr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编写单位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项目组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密级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课程提交</w:t>
            </w:r>
          </w:p>
        </w:tc>
      </w:tr>
      <w:tr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格式标准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软件工程文档模板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输出格式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DOCX</w:t>
            </w:r>
          </w:p>
        </w:tc>
      </w:tr>
    </w:tbl>
    <w:p/>
    <w:p>
      <w:pPr>
        <w:pStyle w:val="Heading1"/>
      </w:pPr>
      <w:r>
        <w:t>目录</w:t>
      </w:r>
    </w:p>
    <w:p>
      <w:r>
        <w:rPr>
          <w:i/>
        </w:rPr>
        <w:t>（在 Word/WPS 中可右键更新目录；本文档已按标题层级设置样式。）</w:t>
      </w:r>
    </w:p>
    <w:p>
      <w:r>
        <w:br w:type="page"/>
      </w:r>
    </w:p>
    <w:p>
      <w:pPr>
        <w:pStyle w:val="Heading1"/>
      </w:pPr>
      <w:r>
        <w:t>文档质量审查报告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936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.文档质量审查报告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t>图 14-1 文档质量审查维度图</w:t>
      </w:r>
    </w:p>
    <w:p>
      <w:r>
        <w:rPr>
          <w:rFonts w:ascii="宋体" w:hAnsi="宋体" w:eastAsia="宋体"/>
        </w:rPr>
        <w:t>**项目名称：** 基于 seL4 + Microkit 的汽车车灯控制演示系统</w:t>
      </w:r>
    </w:p>
    <w:p>
      <w:r>
        <w:rPr>
          <w:rFonts w:ascii="宋体" w:hAnsi="宋体" w:eastAsia="宋体"/>
        </w:rPr>
        <w:t>**文档类型：** 文档质量审查报告</w:t>
      </w:r>
    </w:p>
    <w:p>
      <w:r>
        <w:rPr>
          <w:rFonts w:ascii="宋体" w:hAnsi="宋体" w:eastAsia="宋体"/>
        </w:rPr>
        <w:t>**审查口径：** 国内课程/软件工程实践常见文档清单 + UML/工程图规范</w:t>
      </w:r>
    </w:p>
    <w:p>
      <w:r>
        <w:rPr>
          <w:rFonts w:ascii="宋体" w:hAnsi="宋体" w:eastAsia="宋体"/>
        </w:rPr>
        <w:t>**文档版本：** v1.0</w:t>
      </w:r>
    </w:p>
    <w:p>
      <w:pPr>
        <w:pStyle w:val="Heading1"/>
      </w:pPr>
      <w:r>
        <w:t>版本修订记录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09"/>
        <w:gridCol w:w="2309"/>
        <w:gridCol w:w="2309"/>
        <w:gridCol w:w="2309"/>
      </w:tblGrid>
      <w:tr>
        <w:tc>
          <w:tcPr>
            <w:tcW w:type="dxa" w:w="230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230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30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230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作者</w:t>
            </w:r>
          </w:p>
        </w:tc>
      </w:tr>
      <w:tr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v1.0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2026-06-17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初始审查，记录文档完整性、格式、内容、图规范和待补齐数据。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项目组</w:t>
            </w:r>
          </w:p>
        </w:tc>
      </w:tr>
    </w:tbl>
    <w:p/>
    <w:p>
      <w:pPr>
        <w:pStyle w:val="Heading1"/>
      </w:pPr>
      <w:r>
        <w:t>目录</w:t>
      </w:r>
    </w:p>
    <w:p>
      <w:pPr>
        <w:pStyle w:val="ListNumber"/>
      </w:pPr>
      <w:r>
        <w:rPr>
          <w:rFonts w:ascii="宋体" w:hAnsi="宋体" w:eastAsia="宋体"/>
        </w:rPr>
        <w:t>审查结论</w:t>
      </w:r>
    </w:p>
    <w:p>
      <w:pPr>
        <w:pStyle w:val="ListNumber"/>
      </w:pPr>
      <w:r>
        <w:rPr>
          <w:rFonts w:ascii="宋体" w:hAnsi="宋体" w:eastAsia="宋体"/>
        </w:rPr>
        <w:t>文档完整性检查</w:t>
      </w:r>
    </w:p>
    <w:p>
      <w:pPr>
        <w:pStyle w:val="ListNumber"/>
      </w:pPr>
      <w:r>
        <w:rPr>
          <w:rFonts w:ascii="宋体" w:hAnsi="宋体" w:eastAsia="宋体"/>
        </w:rPr>
        <w:t>格式一致性检查</w:t>
      </w:r>
    </w:p>
    <w:p>
      <w:pPr>
        <w:pStyle w:val="ListNumber"/>
      </w:pPr>
      <w:r>
        <w:rPr>
          <w:rFonts w:ascii="宋体" w:hAnsi="宋体" w:eastAsia="宋体"/>
        </w:rPr>
        <w:t>图表规范检查</w:t>
      </w:r>
    </w:p>
    <w:p>
      <w:pPr>
        <w:pStyle w:val="ListNumber"/>
      </w:pPr>
      <w:r>
        <w:rPr>
          <w:rFonts w:ascii="宋体" w:hAnsi="宋体" w:eastAsia="宋体"/>
        </w:rPr>
        <w:t>待补齐数据清单</w:t>
      </w:r>
    </w:p>
    <w:p>
      <w:pPr>
        <w:pStyle w:val="ListNumber"/>
      </w:pPr>
      <w:r>
        <w:rPr>
          <w:rFonts w:ascii="宋体" w:hAnsi="宋体" w:eastAsia="宋体"/>
        </w:rPr>
        <w:t>整改记录</w:t>
      </w:r>
    </w:p>
    <w:p>
      <w:pPr>
        <w:pStyle w:val="ListNumber"/>
      </w:pPr>
      <w:r>
        <w:rPr>
          <w:rFonts w:ascii="宋体" w:hAnsi="宋体" w:eastAsia="宋体"/>
        </w:rPr>
        <w:t>后续建议</w:t>
      </w:r>
    </w:p>
    <w:p>
      <w:pPr>
        <w:pStyle w:val="Heading1"/>
      </w:pPr>
      <w:r>
        <w:t>1. 审查结论</w:t>
      </w:r>
    </w:p>
    <w:p>
      <w:r>
        <w:rPr>
          <w:rFonts w:ascii="宋体" w:hAnsi="宋体" w:eastAsia="宋体"/>
        </w:rPr>
        <w:t>`project-mds` 当前已覆盖课程软件工程实践常见交付物：可行性研究报告、项目开发计划、需求规格说明、概要设计、详细设计、数据库设计说明、测试计划、测试报告和用户手册。追踪矩阵、工程化结论、答辩摘要、数据图说明、图表清单和本文档作为补充材料保留。</w:t>
      </w:r>
    </w:p>
    <w:p>
      <w:r>
        <w:rPr>
          <w:rFonts w:ascii="宋体" w:hAnsi="宋体" w:eastAsia="宋体"/>
        </w:rPr>
        <w:t>主要整改已完成：</w:t>
      </w:r>
    </w:p>
    <w:p>
      <w:pPr>
        <w:pStyle w:val="ListBullet"/>
      </w:pPr>
      <w:r>
        <w:rPr>
          <w:rFonts w:ascii="宋体" w:hAnsi="宋体" w:eastAsia="宋体"/>
        </w:rPr>
        <w:t>在 `1.软件需求分析.md` 中补充 UML 用例图和用例说明表。</w:t>
      </w:r>
    </w:p>
    <w:p>
      <w:pPr>
        <w:pStyle w:val="ListBullet"/>
      </w:pPr>
      <w:r>
        <w:rPr>
          <w:rFonts w:ascii="宋体" w:hAnsi="宋体" w:eastAsia="宋体"/>
        </w:rPr>
        <w:t>在 `2.概要设计.md` 中明确架构图、顺序图和状态机图的编号与类型。</w:t>
      </w:r>
    </w:p>
    <w:p>
      <w:pPr>
        <w:pStyle w:val="ListBullet"/>
      </w:pPr>
      <w:r>
        <w:rPr>
          <w:rFonts w:ascii="宋体" w:hAnsi="宋体" w:eastAsia="宋体"/>
        </w:rPr>
        <w:t>在 `3.详细设计说明书.md` 中明确 protection domain 通信图不是 UML 图，并补充模块接口一致性约束。</w:t>
      </w:r>
    </w:p>
    <w:p>
      <w:pPr>
        <w:pStyle w:val="ListBullet"/>
      </w:pPr>
      <w:r>
        <w:rPr>
          <w:rFonts w:ascii="宋体" w:hAnsi="宋体" w:eastAsia="宋体"/>
        </w:rPr>
        <w:t>在 `7/8/9/10/11` 中补充或统一文档元信息、版本修订记录和目录。</w:t>
      </w:r>
    </w:p>
    <w:p>
      <w:pPr>
        <w:pStyle w:val="ListBullet"/>
      </w:pPr>
      <w:r>
        <w:rPr>
          <w:rFonts w:ascii="宋体" w:hAnsi="宋体" w:eastAsia="宋体"/>
        </w:rPr>
        <w:t>新增 `15.测试计划.md` 和 `16.图表清单与规范说明.md`。</w:t>
      </w:r>
    </w:p>
    <w:p>
      <w:r>
        <w:rPr>
          <w:rFonts w:ascii="宋体" w:hAnsi="宋体" w:eastAsia="宋体"/>
        </w:rPr>
        <w:t>仍需用户补齐的信息不在仓库中，本文档第 5 节给出占位项和建议补齐方式。</w:t>
      </w:r>
    </w:p>
    <w:p>
      <w:pPr>
        <w:pStyle w:val="Heading1"/>
      </w:pPr>
      <w:r>
        <w:t>2. 文档完整性检查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09"/>
        <w:gridCol w:w="2309"/>
        <w:gridCol w:w="2309"/>
        <w:gridCol w:w="2309"/>
      </w:tblGrid>
      <w:tr>
        <w:tc>
          <w:tcPr>
            <w:tcW w:type="dxa" w:w="230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标准交付物</w:t>
            </w:r>
          </w:p>
        </w:tc>
        <w:tc>
          <w:tcPr>
            <w:tcW w:type="dxa" w:w="230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当前文件</w:t>
            </w:r>
          </w:p>
        </w:tc>
        <w:tc>
          <w:tcPr>
            <w:tcW w:type="dxa" w:w="230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审查结论</w:t>
            </w:r>
          </w:p>
        </w:tc>
        <w:tc>
          <w:tcPr>
            <w:tcW w:type="dxa" w:w="230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可行性研究报告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`7.可行性研究报告.md`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覆盖技术、经济、运行、进度和风险可行性。</w:t>
            </w:r>
          </w:p>
        </w:tc>
      </w:tr>
      <w:tr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项目开发计划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`8.项目开发计划.md`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覆盖任务分解、阶段计划、角色分工、质量保证、测试和交付物。</w:t>
            </w:r>
          </w:p>
        </w:tc>
      </w:tr>
      <w:tr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需求规格说明书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`1.软件需求分析.md`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覆盖背景、边界、角色、功能需求、非功能需求、验收需求；已补用例图。</w:t>
            </w:r>
          </w:p>
        </w:tc>
      </w:tr>
      <w:tr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概要设计说明书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`2.概要设计.md`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覆盖总体架构、模块、接口、数据、故障管理和验证设计。</w:t>
            </w:r>
          </w:p>
        </w:tc>
      </w:tr>
      <w:tr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详细设计说明书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`3.详细设计说明书.md`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覆盖模块职责、输入输出、数据结构、fault lifecycle、测试层次。</w:t>
            </w:r>
          </w:p>
        </w:tc>
      </w:tr>
      <w:tr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数据库设计说明书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`9.数据库设计说明书.md`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项目无传统数据库，文档说明不适用原因和运行期数据结构。</w:t>
            </w:r>
          </w:p>
        </w:tc>
      </w:tr>
      <w:tr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测试计划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`15.测试计划.md`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已补齐测试范围、策略、环境、准入准出、用例类别和风险。</w:t>
            </w:r>
          </w:p>
        </w:tc>
      </w:tr>
      <w:tr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测试报告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`10.测试报告.md`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覆盖 final-v2.0 测试环境、命令、结果、证据和剩余风险。</w:t>
            </w:r>
          </w:p>
        </w:tc>
      </w:tr>
      <w:tr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用户手册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`4.用户使用手册.md`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覆盖环境准备、构建、运行、串口命令、测试与常见问题。</w:t>
            </w:r>
          </w:p>
        </w:tc>
      </w:tr>
    </w:tbl>
    <w:p/>
    <w:p>
      <w:pPr>
        <w:pStyle w:val="Heading1"/>
      </w:pPr>
      <w:r>
        <w:t>3. 格式一致性检查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307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307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UTF-8 可读性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使用 PowerShell `-Encoding utf8` 可正常读取中文。</w:t>
            </w:r>
          </w:p>
        </w:tc>
      </w:tr>
      <w:tr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文档元信息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基本通过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主文档已有项目名称、文档类型和版本；补充文档已统一关键字段。</w:t>
            </w:r>
          </w:p>
        </w:tc>
      </w:tr>
      <w:tr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版本修订记录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基本通过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`7/8/9/10/11` 已补版本记录；`12/13` 作为答辩补充材料保留轻量格式。</w:t>
            </w:r>
          </w:p>
        </w:tc>
      </w:tr>
      <w:tr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目录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基本通过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标准交付物已补目录；短篇补充材料不强制补目录。</w:t>
            </w:r>
          </w:p>
        </w:tc>
      </w:tr>
      <w:tr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图表编号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关键图已在文中以图 1-1、图 1-2、图 2-1 等方式说明。</w:t>
            </w:r>
          </w:p>
        </w:tc>
      </w:tr>
      <w:tr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占位符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待用户补齐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项目成员、指导老师、学校/学院/课程名称仍需真实信息。</w:t>
            </w:r>
          </w:p>
        </w:tc>
      </w:tr>
    </w:tbl>
    <w:p/>
    <w:p>
      <w:pPr>
        <w:pStyle w:val="Heading1"/>
      </w:pPr>
      <w:r>
        <w:t>4. 图表规范检查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图表类型</w:t>
            </w:r>
          </w:p>
        </w:tc>
        <w:tc>
          <w:tcPr>
            <w:tcW w:type="dxa" w:w="307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307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审查结论</w:t>
            </w:r>
          </w:p>
        </w:tc>
      </w:tr>
      <w:tr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UML 用例图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已补充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`1.软件需求分析.md` 新增系统边界、参与者、用例和 include 关系。</w:t>
            </w:r>
          </w:p>
        </w:tc>
      </w:tr>
      <w:tr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系统上下文图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已存在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标注为上下文图，不作为 UML 用例图使用。</w:t>
            </w:r>
          </w:p>
        </w:tc>
      </w:tr>
      <w:tr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架构图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已存在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标注为工程架构图，不冒充 UML 组件图。</w:t>
            </w:r>
          </w:p>
        </w:tc>
      </w:tr>
      <w:tr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UML 顺序图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已修订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`2.概要设计.md` 顺序图覆盖正常控制、故障处理和状态查询路径。</w:t>
            </w:r>
          </w:p>
        </w:tc>
      </w:tr>
      <w:tr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UML 状态机图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已存在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`2.概要设计.md` fault mode 和 lifecycle 状态机包含初始状态和转移条件。</w:t>
            </w:r>
          </w:p>
        </w:tc>
      </w:tr>
      <w:tr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测试闭环图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已存在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标注为工程流程图，不作为 UML 测试模型图。</w:t>
            </w:r>
          </w:p>
        </w:tc>
      </w:tr>
      <w:tr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数据图 SVG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已存在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`reports/assets/*.svg` 已提供 final-v2.0 数据图，`13.final-v2.0数据图说明.md` 解释来源。</w:t>
            </w:r>
          </w:p>
        </w:tc>
      </w:tr>
    </w:tbl>
    <w:p/>
    <w:p>
      <w:pPr>
        <w:pStyle w:val="Heading1"/>
      </w:pPr>
      <w:r>
        <w:t>5. 待补齐数据清单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数据项</w:t>
            </w:r>
          </w:p>
        </w:tc>
        <w:tc>
          <w:tcPr>
            <w:tcW w:type="dxa" w:w="307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当前处理</w:t>
            </w:r>
          </w:p>
        </w:tc>
        <w:tc>
          <w:tcPr>
            <w:tcW w:type="dxa" w:w="307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用户补齐方式</w:t>
            </w:r>
          </w:p>
        </w:tc>
      </w:tr>
      <w:tr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项目成员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在文档中保留占位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将 `（请填写实际成员）` 替换为真实姓名或小组成员列表。</w:t>
            </w:r>
          </w:p>
        </w:tc>
      </w:tr>
      <w:tr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指导老师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在文档中保留占位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将 `（请填写实际指导老师）` 替换为真实教师姓名。</w:t>
            </w:r>
          </w:p>
        </w:tc>
      </w:tr>
      <w:tr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学校/学院/课程名称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当前未统一写入封面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若学校要求封面格式，在各 docx 首页补充对应字段。</w:t>
            </w:r>
          </w:p>
        </w:tc>
      </w:tr>
      <w:tr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真实板卡 GPIO 验证结果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明确未完成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若后续上板，请按 `docs/real_board_validation_template.md` 记录板卡、接线、命令和结果。</w:t>
            </w:r>
          </w:p>
        </w:tc>
      </w:tr>
      <w:tr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虚拟机最终运行命令输出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当前引用 final-v2.0 证据路径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在虚拟机执行下方命令，将输出日志或截图补入测试报告附录。</w:t>
            </w:r>
          </w:p>
        </w:tc>
      </w:tr>
      <w:tr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Mermaid 渲染图片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当前环境没有 `mmdc`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安装 Mermaid CLI 后重新生成图像版 docx。</w:t>
            </w:r>
          </w:p>
        </w:tc>
      </w:tr>
    </w:tbl>
    <w:p/>
    <w:p>
      <w:r>
        <w:rPr>
          <w:rFonts w:ascii="宋体" w:hAnsi="宋体" w:eastAsia="宋体"/>
        </w:rPr>
        <w:t>建议在虚拟机中执行：</w:t>
      </w:r>
    </w:p>
    <w:p>
      <w:pPr>
        <w:pStyle w:val="Code"/>
        <w:shd w:fill="F3F6FA"/>
      </w:pPr>
      <w:r>
        <w:rPr>
          <w:rFonts w:ascii="Courier New" w:hAnsi="Courier New"/>
          <w:sz w:val="17"/>
        </w:rPr>
        <w:t>make test TEST_RUN_ID=final-v2.0</w:t>
        <w:br/>
        <w:t>make qemu-test TEST_RUN_ID=final-v2.0 MICROKIT_SDK=../microkit-sdk-2.0.1</w:t>
        <w:br/>
        <w:t>make evidence TEST_RUN_ID=final-v2.0</w:t>
        <w:br/>
        <w:t>make defense-report TEST_RUN_ID=final-v2.0</w:t>
        <w:br/>
        <w:t>make test-vehicle-sweep TEST_RUN_ID=final-v2.0</w:t>
      </w:r>
    </w:p>
    <w:p>
      <w:r>
        <w:rPr>
          <w:rFonts w:ascii="宋体" w:hAnsi="宋体" w:eastAsia="宋体"/>
        </w:rPr>
        <w:t>执行完成后重点保存：</w:t>
      </w:r>
    </w:p>
    <w:p>
      <w:pPr>
        <w:pStyle w:val="ListBullet"/>
      </w:pPr>
      <w:r>
        <w:rPr>
          <w:rFonts w:ascii="宋体" w:hAnsi="宋体" w:eastAsia="宋体"/>
        </w:rPr>
        <w:t>`test-results/final-v2.0/manifest.txt`</w:t>
      </w:r>
    </w:p>
    <w:p>
      <w:pPr>
        <w:pStyle w:val="ListBullet"/>
      </w:pPr>
      <w:r>
        <w:rPr>
          <w:rFonts w:ascii="宋体" w:hAnsi="宋体" w:eastAsia="宋体"/>
        </w:rPr>
        <w:t>`test-results/final-v2.0/summary.md`</w:t>
      </w:r>
    </w:p>
    <w:p>
      <w:pPr>
        <w:pStyle w:val="ListBullet"/>
      </w:pPr>
      <w:r>
        <w:rPr>
          <w:rFonts w:ascii="宋体" w:hAnsi="宋体" w:eastAsia="宋体"/>
        </w:rPr>
        <w:t>`test-results/final-v2.0/host-summary.txt`</w:t>
      </w:r>
    </w:p>
    <w:p>
      <w:pPr>
        <w:pStyle w:val="ListBullet"/>
      </w:pPr>
      <w:r>
        <w:rPr>
          <w:rFonts w:ascii="宋体" w:hAnsi="宋体" w:eastAsia="宋体"/>
        </w:rPr>
        <w:t>`test-results/final-v2.0/*.make.log`</w:t>
      </w:r>
    </w:p>
    <w:p>
      <w:pPr>
        <w:pStyle w:val="ListBullet"/>
      </w:pPr>
      <w:r>
        <w:rPr>
          <w:rFonts w:ascii="宋体" w:hAnsi="宋体" w:eastAsia="宋体"/>
        </w:rPr>
        <w:t>`test-results/final-v2.0/vehicle-sweep.csv`</w:t>
      </w:r>
    </w:p>
    <w:p>
      <w:pPr>
        <w:pStyle w:val="ListBullet"/>
      </w:pPr>
      <w:r>
        <w:rPr>
          <w:rFonts w:ascii="宋体" w:hAnsi="宋体" w:eastAsia="宋体"/>
        </w:rPr>
        <w:t>`reports/defense_report_final-v2.0.md`</w:t>
      </w:r>
    </w:p>
    <w:p>
      <w:pPr>
        <w:pStyle w:val="Heading1"/>
      </w:pPr>
      <w:r>
        <w:t>6. 整改记录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307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整改内容</w:t>
            </w:r>
          </w:p>
        </w:tc>
        <w:tc>
          <w:tcPr>
            <w:tcW w:type="dxa" w:w="307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`1.软件需求分析.md`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补 UML 用例图和用例说明表，明确上下文图类型。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完成</w:t>
            </w:r>
          </w:p>
        </w:tc>
      </w:tr>
      <w:tr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`2.概要设计.md`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补图编号说明，扩展顺序图路径。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完成</w:t>
            </w:r>
          </w:p>
        </w:tc>
      </w:tr>
      <w:tr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`3.详细设计说明书.md`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补通信图类型说明和模块接口一致性约束。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完成</w:t>
            </w:r>
          </w:p>
        </w:tc>
      </w:tr>
      <w:tr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`7.可行性研究报告.md`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补版本记录和目录。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完成</w:t>
            </w:r>
          </w:p>
        </w:tc>
      </w:tr>
      <w:tr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`8.项目开发计划.md`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补版本记录和目录。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完成</w:t>
            </w:r>
          </w:p>
        </w:tc>
      </w:tr>
      <w:tr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`9.数据库设计说明书.md`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补版本记录和目录。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完成</w:t>
            </w:r>
          </w:p>
        </w:tc>
      </w:tr>
      <w:tr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`10.测试报告.md`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补元信息、版本记录和目录。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完成</w:t>
            </w:r>
          </w:p>
        </w:tc>
      </w:tr>
      <w:tr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`11.标准软件工程文档清单.md`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补新增交付物说明。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完成</w:t>
            </w:r>
          </w:p>
        </w:tc>
      </w:tr>
      <w:tr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`15.测试计划.md`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新增标准测试计划。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完成</w:t>
            </w:r>
          </w:p>
        </w:tc>
      </w:tr>
      <w:tr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`16.图表清单与规范说明.md`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新增图表规范清单。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完成</w:t>
            </w:r>
          </w:p>
        </w:tc>
      </w:tr>
    </w:tbl>
    <w:p/>
    <w:p>
      <w:pPr>
        <w:pStyle w:val="Heading1"/>
      </w:pPr>
      <w:r>
        <w:t>7. 后续建议</w:t>
      </w:r>
    </w:p>
    <w:p>
      <w:pPr>
        <w:pStyle w:val="ListBullet"/>
      </w:pPr>
      <w:r>
        <w:rPr>
          <w:rFonts w:ascii="宋体" w:hAnsi="宋体" w:eastAsia="宋体"/>
        </w:rPr>
        <w:t>生成最终 docx 前，先替换项目成员、指导老师等真实封面信息。</w:t>
      </w:r>
    </w:p>
    <w:p>
      <w:pPr>
        <w:pStyle w:val="ListBullet"/>
      </w:pPr>
      <w:r>
        <w:rPr>
          <w:rFonts w:ascii="宋体" w:hAnsi="宋体" w:eastAsia="宋体"/>
        </w:rPr>
        <w:t>若课程要求严格 Word 目录，可在 Word 中更新自动目录域。</w:t>
      </w:r>
    </w:p>
    <w:p>
      <w:pPr>
        <w:pStyle w:val="ListBullet"/>
      </w:pPr>
      <w:r>
        <w:rPr>
          <w:rFonts w:ascii="宋体" w:hAnsi="宋体" w:eastAsia="宋体"/>
        </w:rPr>
        <w:t>若要求所有 Mermaid 图以图片出现，安装 Mermaid CLI 后重新执行 docx 生成流程。</w:t>
      </w:r>
    </w:p>
    <w:p>
      <w:pPr>
        <w:pStyle w:val="ListBullet"/>
      </w:pPr>
      <w:r>
        <w:rPr>
          <w:rFonts w:ascii="宋体" w:hAnsi="宋体" w:eastAsia="宋体"/>
        </w:rPr>
        <w:t>若补充真实板卡验证，应同步更新测试计划、测试报告、追踪矩阵和本文档。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1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>
      <w:r>
        <w:t>1</w:t>
      </w:r>
    </w:fldSimple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color w:val="5A5A5A"/>
        <w:sz w:val="18"/>
      </w:rPr>
      <w:t>基于 seL4 + Microkit 的汽车车灯控制演示系统  |  文档质量审查报告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365F9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6464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60" w:after="60"/>
      <w:ind w:left="340"/>
    </w:pPr>
    <w:rPr>
      <w:rFonts w:ascii="Courier New" w:hAnsi="Courier New"/>
      <w:sz w:val="17"/>
    </w:rPr>
  </w:style>
  <w:style w:type="paragraph" w:customStyle="1" w:styleId="CaptionCN">
    <w:name w:val="Caption CN"/>
    <w:pPr>
      <w:jc w:val="center"/>
    </w:pPr>
    <w:rPr>
      <w:rFonts w:ascii="宋体" w:hAnsi="宋体" w:eastAsia="宋体"/>
      <w:i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文档质量审查报告</dc:title>
  <dc:subject>基于 seL4 + Microkit 的汽车车灯控制演示系统</dc:subject>
  <dc:creator>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