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SimHei" w:hAnsi="SimHei" w:eastAsia="黑体"/>
          <w:b/>
          <w:sz w:val="36"/>
        </w:rPr>
        <w:t>基于 seL4 + Microkit 的汽车车灯控制演示系统</w:t>
      </w:r>
    </w:p>
    <w:p>
      <w:pPr>
        <w:jc w:val="center"/>
      </w:pPr>
      <w:r>
        <w:rPr>
          <w:rFonts w:ascii="SimHei" w:hAnsi="SimHei" w:eastAsia="黑体"/>
          <w:b/>
          <w:sz w:val="44"/>
        </w:rPr>
        <w:t>需求-设计-实现-测试追踪矩阵</w:t>
      </w:r>
    </w:p>
    <w:p>
      <w:pPr>
        <w:jc w:val="center"/>
      </w:pPr>
      <w:r>
        <w:rPr>
          <w:rFonts w:ascii="SimHei" w:hAnsi="SimHei" w:eastAsia="黑体"/>
          <w:b/>
          <w:sz w:val="28"/>
        </w:rPr>
        <w:t>软件工程标准文档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项目名称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基于 seL4 + Microkit 的汽车车灯控制演示系统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文档名称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需求-设计-实现-测试追踪矩阵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文档版本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v2.0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文档状态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正式提交稿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项目成员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（请填写实际成员）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提交日期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角色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姓名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职责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签名/日期</w:t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编写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项目组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编写与维护本文档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审核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指导老师/检查人员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审核文档完整性与一致性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批准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项目负责人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确认作为提交版本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</w:r>
          </w:p>
        </w:tc>
      </w:tr>
    </w:tbl>
    <w:p>
      <w:pPr>
        <w:ind w:firstLine="420"/>
      </w:pPr>
      <w:r>
        <w:t>本文档按软件工程文档规范组织，包含封面、文档控制、目录、版本记录、正文、图表说明和必要的测试/追踪信息。</w:t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</w:r>
      <w:r>
        <w:t>目录将在 Word/WPS 中打开后自动更新。</w:t>
      </w:r>
      <w:r>
        <w:fldChar w:fldCharType="end"/>
      </w:r>
    </w:p>
    <w:p>
      <w:r>
        <w:br w:type="page"/>
      </w:r>
    </w:p>
    <w:p>
      <w:pPr>
        <w:pStyle w:val="Heading1"/>
      </w:pPr>
      <w:r>
        <w:t>需求-设计-实现-测试追踪矩阵</w:t>
      </w:r>
    </w:p>
    <w:p>
      <w:pPr>
        <w:spacing w:line="300" w:lineRule="auto"/>
        <w:ind w:firstLine="420"/>
      </w:pPr>
      <w:r>
        <w:rPr>
          <w:rFonts w:ascii="SimSun" w:hAnsi="SimSun" w:eastAsia="宋体"/>
          <w:b/>
        </w:rPr>
        <w:t>项目名称：</w:t>
      </w:r>
      <w:r>
        <w:rPr>
          <w:rFonts w:ascii="SimSun" w:hAnsi="SimSun" w:eastAsia="宋体"/>
        </w:rPr>
        <w:t xml:space="preserve"> 基于 seL4 + Microkit 的汽车车灯控制演示系统</w:t>
      </w:r>
    </w:p>
    <w:p>
      <w:pPr>
        <w:spacing w:line="300" w:lineRule="auto"/>
        <w:ind w:firstLine="420"/>
      </w:pPr>
      <w:r>
        <w:rPr>
          <w:rFonts w:ascii="SimSun" w:hAnsi="SimSun" w:eastAsia="宋体"/>
          <w:b/>
        </w:rPr>
        <w:t>文档类型：</w:t>
      </w:r>
      <w:r>
        <w:rPr>
          <w:rFonts w:ascii="SimSun" w:hAnsi="SimSun" w:eastAsia="宋体"/>
        </w:rPr>
        <w:t xml:space="preserve"> 工程追踪矩阵</w:t>
      </w:r>
    </w:p>
    <w:p>
      <w:pPr>
        <w:spacing w:line="300" w:lineRule="auto"/>
        <w:ind w:firstLine="420"/>
      </w:pPr>
      <w:r>
        <w:rPr>
          <w:rFonts w:ascii="SimSun" w:hAnsi="SimSun" w:eastAsia="宋体"/>
          <w:b/>
        </w:rPr>
        <w:t>文档版本：</w:t>
      </w:r>
      <w:r>
        <w:rPr>
          <w:rFonts w:ascii="SimSun" w:hAnsi="SimSun" w:eastAsia="宋体"/>
        </w:rPr>
        <w:t xml:space="preserve"> v2.0</w:t>
      </w:r>
    </w:p>
    <w:p>
      <w:pPr>
        <w:pStyle w:val="Heading2"/>
      </w:pPr>
      <w:r>
        <w:t>版本修订记录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版本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日期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作者</w:t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v1.0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2026-05-15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初始版本，建立需求、设计、实现和测试之间的追踪关系。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项目组</w:t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v2.0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2026-06-14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同步 final-v2.0 目录结构、车辆状态模型、恢复窗口和证据归档追踪项。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项目组</w:t>
            </w:r>
          </w:p>
        </w:tc>
      </w:tr>
    </w:tbl>
    <w:p>
      <w:pPr>
        <w:pStyle w:val="CaptionCN"/>
      </w:pPr>
      <w:r>
        <w:t>表 1  数据表</w:t>
      </w:r>
    </w:p>
    <w:p>
      <w:pPr>
        <w:pStyle w:val="Heading2"/>
      </w:pPr>
      <w:r>
        <w:t>1. 编写目的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本文档用于展示 LightDemo 项目的工程闭环。每条关键需求都应能够追踪到设计方案、实现位置和验证命令，从而证明项目不是单纯堆功能，而是具备需求分析、架构设计、详细实现和测试验证之间的对应关系。</w:t>
      </w:r>
    </w:p>
    <w:p>
      <w:pPr>
        <w:pStyle w:val="Heading2"/>
      </w:pPr>
      <w:r>
        <w:t>2. 追踪关系总览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3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需求_设计_实现_测试追踪矩阵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3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  需求设计实现测试追踪关系图</w:t>
      </w:r>
    </w:p>
    <w:p>
      <w:pPr>
        <w:pStyle w:val="Heading2"/>
      </w:pPr>
      <w:r>
        <w:t>3. 功能需求追踪矩阵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需求编号</w:t>
            </w:r>
          </w:p>
        </w:tc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需求说明</w:t>
            </w:r>
          </w:p>
        </w:tc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设计依据</w:t>
            </w:r>
          </w:p>
        </w:tc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实现位置</w:t>
            </w:r>
          </w:p>
        </w:tc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验证命令 / 证据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REQ-LIGHT-001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近光灯命令可从 UART 传播到 GPIO 输出。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主控制链路 `commandin -&gt; scheduler -&gt; lightctl -&gt; gpio`。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`src/domains/commandin.c`, `src/domains/scheduler.c`, `src/domains/lightctl.c`, `src/domains/gpio.c`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smoke`; 日志 `CMD_MSG cmd=0x01`, `GPIO_OUTPUT_SUMMARY low=1`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REQ-LIGHT-002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远光灯受低速、档位、近光和 fault mode 约束。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scheduler 计算目标输出，lightctl runtime guard 二次保护。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`src/core/light_control_logic.c`, `src/core/light_runtime_guard.c`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test-control`, `make test-runtime`, `make smoke`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REQ-LIGHT-003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左右转向灯请求互斥。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operator request 更新时清除相反方向请求。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`src/core/light_control_logic.c`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test-control`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REQ-LIGHT-004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车辆状态参与目标输出裁决。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vehicle_state 写 shared memory，scheduler 重新裁决。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`src/domains/vehicle_state.c`, `src/core/light_vehicle_state.c`, `src/domains/scheduler.c`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test-vehicle`, `make test-vehicle-scenarios`, `make test-vehicle-sweep`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REQ-LIGHT-005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状态查询输出 fault、vehicle、target 和统计信息。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commandin 读取 shared memory 并输出 `STATUS_SNAPSHOT`，包含 `last_fault_name`、layout 和 contract 状态。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`src/domains/commandin.c`, `src/core/light_status_snapshot.c`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test-snapshot`, `make test-serial-e2e`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REQ-LIGHT-006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final v2.0 应覆盖复杂车辆状态模型。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速度、点火、制动、档位、环境光、危险警示、运行模式共同参与裁决。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`include/light_vehicle_state.h`, `src/core/light_vehicle_state.c`, `src/core/light_control_logic.c`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test-vehicle-scenarios`, `make test-vehicle-sweep`; `vehicle-sweep.csv` 46,080 rows</w:t>
            </w:r>
          </w:p>
        </w:tc>
      </w:tr>
    </w:tbl>
    <w:p>
      <w:pPr>
        <w:pStyle w:val="CaptionCN"/>
      </w:pPr>
      <w:r>
        <w:t>表 2  数据表</w:t>
      </w:r>
    </w:p>
    <w:p>
      <w:pPr>
        <w:pStyle w:val="Heading2"/>
      </w:pPr>
      <w:r>
        <w:t>4. 故障与安全需求追踪矩阵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需求编号</w:t>
            </w:r>
          </w:p>
        </w:tc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需求说明</w:t>
            </w:r>
          </w:p>
        </w:tc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设计依据</w:t>
            </w:r>
          </w:p>
        </w:tc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实现位置</w:t>
            </w:r>
          </w:p>
        </w:tc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验证命令 / 证据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REQ-FAULT-001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任意已识别故障进入 `ACTIVE`，并至少进入 `WARN`。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faultmg 是 fault lifecycle owner。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`src/domains/faultmg.c`, `src/core/light_fault_mode.c`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test-fault`; `FAULTMG_MODE_TRANSITION prev=NORMAL next=WARN`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REQ-FAULT-002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连续三次 mode conflict 进入 `DEGRADED`。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active counters 记录连续模式冲突。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`src/core/light_fault_mode.c`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test-fault`, `make test-integration-fault`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REQ-FAULT-003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两次 hardware state error 进入 `SAFE_MODE`。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hardware fault counter 达阈值后升级。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`src/core/light_fault_mode.c`, `src/domains/faultmg.c`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test-fault`, `make test-serial-e2e`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REQ-FAULT-004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`DEGRADED` 禁用远光灯并保证最低照明。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output policy matrix。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`src/core/light_output_policy.c`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test-fault`, `make test-integration-fault`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REQ-FAULT-005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`SAFE_MODE` 强制保守输出。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safe mode policy：低风险灯打开，高风险灯关闭。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`src/core/light_output_policy.c`, `src/core/light_runtime_guard.c`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test-fault`, `make test-integration-fault`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REQ-FAULT-006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fault taxonomy 应记录来源、等级、触发条件、恢复策略和输出策略。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fault 分类表和 safety case 同步维护。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`include/light_fault_mode.h`, `src/core/light_fault_mode.c`, `docs/safety_case.md`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test-fault`, `reports/final_v2_metrics.md`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REQ-RECOVERY-001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clear 后不得立即回到 `NORMAL`。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clear 后进入 `RECOVERING`。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`src/core/light_fault_mode.c`, `src/domains/faultmg.c`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test-fault`, `make test-serial-e2e`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REQ-RECOVERY-002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恢复应按真实时间窗口逐级下降。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`light_fault_mode_observe_recovery_at(state, now_ms)` 到窗口后只 step down 一级。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`src/core/light_fault_mode.c`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test-fault`, `make test-serial-e2e`; 日志 `recovery_elapsed_ms=... recovery_window_ms=...`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REQ-RECOVERY-003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恢复期间新 fault 打断恢复。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record error 重置 elapsed recovery window 并返回 `ACTIVE`。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`src/core/light_fault_mode.c`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test-fault`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REQ-FAULT-DIAG-001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fault lifecycle 应保留最近事件诊断证据。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固定容量 `light_fault_history_t` 记录 event、code、mode、lifecycle、active mask 和 total count。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`src/core/light_fault_mode.c`, `src/domains/faultmg.c`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test-fault`, `FAULTMG_HISTORY`</w:t>
            </w:r>
          </w:p>
        </w:tc>
      </w:tr>
    </w:tbl>
    <w:p>
      <w:pPr>
        <w:pStyle w:val="CaptionCN"/>
      </w:pPr>
      <w:r>
        <w:t>表 3  数据表</w:t>
      </w:r>
    </w:p>
    <w:p>
      <w:pPr>
        <w:pStyle w:val="Heading2"/>
      </w:pPr>
      <w:r>
        <w:t>5. 工程需求追踪矩阵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需求编号</w:t>
            </w:r>
          </w:p>
        </w:tc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需求说明</w:t>
            </w:r>
          </w:p>
        </w:tc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设计依据</w:t>
            </w:r>
          </w:p>
        </w:tc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实现位置</w:t>
            </w:r>
          </w:p>
        </w:tc>
        <w:tc>
          <w:tcPr>
            <w:tcW w:type="dxa" w:w="1870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验证命令 / 证据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REQ-ENG-001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Microkit channel ID 集中管理。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所有 C 代码使用 `include/light_channels.h`。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`include/light_channels.h`, `systems/light.system`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静态 grep：组件内无本地 channel ID 定义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REQ-ENG-002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host-side 单测一键运行。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Makefile 聚合目标。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`Makefile`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test`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REQ-ENG-003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QEMU 验证一键运行。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Makefile 聚合目标。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`Makefile`, `scripts/*.sh`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qemu-test` 已通过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REQ-ENG-004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工程检查文档完整。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需求、概要、详细、用户手册、追踪矩阵、数据图说明。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`project-docs/`, `docs/`, `reports/`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人工审阅文档结构和内容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REQ-ENG-005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验证证据应可归档和复查。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evidence` 生成 `manifest.txt`、`summary.md`，记录 run id、环境和关键证据匹配项。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`Makefile`, `scripts/collect_evidence.sh`, `test-results/&lt;run-id&gt;/manifest.txt`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evidence TEST_RUN_ID=final-v2.0`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REQ-ENG-006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契约拒绝应使用统一日志格式。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各组件输出 `*_CONTRACT_REJECT reason=...`。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`src/domains/commandin.c`, `src/domains/scheduler.c`, `src/domains/vehicle_state.c`, `src/domains/faultmg.c`, `src/domains/lightctl.c`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QEMU 日志检查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REQ-ENG-007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答辩报告应可一键生成。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defense-report` 输出终端友好报告，并提取关键 token。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`Makefile`, `scripts/defense_report.sh`, `reports/defense_report_final-v2.0.md`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`make defense-report TEST_RUN_ID=final-v2.0`</w:t>
            </w:r>
          </w:p>
        </w:tc>
      </w:tr>
      <w:tr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REQ-ENG-008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数据结果应可视化说明。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论文风格 SVG 图和解释文档展示验证覆盖、sweep 规模、故障恢复和输出分布。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`reports/final_v2_metrics.md`, `reports/assets/*.svg`, `project-docs/13.final-v2.0数据图说明.md`</w:t>
            </w:r>
          </w:p>
        </w:tc>
        <w:tc>
          <w:tcPr>
            <w:tcW w:type="dxa" w:w="187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人工审阅图表和数据来源</w:t>
            </w:r>
          </w:p>
        </w:tc>
      </w:tr>
    </w:tbl>
    <w:p>
      <w:pPr>
        <w:pStyle w:val="CaptionCN"/>
      </w:pPr>
      <w:r>
        <w:t>表 4  数据表</w:t>
      </w:r>
    </w:p>
    <w:p>
      <w:pPr>
        <w:pStyle w:val="Heading2"/>
      </w:pPr>
      <w:r>
        <w:t>6. 测试闭环图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407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需求_设计_实现_测试追踪矩阵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4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2  软件工程结构图</w:t>
      </w:r>
    </w:p>
    <w:p>
      <w:pPr>
        <w:pStyle w:val="Heading2"/>
      </w:pPr>
      <w:r>
        <w:t>7. 当前验证结论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项目当前已在 Ubuntu 22.04 虚拟机中通过：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test TEST_RUN_ID=final-v2.0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build MICROKIT_SDK=../microkit-sdk-2.0.1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qemu-test TEST_RUN_ID=final-v2.0 MICROKIT_SDK=../microkit-sdk-2.0.1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evidence TEST_RUN_ID=final-v2.0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defense-report TEST_RUN_ID=final-v2.0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 xml:space="preserve">其中 </w:t>
      </w:r>
      <w:r>
        <w:rPr>
          <w:rFonts w:ascii="SimSun" w:hAnsi="SimSun" w:eastAsia="宋体"/>
          <w:b w:val="0"/>
        </w:rPr>
        <w:t>make qemu-test</w:t>
      </w:r>
      <w:r>
        <w:rPr>
          <w:rFonts w:ascii="SimSun" w:hAnsi="SimSun" w:eastAsia="宋体"/>
        </w:rPr>
        <w:t xml:space="preserve"> 包含：</w:t>
      </w:r>
    </w:p>
    <w:p>
      <w:pPr>
        <w:pStyle w:val="ListBullet"/>
      </w:pPr>
      <w:r>
        <w:rPr>
          <w:rFonts w:ascii="SimSun" w:hAnsi="SimSun" w:eastAsia="宋体"/>
          <w:b w:val="0"/>
        </w:rPr>
        <w:t>make smoke</w:t>
      </w:r>
    </w:p>
    <w:p>
      <w:pPr>
        <w:pStyle w:val="ListBullet"/>
      </w:pPr>
      <w:r>
        <w:rPr>
          <w:rFonts w:ascii="SimSun" w:hAnsi="SimSun" w:eastAsia="宋体"/>
          <w:b w:val="0"/>
        </w:rPr>
        <w:t>make test-integration-fault</w:t>
      </w:r>
    </w:p>
    <w:p>
      <w:pPr>
        <w:pStyle w:val="ListBullet"/>
      </w:pPr>
      <w:r>
        <w:rPr>
          <w:rFonts w:ascii="SimSun" w:hAnsi="SimSun" w:eastAsia="宋体"/>
          <w:b w:val="0"/>
        </w:rPr>
        <w:t>make test-serial-e2e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三项 QEMU 测试均通过，host-side 测试包含车辆场景和 fault recovery，</w:t>
      </w:r>
      <w:r>
        <w:rPr>
          <w:rFonts w:ascii="SimSun" w:hAnsi="SimSun" w:eastAsia="宋体"/>
          <w:b w:val="0"/>
        </w:rPr>
        <w:t>vehicle-sweep.csv</w:t>
      </w:r>
      <w:r>
        <w:rPr>
          <w:rFonts w:ascii="SimSun" w:hAnsi="SimSun" w:eastAsia="宋体"/>
        </w:rPr>
        <w:t xml:space="preserve"> 覆盖 46,080 行组合数据，说明 Microkit 系统启动、正常命令传播、fault injection、serial snapshot、elapsed-time recovery 和车辆状态裁决均已形成自动化验证闭环。</w:t>
      </w:r>
    </w:p>
    <w:p>
      <w:pPr>
        <w:pStyle w:val="Heading2"/>
      </w:pPr>
      <w:r>
        <w:t>8. 后续可补充的追踪项</w:t>
      </w:r>
    </w:p>
    <w:p>
      <w:pPr>
        <w:pStyle w:val="ListBullet"/>
      </w:pPr>
      <w:r>
        <w:rPr>
          <w:rFonts w:ascii="SimSun" w:hAnsi="SimSun" w:eastAsia="宋体"/>
        </w:rPr>
        <w:t>增加真实板卡 GPIO 验证后，补充硬件验收项。</w:t>
      </w:r>
    </w:p>
    <w:p>
      <w:pPr>
        <w:pStyle w:val="ListBullet"/>
      </w:pPr>
      <w:r>
        <w:rPr>
          <w:rFonts w:ascii="SimSun" w:hAnsi="SimSun" w:eastAsia="宋体"/>
        </w:rPr>
        <w:t>接入真实车辆总线或真实时间源后，补充外设接口追踪项。</w:t>
      </w:r>
    </w:p>
    <w:p>
      <w:pPr>
        <w:pStyle w:val="ListBullet"/>
      </w:pPr>
      <w:r>
        <w:rPr>
          <w:rFonts w:ascii="SimSun" w:hAnsi="SimSun" w:eastAsia="宋体"/>
        </w:rPr>
        <w:t>如果进入更高安全等级评估，需要补充形式化需求、故障树和认证级测试证据。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36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SimSun" w:hAnsi="SimSun" w:eastAsia="宋体"/>
        <w:sz w:val="18"/>
      </w:rPr>
      <w:t xml:space="preserve"> 页 / 共 </w:t>
    </w:r>
    <w:r>
      <w:rPr>
        <w:rFonts w:ascii="SimSun" w:hAnsi="SimSun" w:eastAsia="宋体"/>
        <w:sz w:val="18"/>
      </w:rPr>
      <w:fldChar w:fldCharType="begin"/>
      <w:instrText xml:space="preserve">NUMPAGES</w:instrText>
      <w:fldChar w:fldCharType="end"/>
    </w:r>
    <w:r>
      <w:rPr>
        <w:rFonts w:ascii="SimSun" w:hAnsi="SimSun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sz w:val="18"/>
      </w:rPr>
      <w:t>基于 seL4 + Microkit 的汽车车灯控制演示系统｜需求-设计-实现-测试追踪矩阵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黑体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283"/>
    </w:pPr>
    <w:rPr>
      <w:rFonts w:ascii="Courier New" w:hAnsi="Courier New"/>
      <w:sz w:val="18"/>
    </w:rPr>
  </w:style>
  <w:style w:type="paragraph" w:customStyle="1" w:styleId="CaptionCN">
    <w:name w:val="CaptionCN"/>
    <w:pPr>
      <w:jc w:val="center"/>
    </w:pPr>
    <w:rPr>
      <w:rFonts w:ascii="SimSun" w:hAnsi="SimSun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