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60"/>
      </w:pPr>
    </w:p>
    <w:p>
      <w:pPr>
        <w:spacing w:after="100"/>
      </w:pPr>
      <w:r>
        <w:rPr>
          <w:rFonts w:ascii="Calibri" w:hAnsi="Calibri" w:eastAsia="Noto Sans SC" w:cs="Calibri"/>
          <w:b/>
          <w:color w:val="9B1C1C"/>
          <w:sz w:val="20"/>
        </w:rPr>
        <w:t>FROZEN TECHNICAL DESIGN</w:t>
      </w:r>
    </w:p>
    <w:p>
      <w:pPr>
        <w:pStyle w:val="Title"/>
      </w:pPr>
      <w:r>
        <w:rPr>
          <w:rFonts w:ascii="Calibri" w:hAnsi="Calibri" w:eastAsia="Noto Sans SC" w:cs="Calibri"/>
          <w:b/>
          <w:color w:val="0B2545"/>
          <w:sz w:val="54"/>
        </w:rPr>
        <w:t>无人机二维航程计算引擎</w:t>
      </w:r>
    </w:p>
    <w:p>
      <w:pPr>
        <w:pStyle w:val="Subtitle"/>
      </w:pPr>
      <w:r>
        <w:rPr>
          <w:rFonts w:ascii="Calibri" w:hAnsi="Calibri" w:eastAsia="Noto Sans SC" w:cs="Calibri"/>
          <w:color w:val="5B6770"/>
          <w:sz w:val="28"/>
        </w:rPr>
        <w:t>Java 21 常驻子进程集成技术设计（冻结版）</w:t>
      </w:r>
    </w:p>
    <w:p>
      <w:pPr>
        <w:spacing w:after="40" w:line="252" w:lineRule="auto"/>
      </w:pPr>
      <w:r>
        <w:rPr>
          <w:rFonts w:ascii="Calibri" w:hAnsi="Calibri" w:eastAsia="Noto Sans SC" w:cs="Calibri"/>
          <w:b/>
          <w:color w:val="0B2545"/>
          <w:sz w:val="21"/>
        </w:rPr>
        <w:t>文档编号：</w:t>
      </w:r>
      <w:r>
        <w:rPr>
          <w:rFonts w:ascii="Calibri" w:hAnsi="Calibri" w:eastAsia="Noto Sans SC" w:cs="Calibri"/>
          <w:color w:val="1F2933"/>
          <w:sz w:val="21"/>
        </w:rPr>
        <w:t>DRONE-WORKER-INT-DESIGN-001</w:t>
      </w:r>
    </w:p>
    <w:p>
      <w:pPr>
        <w:spacing w:after="40" w:line="252" w:lineRule="auto"/>
      </w:pPr>
      <w:r>
        <w:rPr>
          <w:rFonts w:ascii="Calibri" w:hAnsi="Calibri" w:eastAsia="Noto Sans SC" w:cs="Calibri"/>
          <w:b/>
          <w:color w:val="0B2545"/>
          <w:sz w:val="21"/>
        </w:rPr>
        <w:t>版本 / 状态：</w:t>
      </w:r>
      <w:r>
        <w:rPr>
          <w:rFonts w:ascii="Calibri" w:hAnsi="Calibri" w:eastAsia="Noto Sans SC" w:cs="Calibri"/>
          <w:color w:val="1F2933"/>
          <w:sz w:val="21"/>
        </w:rPr>
        <w:t>V1.0 / FROZEN</w:t>
      </w:r>
    </w:p>
    <w:p>
      <w:pPr>
        <w:spacing w:after="40" w:line="252" w:lineRule="auto"/>
      </w:pPr>
      <w:r>
        <w:rPr>
          <w:rFonts w:ascii="Calibri" w:hAnsi="Calibri" w:eastAsia="Noto Sans SC" w:cs="Calibri"/>
          <w:b/>
          <w:color w:val="0B2545"/>
          <w:sz w:val="21"/>
        </w:rPr>
        <w:t>冻结日期：</w:t>
      </w:r>
      <w:r>
        <w:rPr>
          <w:rFonts w:ascii="Calibri" w:hAnsi="Calibri" w:eastAsia="Noto Sans SC" w:cs="Calibri"/>
          <w:color w:val="1F2933"/>
          <w:sz w:val="21"/>
        </w:rPr>
        <w:t>2026-08-07</w:t>
      </w:r>
    </w:p>
    <w:p>
      <w:pPr>
        <w:spacing w:after="40" w:line="252" w:lineRule="auto"/>
      </w:pPr>
      <w:r>
        <w:rPr>
          <w:rFonts w:ascii="Calibri" w:hAnsi="Calibri" w:eastAsia="Noto Sans SC" w:cs="Calibri"/>
          <w:b/>
          <w:color w:val="0B2545"/>
          <w:sz w:val="21"/>
        </w:rPr>
        <w:t>业务口径：</w:t>
      </w:r>
      <w:r>
        <w:rPr>
          <w:rFonts w:ascii="Calibri" w:hAnsi="Calibri" w:eastAsia="Noto Sans SC" w:cs="Calibri"/>
          <w:color w:val="1F2933"/>
          <w:sz w:val="21"/>
        </w:rPr>
        <w:t>兼容《无人机二维航程计算样品 PRD V1.2》计算规则</w:t>
      </w:r>
    </w:p>
    <w:p>
      <w:pPr>
        <w:spacing w:after="40" w:line="252" w:lineRule="auto"/>
      </w:pPr>
      <w:r>
        <w:rPr>
          <w:rFonts w:ascii="Calibri" w:hAnsi="Calibri" w:eastAsia="Noto Sans SC" w:cs="Calibri"/>
          <w:b/>
          <w:color w:val="0B2545"/>
          <w:sz w:val="21"/>
        </w:rPr>
        <w:t>调用基线：</w:t>
      </w:r>
      <w:r>
        <w:rPr>
          <w:rFonts w:ascii="Calibri" w:hAnsi="Calibri" w:eastAsia="Noto Sans SC" w:cs="Calibri"/>
          <w:color w:val="1F2933"/>
          <w:sz w:val="21"/>
        </w:rPr>
        <w:t>Java 21 · ProcessBuilder · UTF-8 NDJSON</w:t>
      </w:r>
    </w:p>
    <w:p>
      <w:pPr>
        <w:spacing w:after="40" w:line="252" w:lineRule="auto"/>
      </w:pPr>
      <w:r>
        <w:rPr>
          <w:rFonts w:ascii="Calibri" w:hAnsi="Calibri" w:eastAsia="Noto Sans SC" w:cs="Calibri"/>
          <w:b/>
          <w:color w:val="0B2545"/>
          <w:sz w:val="21"/>
        </w:rPr>
        <w:t>发布方式：</w:t>
      </w:r>
      <w:r>
        <w:rPr>
          <w:rFonts w:ascii="Calibri" w:hAnsi="Calibri" w:eastAsia="Noto Sans SC" w:cs="Calibri"/>
          <w:color w:val="1F2933"/>
          <w:sz w:val="21"/>
        </w:rPr>
        <w:t>Nuitka standalone · Windows/Linux 分平台构建</w:t>
      </w:r>
    </w:p>
    <w:p>
      <w:pPr>
        <w:spacing w:after="100"/>
      </w:pPr>
    </w:p>
    <w:p>
      <w:pPr>
        <w:keepLines/>
        <w:spacing w:before="100" w:after="180" w:line="264" w:lineRule="auto"/>
        <w:ind w:left="173" w:right="115"/>
        <w:shd w:fill="FBEFF0" w:val="clear"/>
        <w:pBdr>
          <w:left w:val="single" w:sz="18" w:space="8" w:color="9B1C1C"/>
        </w:pBdr>
      </w:pPr>
      <w:r>
        <w:rPr>
          <w:rFonts w:ascii="Calibri" w:hAnsi="Calibri" w:eastAsia="Noto Sans SC" w:cs="Calibri"/>
          <w:b/>
          <w:color w:val="9B1C1C"/>
          <w:sz w:val="21"/>
        </w:rPr>
        <w:t xml:space="preserve">冻结结论  </w:t>
      </w:r>
      <w:r>
        <w:rPr>
          <w:rFonts w:ascii="Calibri" w:hAnsi="Calibri" w:eastAsia="Noto Sans SC" w:cs="Calibri"/>
          <w:color w:val="1F2933"/>
          <w:sz w:val="21"/>
        </w:rPr>
        <w:t>采用“Java 21 ProcessBuilder + 常驻 Nuitka 计算进程 + stdin/stdout NDJSON”。Java 只传入 GeoTIFF 路径、A/B 点和速度；引擎加载一次地图后连续计算，Java 工程师无需安装 Python。</w:t>
      </w:r>
    </w:p>
    <w:p>
      <w:pPr>
        <w:spacing w:before="320" w:after="0"/>
        <w:jc w:val="center"/>
      </w:pPr>
      <w:r>
        <w:rPr>
          <w:rFonts w:ascii="Calibri" w:hAnsi="Calibri" w:eastAsia="Noto Sans SC" w:cs="Calibri"/>
          <w:b/>
          <w:color w:val="5B6770"/>
          <w:sz w:val="19"/>
        </w:rPr>
        <w:t>本文件为内部实现与验收基线，不随极简交付包对外提供。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SC" w:cs="Calibri"/>
          <w:b/>
          <w:color w:val="2E74B5"/>
          <w:sz w:val="32"/>
        </w:rPr>
        <w:t>1. 冻结范围与设计原则</w:t>
      </w:r>
    </w:p>
    <w:p>
      <w:pPr>
        <w:keepLines/>
        <w:spacing w:before="100" w:after="180" w:line="264" w:lineRule="auto"/>
        <w:ind w:left="173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Noto Sans SC" w:cs="Calibri"/>
          <w:b/>
          <w:color w:val="2E74B5"/>
          <w:sz w:val="21"/>
        </w:rPr>
        <w:t xml:space="preserve">唯一集成方案  </w:t>
      </w:r>
      <w:r>
        <w:rPr>
          <w:rFonts w:ascii="Calibri" w:hAnsi="Calibri" w:eastAsia="Noto Sans SC" w:cs="Calibri"/>
          <w:color w:val="1F2933"/>
          <w:sz w:val="21"/>
        </w:rPr>
        <w:t>不重写纯 Java SDK，不启动本地 HTTP 服务，不为每次计算重复拉起进程。Java 启动一个常驻计算引擎，通过 NDJSON 进行串行请求/响应。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1.1 本次纳入范围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Java 21 使用 ProcessBuilder 启动、监控和关闭本地计算进程。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Java 解压业务 ZIP，只向引擎传入本机 GeoTIFF 绝对路径；引擎不处理 ZIP。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引擎一次维护一张当前地图，加载后连续计算多组 A/B 点。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A/B 点分别支持 WGS84 经纬度、当前地图 CRS 坐标、零基像素行列坐标，且两点可以使用不同类型。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输出 WGS84 归一化点位、二维水平测地线距离以及恒速飞行时间。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Windows x64 与 Linux x64 各自产生一套 Nuitka standalone 软件目录。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外发采用严格白名单，仅交付软件、Java 调用示例和虚构 JSON 示例。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1.2 明确排除范围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不提供 JAR 形式的纯 Java 地理计算 SDK，不要求客户机安装 Python。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不开放 HTTP、WebSocket、gRPC、TCP 端口，也不注册系统服务。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计算进程不连接 MySQL；事务、持久化、鉴权和业务审计由客户 Java 系统负责。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不交付 Python 源码、构建脚本、测试代码、地图数据、真实坐标、内部配置、架构文档或调试材料。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不支持同一进程内多地图并发、请求并发、DEM、三维距离、路径规划或飞行动画。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Python 具体版本、Linux 发行版兼容矩阵和客户数据库表结构不属于本文件冻结项。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1.3 冻结决策清单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0D8"/>
          <w:left w:val="single" w:sz="4" w:space="0" w:color="C9D0D8"/>
          <w:bottom w:val="single" w:sz="4" w:space="0" w:color="C9D0D8"/>
          <w:right w:val="single" w:sz="4" w:space="0" w:color="C9D0D8"/>
          <w:insideH w:val="single" w:sz="4" w:space="0" w:color="C9D0D8"/>
          <w:insideV w:val="single" w:sz="4" w:space="0" w:color="C9D0D8"/>
        </w:tblBorders>
      </w:tblPr>
      <w:tblGrid>
        <w:gridCol w:w="2100"/>
        <w:gridCol w:w="2700"/>
        <w:gridCol w:w="4560"/>
      </w:tblGrid>
      <w:tr>
        <w:trPr>
          <w:tblHeader w:val="true"/>
        </w:trPr>
        <w:tc>
          <w:tcPr>
            <w:tcW w:type="dxa" w:w="21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决策项</w:t>
            </w:r>
          </w:p>
        </w:tc>
        <w:tc>
          <w:tcPr>
            <w:tcW w:type="dxa" w:w="27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冻结值</w:t>
            </w:r>
          </w:p>
        </w:tc>
        <w:tc>
          <w:tcPr>
            <w:tcW w:type="dxa" w:w="45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约束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调用方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Java 21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框架无关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进程模型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常驻子进程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一进程一活动地图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通信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stdin/stdout NDJSON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UTF-8，一行一对象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打包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Nuitka standalone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不用 onefile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地图输入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GeoTIFF 绝对路径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ZIP 由 Java 解压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坐标输入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wgs84 / map_crs / pixel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A/B 可混用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执行顺序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单线程串行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同一时刻最多一项请求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数据库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Java 侧负责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引擎无状态持久化</w:t>
            </w:r>
          </w:p>
        </w:tc>
      </w:tr>
    </w:tbl>
    <w:p>
      <w:pPr>
        <w:spacing w:before="0" w:after="20"/>
      </w:pPr>
    </w:p>
    <w:p>
      <w:pPr>
        <w:pStyle w:val="Heading1"/>
      </w:pPr>
      <w:r>
        <w:rPr>
          <w:rFonts w:ascii="Calibri" w:hAnsi="Calibri" w:eastAsia="Noto Sans SC" w:cs="Calibri"/>
          <w:b/>
          <w:color w:val="2E74B5"/>
          <w:sz w:val="32"/>
        </w:rPr>
        <w:t>2. 总体架构与责任边界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2097088"/>
            <wp:docPr id="1" name="Picture 1" title="Java 21 与常驻计算引擎责任边界" descr="客户 Java 21 系统通过 stdin/stdout NDJSON 调用 Nuitka 常驻计算引擎；引擎在进程内调用 GeoTIFF 与地理库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97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80"/>
        <w:jc w:val="center"/>
      </w:pPr>
      <w:r>
        <w:rPr>
          <w:rFonts w:ascii="Calibri" w:hAnsi="Calibri" w:eastAsia="Noto Sans SC" w:cs="Calibri"/>
          <w:i/>
          <w:color w:val="5B6770"/>
          <w:sz w:val="18"/>
        </w:rPr>
        <w:t>图 1  冻结后的 Java—计算引擎边界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2.1 Java 系统职责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定位对应平台的软件目录并通过 ProcessBuilder 启动可执行程序。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独立消费 stdout 与 stderr；stdout 仅按 NDJSON 解析，stderr 仅作为日志通道。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生成唯一请求 id，串行发送请求，每次写入换行并立即 flush。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负责 ZIP 解压、业务参数获取、超时、重试、进程恢复和 MySQL 持久化。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发现进程异常退出时重新启动并重新执行 hello 与 load_map，不假设引擎保存上次状态。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2.2 计算引擎职责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解析请求并校验协议版本、操作、字段类型、坐标和速度。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原子加载 GeoTIFF，校验 CRS、仿射变换、尺寸及可读性，并缓存当前数据集。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在三类坐标之间转换，验证点位位于当前影像有效范围内。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按 V1.2 口径计算 WGS84 椭球面二维距离和恒速飞行时间。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返回稳定错误码；发布模式不输出 Python 堆栈、源码路径或业务数据。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接收 shutdown、遇到 stdin EOF 或父进程关闭管道时释放地图并退出。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2.3 数据与状态边界</w:t>
      </w:r>
    </w:p>
    <w:p>
      <w:pPr>
        <w:keepLines/>
        <w:spacing w:before="100" w:after="180" w:line="264" w:lineRule="auto"/>
        <w:ind w:left="173" w:right="115"/>
        <w:shd w:fill="EDF6F4" w:val="clear"/>
        <w:pBdr>
          <w:left w:val="single" w:sz="18" w:space="8" w:color="0F6B78"/>
        </w:pBdr>
      </w:pPr>
      <w:r>
        <w:rPr>
          <w:rFonts w:ascii="Calibri" w:hAnsi="Calibri" w:eastAsia="Noto Sans SC" w:cs="Calibri"/>
          <w:b/>
          <w:color w:val="0F6B78"/>
          <w:sz w:val="21"/>
        </w:rPr>
        <w:t xml:space="preserve">无持久化  </w:t>
      </w:r>
      <w:r>
        <w:rPr>
          <w:rFonts w:ascii="Calibri" w:hAnsi="Calibri" w:eastAsia="Noto Sans SC" w:cs="Calibri"/>
          <w:color w:val="1F2933"/>
          <w:sz w:val="21"/>
        </w:rPr>
        <w:t>引擎仅持有进程内的当前地图句柄与地图元数据。A/B 点和计算结果属于单次请求，不写入磁盘、不进入数据库，也不跨进程恢复。</w:t>
      </w:r>
    </w:p>
    <w:p>
      <w:pPr>
        <w:pStyle w:val="Heading1"/>
      </w:pPr>
      <w:r>
        <w:rPr>
          <w:rFonts w:ascii="Calibri" w:hAnsi="Calibri" w:eastAsia="Noto Sans SC" w:cs="Calibri"/>
          <w:b/>
          <w:color w:val="2E74B5"/>
          <w:sz w:val="32"/>
        </w:rPr>
        <w:t>3. 进程生命周期与状态机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3.1 标准调用顺序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Java 启动可执行程序，并同时开始读取 stdout 与 stderr。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Java 发送 hello，确认 protocolVersion=1 与引擎就绪。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Java 发送 load_map，传入解压后的 GeoTIFF 绝对路径。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引擎校验成功后原子替换当前地图；失败时保留旧地图（若有）。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Java 连续发送 calculate；每个响应必须与请求 id 对应。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需要切换地图时再次发送 load_map；成功后新地图生效。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业务结束时发送 shutdown，等待正常退出；超时后再由 Java 销毁进程。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3.2 状态与允许操作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0D8"/>
          <w:left w:val="single" w:sz="4" w:space="0" w:color="C9D0D8"/>
          <w:bottom w:val="single" w:sz="4" w:space="0" w:color="C9D0D8"/>
          <w:right w:val="single" w:sz="4" w:space="0" w:color="C9D0D8"/>
          <w:insideH w:val="single" w:sz="4" w:space="0" w:color="C9D0D8"/>
          <w:insideV w:val="single" w:sz="4" w:space="0" w:color="C9D0D8"/>
        </w:tblBorders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状态</w:t>
            </w:r>
          </w:p>
        </w:tc>
        <w:tc>
          <w:tcPr>
            <w:tcW w:type="dxa" w:w="30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允许操作</w:t>
            </w:r>
          </w:p>
        </w:tc>
        <w:tc>
          <w:tcPr>
            <w:tcW w:type="dxa" w:w="45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关键行为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READY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hello / load_map / shutdown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尚无当前地图；calculate 返回 E_MAP_NOT_LOADED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MAP_LOADED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hello / load_map / calculate / shutdown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串行处理；成功 load_map 原子替换地图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TERMINATING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无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停止接收新请求，释放资源并退出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3.3 健康、超时与恢复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引擎启动成功不等于地图可用；只有 hello 成功且 load_map 成功后才可 calculate。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Java 为启动、地图加载和普通计算分别设置业务超时；超时值由 Java 系统配置，不写死在协议中。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协议不提供自动重试。Java 只能在确认请求未成功或业务允许幂等重算时重发 calculate。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进程退出、管道破裂或响应无法解析时，Java 丢弃该进程，重启后重新加载地图。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同一进程内只允许一个未完成请求；Java 必须在调用侧串行化。</w:t>
      </w:r>
    </w:p>
    <w:p>
      <w:pPr>
        <w:pStyle w:val="Heading1"/>
      </w:pPr>
      <w:r>
        <w:rPr>
          <w:rFonts w:ascii="Calibri" w:hAnsi="Calibri" w:eastAsia="Noto Sans SC" w:cs="Calibri"/>
          <w:b/>
          <w:color w:val="2E74B5"/>
          <w:sz w:val="32"/>
        </w:rPr>
        <w:t>4. NDJSON 协议 V1</w:t>
      </w:r>
    </w:p>
    <w:p>
      <w:pPr>
        <w:keepLines/>
        <w:spacing w:before="100" w:after="180" w:line="264" w:lineRule="auto"/>
        <w:ind w:left="173" w:right="115"/>
        <w:shd w:fill="EDF6F4" w:val="clear"/>
        <w:pBdr>
          <w:left w:val="single" w:sz="18" w:space="8" w:color="0F6B78"/>
        </w:pBdr>
      </w:pPr>
      <w:r>
        <w:rPr>
          <w:rFonts w:ascii="Calibri" w:hAnsi="Calibri" w:eastAsia="Noto Sans SC" w:cs="Calibri"/>
          <w:b/>
          <w:color w:val="0F6B78"/>
          <w:sz w:val="21"/>
        </w:rPr>
        <w:t xml:space="preserve">线路规则  </w:t>
      </w:r>
      <w:r>
        <w:rPr>
          <w:rFonts w:ascii="Calibri" w:hAnsi="Calibri" w:eastAsia="Noto Sans SC" w:cs="Calibri"/>
          <w:color w:val="1F2933"/>
          <w:sz w:val="21"/>
        </w:rPr>
        <w:t>stdin 每行一个请求；stdout 每行一个响应；stderr 绝不并入 stdout。所有通道统一 UTF-8。每个 JSON 对象后必须写入 LF，并立即 flush。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4.1 通用请求与响应信封</w:t>
      </w:r>
    </w:p>
    <w:p>
      <w:pPr>
        <w:keepLines/>
        <w:spacing w:before="100" w:after="180" w:line="264" w:lineRule="auto"/>
        <w:ind w:left="173" w:right="115"/>
        <w:shd w:fill="FFF8E8" w:val="clear"/>
        <w:pBdr>
          <w:left w:val="single" w:sz="18" w:space="8" w:color="7A5A00"/>
        </w:pBdr>
      </w:pPr>
      <w:r>
        <w:rPr>
          <w:rFonts w:ascii="Calibri" w:hAnsi="Calibri" w:eastAsia="Noto Sans SC" w:cs="Calibri"/>
          <w:b/>
          <w:color w:val="7A5A00"/>
          <w:sz w:val="21"/>
        </w:rPr>
        <w:t xml:space="preserve">示例排版  </w:t>
      </w:r>
      <w:r>
        <w:rPr>
          <w:rFonts w:ascii="Calibri" w:hAnsi="Calibri" w:eastAsia="Noto Sans SC" w:cs="Calibri"/>
          <w:color w:val="1F2933"/>
          <w:sz w:val="21"/>
        </w:rPr>
        <w:t>本文件为便于阅读将 JSON 展开为多行；真实 stdin/stdout 传输及 requests.ndjson/responses.ndjson 文件中，每个对象必须压缩为单独一行。</w:t>
      </w:r>
    </w:p>
    <w:p>
      <w:pPr>
        <w:pStyle w:val="CodeBlock"/>
        <w:keepLines/>
        <w:shd w:fill="F7F9FB" w:val="clear"/>
        <w:pBdr>
          <w:left w:val="single" w:sz="12" w:space="6" w:color="0F6B78"/>
        </w:pBdr>
      </w:pPr>
      <w:r>
        <w:rPr>
          <w:rFonts w:ascii="DejaVu Sans Mono" w:hAnsi="DejaVu Sans Mono" w:eastAsia="Noto Sans SC" w:cs="DejaVu Sans Mono"/>
          <w:color w:val="0B2545"/>
          <w:sz w:val="16"/>
        </w:rPr>
        <w:t>{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"id": "req-0001",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"protocolVersion": 1,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"operation": "hello"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>}</w:t>
      </w:r>
    </w:p>
    <w:p>
      <w:pPr>
        <w:pStyle w:val="CodeBlock"/>
        <w:keepLines/>
        <w:shd w:fill="F7F9FB" w:val="clear"/>
        <w:pBdr>
          <w:left w:val="single" w:sz="12" w:space="6" w:color="0F6B78"/>
        </w:pBdr>
      </w:pPr>
      <w:r>
        <w:rPr>
          <w:rFonts w:ascii="DejaVu Sans Mono" w:hAnsi="DejaVu Sans Mono" w:eastAsia="Noto Sans SC" w:cs="DejaVu Sans Mono"/>
          <w:color w:val="0B2545"/>
          <w:sz w:val="16"/>
        </w:rPr>
        <w:t>{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"id": "req-0001",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"success": true,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"data": {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"protocolVersion": 1,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"engineVersion": "1.0.0"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}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>}</w:t>
      </w:r>
    </w:p>
    <w:p>
      <w:pPr>
        <w:pStyle w:val="CodeBlock"/>
        <w:keepLines/>
        <w:shd w:fill="F7F9FB" w:val="clear"/>
        <w:pBdr>
          <w:left w:val="single" w:sz="12" w:space="6" w:color="0F6B78"/>
        </w:pBdr>
      </w:pPr>
      <w:r>
        <w:rPr>
          <w:rFonts w:ascii="DejaVu Sans Mono" w:hAnsi="DejaVu Sans Mono" w:eastAsia="Noto Sans SC" w:cs="DejaVu Sans Mono"/>
          <w:color w:val="0B2545"/>
          <w:sz w:val="16"/>
        </w:rPr>
        <w:t>{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"id": "req-0009",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"success": false,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"error": {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"code": "E_SPEED_INVALID",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"message": "speedMps 必须为 1–99 的整数"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}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>}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4.2 通用字段规则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0D8"/>
          <w:left w:val="single" w:sz="4" w:space="0" w:color="C9D0D8"/>
          <w:bottom w:val="single" w:sz="4" w:space="0" w:color="C9D0D8"/>
          <w:right w:val="single" w:sz="4" w:space="0" w:color="C9D0D8"/>
          <w:insideH w:val="single" w:sz="4" w:space="0" w:color="C9D0D8"/>
          <w:insideV w:val="single" w:sz="4" w:space="0" w:color="C9D0D8"/>
        </w:tblBorders>
      </w:tblPr>
      <w:tblGrid>
        <w:gridCol w:w="1550"/>
        <w:gridCol w:w="3100"/>
        <w:gridCol w:w="4710"/>
      </w:tblGrid>
      <w:tr>
        <w:trPr>
          <w:tblHeader w:val="true"/>
        </w:trPr>
        <w:tc>
          <w:tcPr>
            <w:tcW w:type="dxa" w:w="15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31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规则</w:t>
            </w:r>
          </w:p>
        </w:tc>
        <w:tc>
          <w:tcPr>
            <w:tcW w:type="dxa" w:w="471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冻结说明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id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非空字符串，由 Java 生成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响应原样返回；同一进程会话内不得复用未完成 id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protocolVersion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整数 1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请求必填；不支持的版本返回 E_PROTOCOL_VERSION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operation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hello/load_map/calculate/shutdown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区分大小写；未知操作返回 E_OPERATION_UNKNOWN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success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boolean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true 时仅有 data；false 时仅有 error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data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object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成功载荷；字段含义由操作定义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error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object</w:t>
            </w:r>
          </w:p>
        </w:tc>
        <w:tc>
          <w:tcPr>
            <w:tcW w:type="dxa" w:w="4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仅含 code/message；不得含堆栈、源码路径、原始异常对象或地图内容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4.3 hello</w:t>
      </w:r>
    </w:p>
    <w:p>
      <w:r>
        <w:rPr>
          <w:rFonts w:ascii="Calibri" w:hAnsi="Calibri" w:eastAsia="Noto Sans SC" w:cs="Calibri"/>
          <w:color w:val="1F2933"/>
          <w:sz w:val="22"/>
        </w:rPr>
        <w:t>用于启动握手和兼容性检查。hello 不依赖地图状态，可在进程存活期间重复调用。</w:t>
      </w:r>
    </w:p>
    <w:p>
      <w:pPr>
        <w:pStyle w:val="CodeBlock"/>
        <w:keepLines/>
        <w:shd w:fill="F7F9FB" w:val="clear"/>
        <w:pBdr>
          <w:left w:val="single" w:sz="12" w:space="6" w:color="0F6B78"/>
        </w:pBdr>
      </w:pPr>
      <w:r>
        <w:rPr>
          <w:rFonts w:ascii="DejaVu Sans Mono" w:hAnsi="DejaVu Sans Mono" w:eastAsia="Noto Sans SC" w:cs="DejaVu Sans Mono"/>
          <w:color w:val="0B2545"/>
          <w:sz w:val="16"/>
        </w:rPr>
        <w:t>{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"id": "h-1",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"protocolVersion": 1,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"operation": "hello"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>}</w:t>
      </w:r>
    </w:p>
    <w:p>
      <w:pPr>
        <w:pStyle w:val="CodeBlock"/>
        <w:keepLines/>
        <w:shd w:fill="F7F9FB" w:val="clear"/>
        <w:pBdr>
          <w:left w:val="single" w:sz="12" w:space="6" w:color="0F6B78"/>
        </w:pBdr>
      </w:pPr>
      <w:r>
        <w:rPr>
          <w:rFonts w:ascii="DejaVu Sans Mono" w:hAnsi="DejaVu Sans Mono" w:eastAsia="Noto Sans SC" w:cs="DejaVu Sans Mono"/>
          <w:color w:val="0B2545"/>
          <w:sz w:val="16"/>
        </w:rPr>
        <w:t>{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"id": "h-1",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"success": true,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"data": {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"protocolVersion": 1,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"engineVersion": "1.0.0",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"state": "READY",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"coordinateTypes": [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  "wgs84",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  "map_crs",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  "pixel"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]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}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>}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4.4 load_map</w:t>
      </w:r>
    </w:p>
    <w:p>
      <w:r>
        <w:rPr>
          <w:rFonts w:ascii="Calibri" w:hAnsi="Calibri" w:eastAsia="Noto Sans SC" w:cs="Calibri"/>
          <w:color w:val="1F2933"/>
          <w:sz w:val="22"/>
        </w:rPr>
        <w:t>path 必须是 Java 已解压、当前机器可读的 GeoTIFF 绝对路径。成功后返回最小元数据；crs 能识别 authority code 时返回 EPSG:&lt;code&gt;，否则返回规范化 WKT2。失败时原子保留旧地图。</w:t>
      </w:r>
    </w:p>
    <w:p>
      <w:pPr>
        <w:pStyle w:val="CodeBlock"/>
        <w:keepLines/>
        <w:shd w:fill="F7F9FB" w:val="clear"/>
        <w:pBdr>
          <w:left w:val="single" w:sz="12" w:space="6" w:color="0F6B78"/>
        </w:pBdr>
      </w:pPr>
      <w:r>
        <w:rPr>
          <w:rFonts w:ascii="DejaVu Sans Mono" w:hAnsi="DejaVu Sans Mono" w:eastAsia="Noto Sans SC" w:cs="DejaVu Sans Mono"/>
          <w:color w:val="0B2545"/>
          <w:sz w:val="16"/>
        </w:rPr>
        <w:t>{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"id": "m-1",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"protocolVersion": 1,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"operation": "load_map",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"path": "D:\\maps\\area\\main.tif"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>}</w:t>
      </w:r>
    </w:p>
    <w:p>
      <w:pPr>
        <w:pStyle w:val="CodeBlock"/>
        <w:keepLines/>
        <w:shd w:fill="F7F9FB" w:val="clear"/>
        <w:pBdr>
          <w:left w:val="single" w:sz="12" w:space="6" w:color="0F6B78"/>
        </w:pBdr>
      </w:pPr>
      <w:r>
        <w:rPr>
          <w:rFonts w:ascii="DejaVu Sans Mono" w:hAnsi="DejaVu Sans Mono" w:eastAsia="Noto Sans SC" w:cs="DejaVu Sans Mono"/>
          <w:color w:val="0B2545"/>
          <w:sz w:val="16"/>
        </w:rPr>
        <w:t>{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"id": "m-1",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"success": true,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"data": {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"state": "MAP_LOADED",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"crs": "EPSG:3857",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"width": 298,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"height": 249,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"bands": 3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}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>}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4.5 calculate</w:t>
      </w:r>
    </w:p>
    <w:p>
      <w:r>
        <w:rPr>
          <w:rFonts w:ascii="Calibri" w:hAnsi="Calibri" w:eastAsia="Noto Sans SC" w:cs="Calibri"/>
          <w:color w:val="1F2933"/>
          <w:sz w:val="22"/>
        </w:rPr>
        <w:t>pointA 与 pointB 各自声明 type；允许混用。speedMps 为 JSON 整数，不接受字符串、小数、0、负数或 100 及以上。</w:t>
      </w:r>
    </w:p>
    <w:p>
      <w:pPr>
        <w:pStyle w:val="CodeBlock"/>
        <w:keepLines/>
        <w:shd w:fill="F7F9FB" w:val="clear"/>
        <w:pBdr>
          <w:left w:val="single" w:sz="12" w:space="6" w:color="0F6B78"/>
        </w:pBdr>
      </w:pPr>
      <w:r>
        <w:rPr>
          <w:rFonts w:ascii="DejaVu Sans Mono" w:hAnsi="DejaVu Sans Mono" w:eastAsia="Noto Sans SC" w:cs="DejaVu Sans Mono"/>
          <w:color w:val="0B2545"/>
          <w:sz w:val="16"/>
        </w:rPr>
        <w:t>{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"id": "c-1",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"protocolVersion": 1,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"operation": "calculate",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"pointA": {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"type": "wgs84",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"longitude": 104.123456,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"latitude": 30.654321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},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"pointB": {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"type": "pixel",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"column": 182.5,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"row": 94.5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},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"speedMps": 10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>}</w:t>
      </w:r>
    </w:p>
    <w:p>
      <w:pPr>
        <w:pStyle w:val="CodeBlock"/>
        <w:keepLines/>
        <w:shd w:fill="F7F9FB" w:val="clear"/>
        <w:pBdr>
          <w:left w:val="single" w:sz="12" w:space="6" w:color="0F6B78"/>
        </w:pBdr>
      </w:pPr>
      <w:r>
        <w:rPr>
          <w:rFonts w:ascii="DejaVu Sans Mono" w:hAnsi="DejaVu Sans Mono" w:eastAsia="Noto Sans SC" w:cs="DejaVu Sans Mono"/>
          <w:color w:val="0B2545"/>
          <w:sz w:val="16"/>
        </w:rPr>
        <w:t>{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"id": "c-1",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"success": true,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"data": {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"pointA": {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  "longitude": 104.123456,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  "latitude": 30.654321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},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"pointB": {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  "longitude": 104.128901,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  "latitude": 30.658765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},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"distanceMeters": 718.432198,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"exactSeconds": 71.8432198,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"roundedSeconds": 72,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"duration": "00:01:12"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}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>}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4.6 shutdown</w:t>
      </w:r>
    </w:p>
    <w:p>
      <w:r>
        <w:rPr>
          <w:rFonts w:ascii="Calibri" w:hAnsi="Calibri" w:eastAsia="Noto Sans SC" w:cs="Calibri"/>
          <w:color w:val="1F2933"/>
          <w:sz w:val="22"/>
        </w:rPr>
        <w:t>shutdown 成功响应写出并 flush 后，引擎释放当前地图、关闭资源并以退出码 0 正常退出。</w:t>
      </w:r>
    </w:p>
    <w:p>
      <w:pPr>
        <w:pStyle w:val="CodeBlock"/>
        <w:keepLines/>
        <w:shd w:fill="F7F9FB" w:val="clear"/>
        <w:pBdr>
          <w:left w:val="single" w:sz="12" w:space="6" w:color="0F6B78"/>
        </w:pBdr>
      </w:pPr>
      <w:r>
        <w:rPr>
          <w:rFonts w:ascii="DejaVu Sans Mono" w:hAnsi="DejaVu Sans Mono" w:eastAsia="Noto Sans SC" w:cs="DejaVu Sans Mono"/>
          <w:color w:val="0B2545"/>
          <w:sz w:val="16"/>
        </w:rPr>
        <w:t>{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"id": "s-1",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"protocolVersion": 1,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"operation": "shutdown"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>}</w:t>
      </w:r>
    </w:p>
    <w:p>
      <w:pPr>
        <w:pStyle w:val="CodeBlock"/>
        <w:keepLines/>
        <w:shd w:fill="F7F9FB" w:val="clear"/>
        <w:pBdr>
          <w:left w:val="single" w:sz="12" w:space="6" w:color="0F6B78"/>
        </w:pBdr>
      </w:pPr>
      <w:r>
        <w:rPr>
          <w:rFonts w:ascii="DejaVu Sans Mono" w:hAnsi="DejaVu Sans Mono" w:eastAsia="Noto Sans SC" w:cs="DejaVu Sans Mono"/>
          <w:color w:val="0B2545"/>
          <w:sz w:val="16"/>
        </w:rPr>
        <w:t>{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"id": "s-1",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"success": true,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"data": {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"state": "TERMINATING"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}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>}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SC" w:cs="Calibri"/>
          <w:b/>
          <w:color w:val="2E74B5"/>
          <w:sz w:val="32"/>
        </w:rPr>
        <w:t>5. 坐标与计算口径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5.1 三类输入坐标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0D8"/>
          <w:left w:val="single" w:sz="4" w:space="0" w:color="C9D0D8"/>
          <w:bottom w:val="single" w:sz="4" w:space="0" w:color="C9D0D8"/>
          <w:right w:val="single" w:sz="4" w:space="0" w:color="C9D0D8"/>
          <w:insideH w:val="single" w:sz="4" w:space="0" w:color="C9D0D8"/>
          <w:insideV w:val="single" w:sz="4" w:space="0" w:color="C9D0D8"/>
        </w:tblBorders>
      </w:tblPr>
      <w:tblGrid>
        <w:gridCol w:w="1500"/>
        <w:gridCol w:w="2500"/>
        <w:gridCol w:w="5360"/>
      </w:tblGrid>
      <w:tr>
        <w:trPr>
          <w:tblHeader w:val="true"/>
        </w:trPr>
        <w:tc>
          <w:tcPr>
            <w:tcW w:type="dxa" w:w="15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25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53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语义与校验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wgs84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longitude / latitude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EPSG:4326；经度在 [-180,180]、纬度在 [-90,90]；转入地图 CRS 后校验影像范围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map_crs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x / y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当前 GeoTIFF 原始 CRS 坐标；必须为有限数值，并经逆仿射校验影像范围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pixel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column / row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左上角为原点、零基、可为小数；0≤column&lt;width 且 0≤row&lt;height</w:t>
            </w:r>
          </w:p>
        </w:tc>
      </w:tr>
    </w:tbl>
    <w:p>
      <w:pPr>
        <w:spacing w:before="0" w:after="20"/>
      </w:pPr>
    </w:p>
    <w:p>
      <w:pPr>
        <w:keepLines/>
        <w:spacing w:before="100" w:after="180" w:line="264" w:lineRule="auto"/>
        <w:ind w:left="173" w:right="115"/>
        <w:shd w:fill="FFF8E8" w:val="clear"/>
        <w:pBdr>
          <w:left w:val="single" w:sz="18" w:space="8" w:color="7A5A00"/>
        </w:pBdr>
      </w:pPr>
      <w:r>
        <w:rPr>
          <w:rFonts w:ascii="Calibri" w:hAnsi="Calibri" w:eastAsia="Noto Sans SC" w:cs="Calibri"/>
          <w:b/>
          <w:color w:val="7A5A00"/>
          <w:sz w:val="21"/>
        </w:rPr>
        <w:t xml:space="preserve">像素口径  </w:t>
      </w:r>
      <w:r>
        <w:rPr>
          <w:rFonts w:ascii="Calibri" w:hAnsi="Calibri" w:eastAsia="Noto Sans SC" w:cs="Calibri"/>
          <w:color w:val="1F2933"/>
          <w:sz w:val="21"/>
        </w:rPr>
        <w:t>pixel 使用连续栅格坐标，仿射变换直接作用于 column/row，不自动增加 0.5。若调用方表达某个整数像素的中心，应显式传入 column+0.5、row+0.5。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5.2 统一转换链路</w:t>
      </w:r>
    </w:p>
    <w:p>
      <w:r>
        <w:rPr>
          <w:rFonts w:ascii="Calibri" w:hAnsi="Calibri" w:eastAsia="Noto Sans SC" w:cs="Calibri"/>
          <w:color w:val="1F2933"/>
          <w:sz w:val="22"/>
        </w:rPr>
        <w:t>所有点最终归一化为 WGS84 经度/纬度，再参与测地线计算。转换链路如下：</w:t>
      </w:r>
    </w:p>
    <w:p>
      <w:pPr>
        <w:pStyle w:val="CodeBlock"/>
        <w:keepLines/>
        <w:shd w:fill="F7F9FB" w:val="clear"/>
        <w:pBdr>
          <w:left w:val="single" w:sz="12" w:space="6" w:color="0F6B78"/>
        </w:pBdr>
      </w:pPr>
      <w:r>
        <w:rPr>
          <w:rFonts w:ascii="DejaVu Sans Mono" w:hAnsi="DejaVu Sans Mono" w:eastAsia="Noto Sans SC" w:cs="DejaVu Sans Mono"/>
          <w:color w:val="0B2545"/>
          <w:sz w:val="16"/>
        </w:rPr>
        <w:t>pixel → GeoTIFF 仿射变换 → map_crs → EPSG:4326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>map_crs → CRS 转换（always_xy=True） → EPSG:4326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>wgs84 → 地图 CRS → 逆仿射范围校验 → 保留原始 EPSG:4326</w:t>
      </w:r>
    </w:p>
    <w:p>
      <w:r>
        <w:rPr>
          <w:rFonts w:ascii="Calibri" w:hAnsi="Calibri" w:eastAsia="Noto Sans SC" w:cs="Calibri"/>
          <w:color w:val="1F2933"/>
          <w:sz w:val="22"/>
        </w:rPr>
        <w:t>CRS 轴顺序固定为 x/y；经纬度固定为 longitude/latitude。内部计算使用浮点完整精度，响应中的数值不得先按 UI 显示精度截断。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5.3 距离规则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distanceMeters 为 A/B 两点在 WGS84 椭球面上的二维水平测地线距离，单位米。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计算口径与 V1.2 一致：pyproj.Geod(ellps='WGS84').inv；不得改用像素距离、投影平面勾股或经纬度勾股。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A/B 为同一点时 distanceMeters=0，为合法结果。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响应保留双精度数值；显示格式由 Java 系统决定，Java 不得从格式化文本反推原始距离。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5.4 速度与时间规则</w:t>
      </w:r>
    </w:p>
    <w:p>
      <w:pPr>
        <w:pStyle w:val="CodeBlock"/>
        <w:keepLines/>
        <w:shd w:fill="F7F9FB" w:val="clear"/>
        <w:pBdr>
          <w:left w:val="single" w:sz="12" w:space="6" w:color="0F6B78"/>
        </w:pBdr>
      </w:pPr>
      <w:r>
        <w:rPr>
          <w:rFonts w:ascii="DejaVu Sans Mono" w:hAnsi="DejaVu Sans Mono" w:eastAsia="Noto Sans SC" w:cs="DejaVu Sans Mono"/>
          <w:color w:val="0B2545"/>
          <w:sz w:val="16"/>
        </w:rPr>
        <w:t>speedMps ∈ {1, 2, …, 99}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>exactSeconds = distanceMeters / speedMps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>roundedSeconds = ceil(exactSeconds)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>duration = HH:MM:SS，由同一个 roundedSeconds 逐级 divmod 生成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speedMps 必须是 JSON 整数 1–99，不接收字符串、浮点数、科学计数法、NaN 或 Infinity。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roundedSeconds≤359999 时返回整数秒和 HH:MM:SS；roundedSeconds≥360000 时返回 E_TIME_LIMIT。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同一点时 exactSeconds=0、roundedSeconds=0、duration=00:00:00。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不考虑起飞、降落、加减速、风速、高程、障碍物、路径绕行或姿态。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5.5 响应数据稳定性</w:t>
      </w:r>
    </w:p>
    <w:p>
      <w:pPr>
        <w:keepLines/>
        <w:spacing w:before="100" w:after="180" w:line="264" w:lineRule="auto"/>
        <w:ind w:left="173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Noto Sans SC" w:cs="Calibri"/>
          <w:b/>
          <w:color w:val="2E74B5"/>
          <w:sz w:val="21"/>
        </w:rPr>
        <w:t xml:space="preserve">公共字段  </w:t>
      </w:r>
      <w:r>
        <w:rPr>
          <w:rFonts w:ascii="Calibri" w:hAnsi="Calibri" w:eastAsia="Noto Sans SC" w:cs="Calibri"/>
          <w:color w:val="1F2933"/>
          <w:sz w:val="21"/>
        </w:rPr>
        <w:t>协议 V1 的成功 calculate 响应固定返回归一化 pointA/pointB、distanceMeters、exactSeconds、roundedSeconds、duration。新增必填字段或改变字段含义必须升级协议版本。</w:t>
      </w:r>
    </w:p>
    <w:p>
      <w:pPr>
        <w:pStyle w:val="Heading1"/>
      </w:pPr>
      <w:r>
        <w:rPr>
          <w:rFonts w:ascii="Calibri" w:hAnsi="Calibri" w:eastAsia="Noto Sans SC" w:cs="Calibri"/>
          <w:b/>
          <w:color w:val="2E74B5"/>
          <w:sz w:val="32"/>
        </w:rPr>
        <w:t>6. 错误模型与原子性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6.1 冻结错误码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0D8"/>
          <w:left w:val="single" w:sz="4" w:space="0" w:color="C9D0D8"/>
          <w:bottom w:val="single" w:sz="4" w:space="0" w:color="C9D0D8"/>
          <w:right w:val="single" w:sz="4" w:space="0" w:color="C9D0D8"/>
          <w:insideH w:val="single" w:sz="4" w:space="0" w:color="C9D0D8"/>
          <w:insideV w:val="single" w:sz="4" w:space="0" w:color="C9D0D8"/>
        </w:tblBorders>
      </w:tblPr>
      <w:tblGrid>
        <w:gridCol w:w="2900"/>
        <w:gridCol w:w="4000"/>
        <w:gridCol w:w="2460"/>
      </w:tblGrid>
      <w:tr>
        <w:trPr>
          <w:tblHeader w:val="true"/>
        </w:trPr>
        <w:tc>
          <w:tcPr>
            <w:tcW w:type="dxa" w:w="29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错误码</w:t>
            </w:r>
          </w:p>
        </w:tc>
        <w:tc>
          <w:tcPr>
            <w:tcW w:type="dxa" w:w="40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触发条件</w:t>
            </w:r>
          </w:p>
        </w:tc>
        <w:tc>
          <w:tcPr>
            <w:tcW w:type="dxa" w:w="24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状态影响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E_PROTOCOL_INVALID_JSON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输入行不是有效 JSON 对象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当前地图不变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E_PROTOCOL_VERSION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protocolVersion 不是 1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当前地图不变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E_OPERATION_UNKNOWN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operation 不受支持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当前地图不变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E_REQUEST_INVALID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缺字段、字段类型错误或 id 非法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当前地图不变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E_MAP_NOT_LOADED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未加载地图即 calculate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无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E_MAP_NOT_FOUND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路径不存在、非文件或不可读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旧地图原子保留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E_MAP_OPEN_FAILED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文件损坏或不是可读 GeoTIFF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旧地图原子保留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E_MAP_CRS_MISSING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GeoTIFF 无有效 CRS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旧地图原子保留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E_MAP_TRANSFORM_INVALID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仿射变换缺失、不可逆或无效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旧地图原子保留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E_POINT_TYPE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坐标 type 不支持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当前地图不变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E_POINT_INVALID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坐标缺失、非数值或超合法范围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当前地图不变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E_POINT_OUT_OF_BOUNDS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点位不在当前影像范围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当前地图不变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E_CRS_TRANSFORM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坐标系转换失败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当前地图不变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E_SPEED_INVALID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speedMps 不是 1–99 整数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当前地图不变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E_TIME_LIMIT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roundedSeconds≥360000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距离计算有效，但本次请求失败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E_CALCULATION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测地线或时间计算失败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当前地图不变</w:t>
            </w:r>
          </w:p>
        </w:tc>
      </w:tr>
      <w:t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E_INTERNAL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未分类内部错误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不泄露堆栈；进程尽量继续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6.2 错误响应原则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只返回稳定错误码与可读 message；message 可优化措辞，业务逻辑必须依据 code 判断。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可识别 id 时原样返回；无法识别时 id 为 null。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load_map 只有完成所有校验后才替换当前地图；任何加载失败均保留旧地图。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calculate 失败不改变当前地图，不产生磁盘数据，也不缓存 A/B 或结果。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stdout 发生非 JSON 输出视为发布阻断缺陷。</w:t>
      </w:r>
    </w:p>
    <w:p>
      <w:pPr>
        <w:pStyle w:val="Heading1"/>
      </w:pPr>
      <w:r>
        <w:rPr>
          <w:rFonts w:ascii="Calibri" w:hAnsi="Calibri" w:eastAsia="Noto Sans SC" w:cs="Calibri"/>
          <w:b/>
          <w:color w:val="2E74B5"/>
          <w:sz w:val="32"/>
        </w:rPr>
        <w:t>7. Nuitka 构建与逆向防护</w:t>
      </w:r>
    </w:p>
    <w:p>
      <w:pPr>
        <w:keepLines/>
        <w:spacing w:before="100" w:after="180" w:line="264" w:lineRule="auto"/>
        <w:ind w:left="173" w:right="115"/>
        <w:shd w:fill="FBEFF0" w:val="clear"/>
        <w:pBdr>
          <w:left w:val="single" w:sz="18" w:space="8" w:color="9B1C1C"/>
        </w:pBdr>
      </w:pPr>
      <w:r>
        <w:rPr>
          <w:rFonts w:ascii="Calibri" w:hAnsi="Calibri" w:eastAsia="Noto Sans SC" w:cs="Calibri"/>
          <w:b/>
          <w:color w:val="9B1C1C"/>
          <w:sz w:val="21"/>
        </w:rPr>
        <w:t xml:space="preserve">安全目标  </w:t>
      </w:r>
      <w:r>
        <w:rPr>
          <w:rFonts w:ascii="Calibri" w:hAnsi="Calibri" w:eastAsia="Noto Sans SC" w:cs="Calibri"/>
          <w:color w:val="1F2933"/>
          <w:sz w:val="21"/>
        </w:rPr>
        <w:t>目标是避免直接交付 .py/.pyc 并显著提高恢复 Python 工程的成本；任何在客户机器上运行的程序都不能承诺绝对不可逆向。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7.1 冻结构建方式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以无界面 worker_main.py 为唯一入口，使用 Nuitka --mode=standalone。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Windows x64 与 Linux x64 必须分别在目标平台构建和验收，不进行跨平台复用。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不采用 onefile；整个 .dist 软件目录作为程序本体交付。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Python 具体版本跟随样品工程中可稳定运行且可成功编译的版本，不形成客户侧要求。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rasterio、pyproj、NumPy 及其必要原生库和 CRS 数据属于软件本体；不得因精简目录而擅自删除。</w:t>
      </w:r>
    </w:p>
    <w:p>
      <w:pPr>
        <w:pStyle w:val="CodeBlock"/>
        <w:keepLines/>
        <w:shd w:fill="F7F9FB" w:val="clear"/>
        <w:pBdr>
          <w:left w:val="single" w:sz="12" w:space="6" w:color="0F6B78"/>
        </w:pBdr>
      </w:pPr>
      <w:r>
        <w:rPr>
          <w:rFonts w:ascii="DejaVu Sans Mono" w:hAnsi="DejaVu Sans Mono" w:eastAsia="Noto Sans SC" w:cs="DejaVu Sans Mono"/>
          <w:color w:val="0B2545"/>
          <w:sz w:val="16"/>
        </w:rPr>
        <w:t>&lt;project-python&gt; -m nuitka --mode=standalone \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--output-filename=drone-range-worker \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worker_main.py</w:t>
      </w:r>
    </w:p>
    <w:p>
      <w:pPr>
        <w:pStyle w:val="SmallNote"/>
      </w:pPr>
      <w:r>
        <w:rPr>
          <w:rFonts w:ascii="Calibri" w:hAnsi="Calibri" w:eastAsia="Noto Sans SC" w:cs="Calibri"/>
          <w:color w:val="5B6770"/>
          <w:sz w:val="18"/>
        </w:rPr>
        <w:t>说明：依赖收集参数由实际工程和编译报告确定；上式仅冻结编译模式与入口，不替代构建验证。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7.2 发布加固要求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有合法 Nuitka Commercial 授权时启用其常量/数据保护能力；没有授权时仍必须满足本节其余发布门槛。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发布构建禁用调试模式；Linux 剥离非必要符号；Windows 不交付 PDB、MAP 或编译器中间文件。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不在代码或资源中嵌入账号、密钥、数据库连接、真实地图、真实坐标或客户信息。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发布错误只返回错误码和必要描述；不输出 traceback、绝对源码路径、函数源码或依赖枚举。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软件目录执行白名单审计；发现 .py、.pyc、测试、样本、构建报告、缓存或 Git 信息即阻断发布。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计算引擎不主动联网，不打开端口，不上传地图或结果。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7.3 外发目录扫描阻断项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0D8"/>
          <w:left w:val="single" w:sz="4" w:space="0" w:color="C9D0D8"/>
          <w:bottom w:val="single" w:sz="4" w:space="0" w:color="C9D0D8"/>
          <w:right w:val="single" w:sz="4" w:space="0" w:color="C9D0D8"/>
          <w:insideH w:val="single" w:sz="4" w:space="0" w:color="C9D0D8"/>
          <w:insideV w:val="single" w:sz="4" w:space="0" w:color="C9D0D8"/>
        </w:tblBorders>
      </w:tblPr>
      <w:tblGrid>
        <w:gridCol w:w="1900"/>
        <w:gridCol w:w="4200"/>
        <w:gridCol w:w="3260"/>
      </w:tblGrid>
      <w:tr>
        <w:trPr>
          <w:tblHeader w:val="true"/>
        </w:trPr>
        <w:tc>
          <w:tcPr>
            <w:tcW w:type="dxa" w:w="19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类别</w:t>
            </w:r>
          </w:p>
        </w:tc>
        <w:tc>
          <w:tcPr>
            <w:tcW w:type="dxa" w:w="42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禁止出现</w:t>
            </w:r>
          </w:p>
        </w:tc>
        <w:tc>
          <w:tcPr>
            <w:tcW w:type="dxa" w:w="32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处理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源码/字节码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.py、.pyc、.pyo、源码压缩包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阻断发布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调试/构建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.pdb、.map、build/、编译报告、日志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阻断发布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工程资产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.git、IDE 配置、测试代码、CI 文件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阻断发布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业务数据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地图、真实路径、真实坐标、数据库配置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阻断发布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内部文档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本设计、PRD、架构图、测试报告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阻断发布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运行必需库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DLL/SO、PROJ/GDAL 数据、证书库（如必需）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保留并验证</w:t>
            </w:r>
          </w:p>
        </w:tc>
      </w:tr>
    </w:tbl>
    <w:p>
      <w:pPr>
        <w:spacing w:before="0" w:after="20"/>
      </w:pPr>
    </w:p>
    <w:p>
      <w:pPr>
        <w:pStyle w:val="Heading1"/>
      </w:pPr>
      <w:r>
        <w:rPr>
          <w:rFonts w:ascii="Calibri" w:hAnsi="Calibri" w:eastAsia="Noto Sans SC" w:cs="Calibri"/>
          <w:b/>
          <w:color w:val="2E74B5"/>
          <w:sz w:val="32"/>
        </w:rPr>
        <w:t>8. Java 21 集成约束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8.1 ProcessBuilder 使用规则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通过参数列表传入可执行文件路径，不拼接 shell 命令；工作目录设置为软件目录。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保持 redirectErrorStream(false)，stdout 与 stderr 必须由不同读取任务持续消费。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BufferedWriter/BufferedReader 均使用 StandardCharsets.UTF_8。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每个请求以单行 JSON 写入 stdin，追加换行并 flush；读取 stdout 时一行对应一个响应。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Java 用单队列或锁保证串行请求；不允许多个线程直接交叉写入同一 stdin。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业务结束先发送 shutdown；进程不退出时再 destroy，仍不退出才 destroyForcibly。</w:t>
      </w:r>
    </w:p>
    <w:p>
      <w:r>
        <w:br w:type="page"/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8.2 调用示例的最低内容</w:t>
      </w:r>
    </w:p>
    <w:p>
      <w:r>
        <w:rPr>
          <w:rFonts w:ascii="Calibri" w:hAnsi="Calibri" w:eastAsia="Noto Sans SC" w:cs="Calibri"/>
          <w:color w:val="1F2933"/>
          <w:sz w:val="22"/>
        </w:rPr>
        <w:t>最终外发的 ProcessBuilderDemo.java 只演示以下五件事，不嵌入内部包名、真实路径、真实坐标或业务数据库代码：</w:t>
      </w:r>
    </w:p>
    <w:p>
      <w:pPr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按 Windows/Linux 选择可执行文件并启动进程。</w:t>
      </w:r>
    </w:p>
    <w:p>
      <w:pPr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独立读取 stdout 与 stderr。</w:t>
      </w:r>
    </w:p>
    <w:p>
      <w:pPr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依次发送 hello、load_map、三类坐标的 calculate 示例。</w:t>
      </w:r>
    </w:p>
    <w:p>
      <w:pPr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按 id 读取并打印响应，展示连续调用。</w:t>
      </w:r>
    </w:p>
    <w:p>
      <w:pPr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发送 shutdown 并等待退出。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8.3 并发与故障边界</w:t>
      </w:r>
    </w:p>
    <w:p>
      <w:pPr>
        <w:keepLines/>
        <w:spacing w:before="100" w:after="180" w:line="264" w:lineRule="auto"/>
        <w:ind w:left="173" w:right="115"/>
        <w:shd w:fill="FFF8E8" w:val="clear"/>
        <w:pBdr>
          <w:left w:val="single" w:sz="18" w:space="8" w:color="7A5A00"/>
        </w:pBdr>
      </w:pPr>
      <w:r>
        <w:rPr>
          <w:rFonts w:ascii="Calibri" w:hAnsi="Calibri" w:eastAsia="Noto Sans SC" w:cs="Calibri"/>
          <w:b/>
          <w:color w:val="7A5A00"/>
          <w:sz w:val="21"/>
        </w:rPr>
        <w:t xml:space="preserve">串行保证  </w:t>
      </w:r>
      <w:r>
        <w:rPr>
          <w:rFonts w:ascii="Calibri" w:hAnsi="Calibri" w:eastAsia="Noto Sans SC" w:cs="Calibri"/>
          <w:color w:val="1F2933"/>
          <w:sz w:val="21"/>
        </w:rPr>
        <w:t>协议 V1 不支持请求并发。若客户系统存在多个业务线程，Java 适配层必须统一排队；如未来需要并发，应由 Java 启动多个相互独立的工作进程，而不是复用同一 stdin/stdout。</w:t>
      </w:r>
    </w:p>
    <w:p>
      <w:pPr>
        <w:pStyle w:val="Heading1"/>
      </w:pPr>
      <w:r>
        <w:rPr>
          <w:rFonts w:ascii="Calibri" w:hAnsi="Calibri" w:eastAsia="Noto Sans SC" w:cs="Calibri"/>
          <w:b/>
          <w:color w:val="2E74B5"/>
          <w:sz w:val="32"/>
        </w:rPr>
        <w:t>9. 极简交付白名单</w:t>
      </w:r>
    </w:p>
    <w:p>
      <w:pPr>
        <w:keepLines/>
        <w:spacing w:before="100" w:after="180" w:line="264" w:lineRule="auto"/>
        <w:ind w:left="173" w:right="115"/>
        <w:shd w:fill="FBEFF0" w:val="clear"/>
        <w:pBdr>
          <w:left w:val="single" w:sz="18" w:space="8" w:color="9B1C1C"/>
        </w:pBdr>
      </w:pPr>
      <w:r>
        <w:rPr>
          <w:rFonts w:ascii="Calibri" w:hAnsi="Calibri" w:eastAsia="Noto Sans SC" w:cs="Calibri"/>
          <w:b/>
          <w:color w:val="9B1C1C"/>
          <w:sz w:val="21"/>
        </w:rPr>
        <w:t xml:space="preserve">外发原则  </w:t>
      </w:r>
      <w:r>
        <w:rPr>
          <w:rFonts w:ascii="Calibri" w:hAnsi="Calibri" w:eastAsia="Noto Sans SC" w:cs="Calibri"/>
          <w:color w:val="1F2933"/>
          <w:sz w:val="21"/>
        </w:rPr>
        <w:t>交付包采用白名单生成，不从开发目录直接压缩。白名单之外的任何文件默认禁止进入交付包。</w:t>
      </w:r>
    </w:p>
    <w:p>
      <w:pPr>
        <w:pStyle w:val="CodeBlock"/>
        <w:keepLines/>
        <w:shd w:fill="F7F9FB" w:val="clear"/>
        <w:pBdr>
          <w:left w:val="single" w:sz="12" w:space="6" w:color="0F6B78"/>
        </w:pBdr>
      </w:pPr>
      <w:r>
        <w:rPr>
          <w:rFonts w:ascii="DejaVu Sans Mono" w:hAnsi="DejaVu Sans Mono" w:eastAsia="Noto Sans SC" w:cs="DejaVu Sans Mono"/>
          <w:color w:val="0B2545"/>
          <w:sz w:val="16"/>
        </w:rPr>
        <w:t>delivery/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>├── software/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>│   ├── windows-x64/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>│   │   └── drone-range-worker/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>│   └── linux-x64/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>│       └── drone-range-worker/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>├── java-example/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>│   └── ProcessBuilderDemo.java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>└── json-example/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├── requests.ndjson</w:t>
        <w:br/>
      </w:r>
      <w:r>
        <w:rPr>
          <w:rFonts w:ascii="DejaVu Sans Mono" w:hAnsi="DejaVu Sans Mono" w:eastAsia="Noto Sans SC" w:cs="DejaVu Sans Mono"/>
          <w:color w:val="0B2545"/>
          <w:sz w:val="16"/>
        </w:rPr>
        <w:t xml:space="preserve">    └── responses.ndjson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9.1 允许交付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0D8"/>
          <w:left w:val="single" w:sz="4" w:space="0" w:color="C9D0D8"/>
          <w:bottom w:val="single" w:sz="4" w:space="0" w:color="C9D0D8"/>
          <w:right w:val="single" w:sz="4" w:space="0" w:color="C9D0D8"/>
          <w:insideH w:val="single" w:sz="4" w:space="0" w:color="C9D0D8"/>
          <w:insideV w:val="single" w:sz="4" w:space="0" w:color="C9D0D8"/>
        </w:tblBorders>
      </w:tblPr>
      <w:tblGrid>
        <w:gridCol w:w="2600"/>
        <w:gridCol w:w="3500"/>
        <w:gridCol w:w="3260"/>
      </w:tblGrid>
      <w:tr>
        <w:trPr>
          <w:tblHeader w:val="true"/>
        </w:trPr>
        <w:tc>
          <w:tcPr>
            <w:tcW w:type="dxa" w:w="26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目录/文件</w:t>
            </w:r>
          </w:p>
        </w:tc>
        <w:tc>
          <w:tcPr>
            <w:tcW w:type="dxa" w:w="35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允许内容</w:t>
            </w:r>
          </w:p>
        </w:tc>
        <w:tc>
          <w:tcPr>
            <w:tcW w:type="dxa" w:w="32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限制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software/windows-x64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Windows Nuitka standalone 运行目录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仅程序运行必需文件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software/linux-x64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Linux Nuitka standalone 运行目录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仅程序运行必需文件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ProcessBuilderDemo.java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Java 21 原生调用示例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虚构路径与坐标，不含业务包名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requests.ndjson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完整请求示例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仅虚构数据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responses.ndjson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对应成功/错误响应示例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仅虚构数据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9.2 禁止交付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Python 源码、requirements、构建脚本、Nuitka 配置、编译报告和中间目录。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本技术设计、产品需求、算法说明、验收报告、缺陷记录和内部 README。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测试代码、测试地图、真实坐标、真实文件路径、日志、崩溃转储和性能数据。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数据库表结构、连接配置、账号、密钥、证书私钥或客户身份信息。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Git 历史、分支、提交信息、开发者姓名、机器路径和 IDE 配置。</w:t>
      </w:r>
    </w:p>
    <w:p>
      <w:r>
        <w:rPr>
          <w:rFonts w:ascii="Calibri" w:hAnsi="Calibri" w:eastAsia="Noto Sans SC" w:cs="Calibri"/>
          <w:b/>
          <w:color w:val="0B2545"/>
          <w:sz w:val="22"/>
        </w:rPr>
        <w:t>法律例外：</w:t>
      </w:r>
      <w:r>
        <w:rPr>
          <w:rFonts w:ascii="Calibri" w:hAnsi="Calibri" w:eastAsia="Noto Sans SC" w:cs="Calibri"/>
          <w:color w:val="1F2933"/>
          <w:sz w:val="22"/>
        </w:rPr>
        <w:t>若第三方依赖许可证强制要求随软件附带许可文本，可在 software 目录内保留最小必要的 LICENSE/NOTICE；许可文件不得夹带内部说明或业务数据。</w:t>
      </w:r>
    </w:p>
    <w:p>
      <w:pPr>
        <w:pStyle w:val="Heading1"/>
      </w:pPr>
      <w:r>
        <w:rPr>
          <w:rFonts w:ascii="Calibri" w:hAnsi="Calibri" w:eastAsia="Noto Sans SC" w:cs="Calibri"/>
          <w:b/>
          <w:color w:val="2E74B5"/>
          <w:sz w:val="32"/>
        </w:rPr>
        <w:t>10. 实现与验收计划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10.1 实现顺序</w:t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从现有 Python 样品抽取无 GUI 的地图加载、坐标转换、距离与时间核心。</w:t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新增 worker_main.py 与严格的 stdin/stdout NDJSON 循环。</w:t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实现状态机、原子 load_map、三类坐标解析和冻结错误码。</w:t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编写协议级自动化测试，并与 V1.2 基准结果交叉验证。</w:t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以 Nuitka standalone 分别生成 Windows/Linux 软件目录。</w:t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在未安装 Python 的干净目标机运行 Java 21 示例。</w:t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按白名单组装交付包，执行源代码/数据/元数据泄露扫描。</w:t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完成验收记录后封存内部构建产物，仅外发白名单目录。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10.2 必须通过的验收用例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0D8"/>
          <w:left w:val="single" w:sz="4" w:space="0" w:color="C9D0D8"/>
          <w:bottom w:val="single" w:sz="4" w:space="0" w:color="C9D0D8"/>
          <w:right w:val="single" w:sz="4" w:space="0" w:color="C9D0D8"/>
          <w:insideH w:val="single" w:sz="4" w:space="0" w:color="C9D0D8"/>
          <w:insideV w:val="single" w:sz="4" w:space="0" w:color="C9D0D8"/>
        </w:tblBorders>
      </w:tblPr>
      <w:tblGrid>
        <w:gridCol w:w="1100"/>
        <w:gridCol w:w="3000"/>
        <w:gridCol w:w="5260"/>
      </w:tblGrid>
      <w:tr>
        <w:trPr>
          <w:tblHeader w:val="true"/>
        </w:trPr>
        <w:tc>
          <w:tcPr>
            <w:tcW w:type="dxa" w:w="11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编号</w:t>
            </w:r>
          </w:p>
        </w:tc>
        <w:tc>
          <w:tcPr>
            <w:tcW w:type="dxa" w:w="30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用例</w:t>
            </w:r>
          </w:p>
        </w:tc>
        <w:tc>
          <w:tcPr>
            <w:tcW w:type="dxa" w:w="52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通过标准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AC-I01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Java 21 启动与 hello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无 Python 环境可启动；版本与状态正确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AC-I02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合法 GeoTIFF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load_map 成功并返回 CRS/尺寸/波段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AC-I03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无效/无 CRS/无效仿射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返回稳定错误码且旧地图保留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AC-I04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WGS84 / map_crs / pixel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三类坐标及 A/B 混用均可计算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AC-I05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影像范围外点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返回 E_POINT_OUT_OF_BOUNDS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AC-I06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距离正确性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与 pyproj.Geod 基准差异≤0.5 m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AC-I07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速度边界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1、99 合法；0、100、小数、字符串非法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AC-I08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同一点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距离/精确秒/整数秒均为 0，时间 00:00:00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AC-I09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99 小时上限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≥360000 秒返回 E_TIME_LIMIT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AC-I10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单地图连续调用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同一地图连续 100 次计算无重载、无串线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AC-I11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切换地图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成功原子替换；失败保留旧地图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AC-I12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协议异常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错误 JSON/版本/操作/字段返回对应错误码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AC-I13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通道纯净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stdout 每行均为协议 JSON；日志仅在 stderr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AC-I14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进程恢复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异常退出后 Java 可重启、握手、重载并继续</w:t>
            </w:r>
          </w:p>
        </w:tc>
      </w:tr>
      <w:t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AC-I15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发布扫描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交付包无源码、真实数据、调试和工程材料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10.3 发布完成定义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AC-I01 至 AC-I15 全部通过，且 Windows/Linux 各有独立验收记录。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Java 21 示例可在目标机连续完成 hello→load_map→多次 calculate→shutdown。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目标机未安装 Python，计算进程仍可独立运行。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Nuitka 软件目录中的地理原生库与 CRS 数据完整，三类坐标结果与源码运行基准一致。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交付目录结构与第 9 章完全一致，白名单外文件数量为 0。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发布压缩包的 SHA-256 在内部留存；是否随外包发送由交付负责人决定，不属于默认外发白名单。</w:t>
      </w:r>
    </w:p>
    <w:p>
      <w:pPr>
        <w:pStyle w:val="Heading1"/>
      </w:pPr>
      <w:r>
        <w:rPr>
          <w:rFonts w:ascii="Calibri" w:hAnsi="Calibri" w:eastAsia="Noto Sans SC" w:cs="Calibri"/>
          <w:b/>
          <w:color w:val="2E74B5"/>
          <w:sz w:val="32"/>
        </w:rPr>
        <w:t>11. 冻结与变更控制</w:t>
      </w:r>
    </w:p>
    <w:p>
      <w:pPr>
        <w:keepLines/>
        <w:spacing w:before="100" w:after="180" w:line="264" w:lineRule="auto"/>
        <w:ind w:left="173" w:right="115"/>
        <w:shd w:fill="FBEFF0" w:val="clear"/>
        <w:pBdr>
          <w:left w:val="single" w:sz="18" w:space="8" w:color="9B1C1C"/>
        </w:pBdr>
      </w:pPr>
      <w:r>
        <w:rPr>
          <w:rFonts w:ascii="Calibri" w:hAnsi="Calibri" w:eastAsia="Noto Sans SC" w:cs="Calibri"/>
          <w:b/>
          <w:color w:val="9B1C1C"/>
          <w:sz w:val="21"/>
        </w:rPr>
        <w:t xml:space="preserve">冻结生效  </w:t>
      </w:r>
      <w:r>
        <w:rPr>
          <w:rFonts w:ascii="Calibri" w:hAnsi="Calibri" w:eastAsia="Noto Sans SC" w:cs="Calibri"/>
          <w:color w:val="1F2933"/>
          <w:sz w:val="21"/>
        </w:rPr>
        <w:t>本方案自 2026-08-07 起冻结为 V1.0。后续开发、打包、Java 示例和验收均以本文件为唯一集成基线。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11.1 需要升级版本的变更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新增或删除 operation，修改请求/响应字段含义、坐标口径、距离公式、速度范围或时间上限。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从串行改为并发、从单地图改为多地图、从 stdio 改为 HTTP/gRPC，或改变进程生命周期。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改变外发白名单、允许交付源码/设计/数据，或新增数据库、网络、持久化职责。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改变 Windows/Linux 双平台交付或 Nuitka standalone 这一构建方式。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11.2 不触发协议升级的实现调整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不改变外部可见行为的代码重构、性能优化、依赖补丁和内部日志措辞调整。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不改变稳定 error.code 的 message 文案优化。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构建机 Python 版本或编译器版本变化，只要全部验收用例仍通过。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Noto Sans SC" w:cs="Calibri"/>
          <w:color w:val="1F2933"/>
          <w:sz w:val="22"/>
        </w:rPr>
        <w:t>Java 示例的代码排版或注释优化，只要五项最低示例内容不变。</w:t>
      </w:r>
    </w:p>
    <w:p>
      <w:pPr>
        <w:pStyle w:val="Heading2"/>
      </w:pPr>
      <w:r>
        <w:rPr>
          <w:rFonts w:ascii="Calibri" w:hAnsi="Calibri" w:eastAsia="Noto Sans SC" w:cs="Calibri"/>
          <w:b/>
          <w:color w:val="2E74B5"/>
          <w:sz w:val="26"/>
        </w:rPr>
        <w:t>11.3 冻结签署记录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0D8"/>
          <w:left w:val="single" w:sz="4" w:space="0" w:color="C9D0D8"/>
          <w:bottom w:val="single" w:sz="4" w:space="0" w:color="C9D0D8"/>
          <w:right w:val="single" w:sz="4" w:space="0" w:color="C9D0D8"/>
          <w:insideH w:val="single" w:sz="4" w:space="0" w:color="C9D0D8"/>
          <w:insideV w:val="single" w:sz="4" w:space="0" w:color="C9D0D8"/>
        </w:tblBorders>
      </w:tblPr>
      <w:tblGrid>
        <w:gridCol w:w="2200"/>
        <w:gridCol w:w="5200"/>
        <w:gridCol w:w="1960"/>
      </w:tblGrid>
      <w:tr>
        <w:trPr>
          <w:tblHeader w:val="true"/>
        </w:trPr>
        <w:tc>
          <w:tcPr>
            <w:tcW w:type="dxa" w:w="22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52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冻结结论</w:t>
            </w:r>
          </w:p>
        </w:tc>
        <w:tc>
          <w:tcPr>
            <w:tcW w:type="dxa" w:w="19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b/>
                <w:color w:val="0B2545"/>
                <w:sz w:val="19"/>
              </w:rPr>
              <w:t>状态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方案负责人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确认常驻子进程 + NDJSON + Nuitka standalone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已确认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交付边界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仅软件、Java 示例、JSON 示例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已确认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Java 基线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Java 21 ProcessBuilder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已确认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业务口径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默认兼容 V1.2 距离与时间规则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已确认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后续变更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先更新版本并重新冻结，再进入实现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C" w:cs="Calibri"/>
                <w:color w:val="1F2933"/>
                <w:sz w:val="18"/>
              </w:rPr>
              <w:t>强制</w:t>
            </w:r>
          </w:p>
        </w:tc>
      </w:tr>
    </w:tbl>
    <w:p>
      <w:pPr>
        <w:spacing w:before="0" w:after="20"/>
      </w:pPr>
    </w:p>
    <w:p>
      <w:pPr>
        <w:pStyle w:val="Heading1"/>
      </w:pPr>
      <w:r>
        <w:rPr>
          <w:rFonts w:ascii="Calibri" w:hAnsi="Calibri" w:eastAsia="Noto Sans SC" w:cs="Calibri"/>
          <w:b/>
          <w:color w:val="2E74B5"/>
          <w:sz w:val="32"/>
        </w:rPr>
        <w:t>附录 A：官方技术依据</w:t>
      </w:r>
    </w:p>
    <w:p>
      <w:r>
        <w:rPr>
          <w:rFonts w:ascii="Calibri" w:hAnsi="Calibri" w:eastAsia="Noto Sans SC" w:cs="Calibri"/>
          <w:color w:val="1F2933"/>
          <w:sz w:val="22"/>
        </w:rPr>
        <w:t>Oracle Java 21 ProcessBuilder API：</w:t>
      </w:r>
    </w:p>
    <w:p>
      <w:pPr>
        <w:pStyle w:val="CodeBlock"/>
        <w:keepLines/>
        <w:shd w:fill="F7F9FB" w:val="clear"/>
        <w:pBdr>
          <w:left w:val="single" w:sz="12" w:space="6" w:color="0F6B78"/>
        </w:pBdr>
      </w:pPr>
      <w:r>
        <w:rPr>
          <w:rFonts w:ascii="DejaVu Sans Mono" w:hAnsi="DejaVu Sans Mono" w:eastAsia="Noto Sans SC" w:cs="DejaVu Sans Mono"/>
          <w:color w:val="0B2545"/>
          <w:sz w:val="16"/>
        </w:rPr>
        <w:t>https://docs.oracle.com/en/java/javase/21/docs/api/java.base/java/lang/ProcessBuilder.html</w:t>
      </w:r>
    </w:p>
    <w:p>
      <w:r>
        <w:rPr>
          <w:rFonts w:ascii="Calibri" w:hAnsi="Calibri" w:eastAsia="Noto Sans SC" w:cs="Calibri"/>
          <w:color w:val="1F2933"/>
          <w:sz w:val="22"/>
        </w:rPr>
        <w:t>Nuitka 用户手册（standalone 模式与可分发程序）：</w:t>
      </w:r>
    </w:p>
    <w:p>
      <w:pPr>
        <w:pStyle w:val="CodeBlock"/>
        <w:keepLines/>
        <w:shd w:fill="F7F9FB" w:val="clear"/>
        <w:pBdr>
          <w:left w:val="single" w:sz="12" w:space="6" w:color="0F6B78"/>
        </w:pBdr>
      </w:pPr>
      <w:r>
        <w:rPr>
          <w:rFonts w:ascii="DejaVu Sans Mono" w:hAnsi="DejaVu Sans Mono" w:eastAsia="Noto Sans SC" w:cs="DejaVu Sans Mono"/>
          <w:color w:val="0B2545"/>
          <w:sz w:val="16"/>
        </w:rPr>
        <w:t>https://nuitka.net/user-documentation/user-manual.html</w:t>
      </w:r>
    </w:p>
    <w:p>
      <w:r>
        <w:rPr>
          <w:rFonts w:ascii="Calibri" w:hAnsi="Calibri" w:eastAsia="Noto Sans SC" w:cs="Calibri"/>
          <w:color w:val="1F2933"/>
          <w:sz w:val="22"/>
        </w:rPr>
        <w:t>Nuitka Commercial 常量数据保护说明：</w:t>
      </w:r>
    </w:p>
    <w:p>
      <w:pPr>
        <w:pStyle w:val="CodeBlock"/>
        <w:keepLines/>
        <w:shd w:fill="F7F9FB" w:val="clear"/>
        <w:pBdr>
          <w:left w:val="single" w:sz="12" w:space="6" w:color="0F6B78"/>
        </w:pBdr>
      </w:pPr>
      <w:r>
        <w:rPr>
          <w:rFonts w:ascii="DejaVu Sans Mono" w:hAnsi="DejaVu Sans Mono" w:eastAsia="Noto Sans SC" w:cs="DejaVu Sans Mono"/>
          <w:color w:val="0B2545"/>
          <w:sz w:val="16"/>
        </w:rPr>
        <w:t>https://nuitka.net/doc/commercial/protect-constants-data.html</w:t>
      </w:r>
    </w:p>
    <w:p>
      <w:pPr>
        <w:keepLines/>
        <w:spacing w:before="100" w:after="180" w:line="264" w:lineRule="auto"/>
        <w:ind w:left="173" w:right="115"/>
        <w:shd w:fill="FBEFF0" w:val="clear"/>
        <w:pBdr>
          <w:left w:val="single" w:sz="18" w:space="8" w:color="9B1C1C"/>
        </w:pBdr>
      </w:pPr>
      <w:r>
        <w:rPr>
          <w:rFonts w:ascii="Calibri" w:hAnsi="Calibri" w:eastAsia="Noto Sans SC" w:cs="Calibri"/>
          <w:b/>
          <w:color w:val="9B1C1C"/>
          <w:sz w:val="21"/>
        </w:rPr>
        <w:t xml:space="preserve">最终冻结结论  </w:t>
      </w:r>
      <w:r>
        <w:rPr>
          <w:rFonts w:ascii="Calibri" w:hAnsi="Calibri" w:eastAsia="Noto Sans SC" w:cs="Calibri"/>
          <w:color w:val="1F2933"/>
          <w:sz w:val="21"/>
        </w:rPr>
        <w:t>Java 21 负责业务编排、ZIP 解压、进程管理与数据存储；Nuitka 常驻计算引擎只负责一张 GeoTIFF 的坐标解析、WGS84 二维距离与恒速时间计算。双方仅通过 UTF-8 NDJSON 交互，对外仅发白名单极简包。</w:t>
      </w:r>
    </w:p>
    <w:sectPr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Noto Sans SC" w:cs="Calibri"/>
        <w:color w:val="5B6770"/>
        <w:sz w:val="17"/>
      </w:rPr>
      <w:t xml:space="preserve">第 </w:t>
    </w:r>
    <w:r>
      <w:rPr>
        <w:rFonts w:ascii="Calibri" w:hAnsi="Calibri" w:eastAsia="Noto Sans SC" w:cs="Calibri"/>
        <w:color w:val="5B677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Noto Sans SC" w:cs="Calibri"/>
        <w:color w:val="5B6770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Noto Sans SC" w:cs="Calibri"/>
        <w:color w:val="5B6770"/>
        <w:sz w:val="17"/>
      </w:rPr>
      <w:t>内部技术基线 · 不进入对外极简交付包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before="0" w:after="0"/>
    </w:pPr>
    <w:r>
      <w:rPr>
        <w:rFonts w:ascii="Calibri" w:hAnsi="Calibri" w:eastAsia="Noto Sans SC" w:cs="Calibri"/>
        <w:color w:val="5B6770"/>
        <w:sz w:val="17"/>
      </w:rPr>
      <w:t>无人机二维航程计算引擎 | Java 21 常驻子进程集成</w:t>
    </w:r>
    <w:r>
      <w:rPr>
        <w:rFonts w:ascii="Calibri" w:hAnsi="Calibri" w:eastAsia="Noto Sans SC" w:cs="Calibri"/>
        <w:b/>
        <w:color w:val="9B1C1C"/>
        <w:sz w:val="17"/>
      </w:rPr>
      <w:tab/>
      <w:t>FROZEN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SC" w:hAnsi="Noto Sans S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  <w:jc w:val="left"/>
    </w:pPr>
    <w:rPr>
      <w:rFonts w:ascii="Calibri" w:hAnsi="Calibri" w:eastAsia="Noto Sans SC" w:cs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Noto Sans SC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Noto Sans SC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Noto Sans SC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Noto Sans SC" w:cs="Calibri"/>
      <w:b/>
      <w:color w:val="0B254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280" w:line="240" w:lineRule="auto"/>
    </w:pPr>
    <w:rPr>
      <w:rFonts w:asciiTheme="majorHAnsi" w:eastAsiaTheme="majorEastAsia" w:hAnsiTheme="majorHAnsi" w:cstheme="majorBidi" w:ascii="Calibri" w:hAnsi="Calibri" w:eastAsia="Noto Sans SC" w:cs="Calibri"/>
      <w:b w:val="0"/>
      <w:i/>
      <w:iCs/>
      <w:color w:val="5B677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60" w:line="259" w:lineRule="auto"/>
      <w:ind w:left="202" w:right="115"/>
    </w:pPr>
    <w:rPr>
      <w:rFonts w:ascii="DejaVu Sans Mono" w:hAnsi="DejaVu Sans Mono" w:eastAsia="Noto Sans SC" w:cs="DejaVu Sans Mono"/>
      <w:color w:val="0B2545"/>
      <w:sz w:val="16"/>
    </w:rPr>
  </w:style>
  <w:style w:type="paragraph" w:customStyle="1" w:styleId="SmallNote">
    <w:name w:val="Small Note"/>
    <w:pPr>
      <w:spacing w:before="40" w:after="100" w:line="252" w:lineRule="auto"/>
    </w:pPr>
    <w:rPr>
      <w:rFonts w:ascii="Calibri" w:hAnsi="Calibri" w:eastAsia="Noto Sans SC" w:cs="Calibri"/>
      <w:color w:val="5B67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无人机二维航程计算引擎 Java 21 常驻子进程集成技术设计（冻结版）</dc:title>
  <dc:subject>Nuitka 常驻计算进程与 Java ProcessBuilder NDJSON 集成基线</dc:subject>
  <dc:creator/>
  <cp:keywords>Java 21, ProcessBuilder, NDJSON, Nuitka, GeoTIFF, frozen</cp:keywords>
  <dc:description>FROZEN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