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847B9">
      <w:pPr>
        <w:ind w:left="420" w:hanging="420"/>
        <w:rPr>
          <w:rFonts w:hint="default" w:ascii="Arial" w:hAnsi="Arial" w:cs="Arial"/>
        </w:rPr>
      </w:pPr>
      <w:r>
        <w:rPr>
          <w:rFonts w:hint="default" w:ascii="Arial" w:hAnsi="Arial" w:cs="Arial"/>
        </w:rPr>
        <w:t>The experiment aims to investigate whether</w:t>
      </w:r>
    </w:p>
    <w:p w14:paraId="26C8595F">
      <w:pPr>
        <w:ind w:left="420" w:hanging="420"/>
        <w:rPr>
          <w:rFonts w:hint="default" w:ascii="Arial" w:hAnsi="Arial" w:cs="Arial"/>
        </w:rPr>
      </w:pPr>
    </w:p>
    <w:p w14:paraId="4F360FB7">
      <w:pPr>
        <w:numPr>
          <w:ilvl w:val="0"/>
          <w:numId w:val="1"/>
        </w:numPr>
        <w:rPr>
          <w:rFonts w:hint="default" w:ascii="Arial" w:hAnsi="Arial" w:cs="Arial"/>
          <w:sz w:val="24"/>
          <w:szCs w:val="32"/>
          <w:highlight w:val="cyan"/>
        </w:rPr>
      </w:pPr>
      <w:r>
        <w:rPr>
          <w:rFonts w:hint="default" w:ascii="Arial" w:hAnsi="Arial" w:cs="Arial"/>
          <w:sz w:val="24"/>
          <w:szCs w:val="32"/>
          <w:highlight w:val="cyan"/>
        </w:rPr>
        <w:t>Experiment Method/Measurement Approaches:</w:t>
      </w:r>
    </w:p>
    <w:p w14:paraId="6B0DC2AD">
      <w:pPr>
        <w:rPr>
          <w:rFonts w:hint="default" w:ascii="Arial" w:hAnsi="Arial" w:cs="Arial"/>
          <w:sz w:val="24"/>
          <w:szCs w:val="32"/>
        </w:rPr>
      </w:pPr>
      <w:r>
        <w:rPr>
          <w:rFonts w:hint="default" w:ascii="Arial" w:hAnsi="Arial" w:cs="Arial"/>
          <w:sz w:val="24"/>
          <w:szCs w:val="32"/>
        </w:rPr>
        <w:t>M</w:t>
      </w:r>
      <w:r>
        <w:rPr>
          <w:rFonts w:hint="default" w:ascii="Arial" w:hAnsi="Arial" w:cs="Arial"/>
          <w:sz w:val="24"/>
          <w:szCs w:val="32"/>
        </w:rPr>
        <w:t>ice/cell are treated</w:t>
      </w:r>
      <w:r>
        <w:rPr>
          <w:rFonts w:hint="default" w:ascii="Arial" w:hAnsi="Arial" w:cs="Arial"/>
          <w:sz w:val="24"/>
          <w:szCs w:val="32"/>
        </w:rPr>
        <w:t xml:space="preserve"> (/fed/injected)</w:t>
      </w:r>
      <w:r>
        <w:rPr>
          <w:rFonts w:hint="default" w:ascii="Arial" w:hAnsi="Arial" w:cs="Arial"/>
          <w:sz w:val="24"/>
          <w:szCs w:val="32"/>
        </w:rPr>
        <w:t xml:space="preserve"> with </w:t>
      </w:r>
      <w:r>
        <w:rPr>
          <w:rFonts w:hint="default" w:ascii="Arial" w:hAnsi="Arial" w:cs="Arial"/>
          <w:sz w:val="24"/>
          <w:szCs w:val="32"/>
        </w:rPr>
        <w:t>(</w:t>
      </w:r>
      <w:r>
        <w:rPr>
          <w:rFonts w:hint="default" w:ascii="Arial" w:hAnsi="Arial" w:cs="Arial"/>
          <w:sz w:val="24"/>
          <w:szCs w:val="32"/>
        </w:rPr>
        <w:t>试剂/饮食</w:t>
      </w:r>
      <w:r>
        <w:rPr>
          <w:rFonts w:hint="default" w:ascii="Arial" w:hAnsi="Arial" w:cs="Arial"/>
          <w:sz w:val="24"/>
          <w:szCs w:val="32"/>
        </w:rPr>
        <w:t>..) for</w:t>
      </w:r>
      <w:bookmarkStart w:id="0" w:name="OLE_LINK17"/>
      <w:r>
        <w:rPr>
          <w:rFonts w:hint="default" w:ascii="Arial" w:hAnsi="Arial" w:cs="Arial"/>
          <w:sz w:val="24"/>
          <w:szCs w:val="32"/>
        </w:rPr>
        <w:t xml:space="preserve"> </w:t>
      </w:r>
      <w:r>
        <w:rPr>
          <w:rFonts w:hint="default" w:ascii="Arial" w:hAnsi="Arial" w:cs="Arial"/>
          <w:sz w:val="24"/>
          <w:szCs w:val="32"/>
        </w:rPr>
        <w:t>a period of time</w:t>
      </w:r>
      <w:bookmarkEnd w:id="0"/>
      <w:r>
        <w:rPr>
          <w:rFonts w:hint="default" w:ascii="Arial" w:hAnsi="Arial" w:cs="Arial"/>
          <w:sz w:val="24"/>
          <w:szCs w:val="32"/>
        </w:rPr>
        <w:t>,</w:t>
      </w:r>
      <w:r>
        <w:rPr>
          <w:rFonts w:hint="default" w:ascii="Arial" w:hAnsi="Arial" w:cs="Arial"/>
        </w:rPr>
        <w:t xml:space="preserve"> </w:t>
      </w:r>
      <w:r>
        <w:rPr>
          <w:rFonts w:hint="default" w:ascii="Arial" w:hAnsi="Arial" w:cs="Arial"/>
          <w:sz w:val="24"/>
          <w:szCs w:val="32"/>
        </w:rPr>
        <w:t xml:space="preserve">followed by random grouping (and drug intervention) for </w:t>
      </w:r>
      <w:r>
        <w:rPr>
          <w:rFonts w:hint="default" w:ascii="Arial" w:hAnsi="Arial" w:cs="Arial"/>
          <w:sz w:val="24"/>
          <w:szCs w:val="32"/>
        </w:rPr>
        <w:t>a period of time</w:t>
      </w:r>
      <w:r>
        <w:rPr>
          <w:rFonts w:hint="default" w:ascii="Arial" w:hAnsi="Arial" w:cs="Arial"/>
          <w:sz w:val="24"/>
          <w:szCs w:val="32"/>
        </w:rPr>
        <w:t>.</w:t>
      </w:r>
      <w:r>
        <w:rPr>
          <w:rFonts w:hint="default" w:ascii="Arial" w:hAnsi="Arial" w:cs="Arial"/>
          <w:sz w:val="24"/>
          <w:szCs w:val="32"/>
        </w:rPr>
        <w:t>选用相同条件</w:t>
      </w:r>
      <w:r>
        <w:rPr>
          <w:rFonts w:hint="default" w:ascii="Arial" w:hAnsi="Arial" w:cs="Arial"/>
        </w:rPr>
        <w:t xml:space="preserve"> </w:t>
      </w:r>
      <w:r>
        <w:rPr>
          <w:rFonts w:hint="default" w:ascii="Arial" w:hAnsi="Arial" w:cs="Arial"/>
          <w:sz w:val="24"/>
          <w:szCs w:val="32"/>
        </w:rPr>
        <w:t>Mice raised under the same conditions were selected to ensure that irrelevant variables such as sex and age were consistent.</w:t>
      </w:r>
    </w:p>
    <w:p w14:paraId="2E08CC47">
      <w:pPr>
        <w:rPr>
          <w:rFonts w:hint="default" w:ascii="Arial" w:hAnsi="Arial" w:cs="Arial"/>
          <w:sz w:val="24"/>
          <w:szCs w:val="32"/>
        </w:rPr>
      </w:pPr>
      <w:r>
        <w:rPr>
          <w:rFonts w:hint="default" w:ascii="Arial" w:hAnsi="Arial" w:cs="Arial"/>
          <w:sz w:val="24"/>
          <w:szCs w:val="32"/>
        </w:rPr>
        <w:t>主要思想：制造模型，是否发病，是否有突变，有致病基因。。。</w:t>
      </w:r>
    </w:p>
    <w:p w14:paraId="2E57C9B9">
      <w:pPr>
        <w:rPr>
          <w:rFonts w:hint="default" w:ascii="Arial" w:hAnsi="Arial" w:cs="Arial"/>
          <w:sz w:val="24"/>
          <w:szCs w:val="32"/>
        </w:rPr>
      </w:pPr>
    </w:p>
    <w:p w14:paraId="3FA461BD">
      <w:pPr>
        <w:rPr>
          <w:rFonts w:hint="default" w:ascii="Arial" w:hAnsi="Arial" w:cs="Arial"/>
          <w:sz w:val="24"/>
          <w:szCs w:val="32"/>
        </w:rPr>
      </w:pPr>
    </w:p>
    <w:p w14:paraId="5A6E8F76">
      <w:pPr>
        <w:numPr>
          <w:ilvl w:val="0"/>
          <w:numId w:val="1"/>
        </w:numPr>
        <w:rPr>
          <w:rFonts w:hint="default" w:ascii="Arial" w:hAnsi="Arial" w:cs="Arial"/>
          <w:sz w:val="24"/>
          <w:szCs w:val="32"/>
          <w:highlight w:val="cyan"/>
        </w:rPr>
      </w:pPr>
      <w:r>
        <w:rPr>
          <w:rFonts w:hint="default" w:ascii="Arial" w:hAnsi="Arial" w:cs="Arial"/>
          <w:sz w:val="24"/>
          <w:szCs w:val="32"/>
          <w:highlight w:val="cyan"/>
        </w:rPr>
        <w:t>Group Settings &amp; Biological Replicates:</w:t>
      </w:r>
    </w:p>
    <w:p w14:paraId="3E6EAD74">
      <w:pPr>
        <w:rPr>
          <w:rFonts w:hint="default" w:ascii="Arial" w:hAnsi="Arial" w:cs="Arial"/>
        </w:rPr>
      </w:pPr>
      <w:r>
        <w:rPr>
          <w:rFonts w:hint="default" w:ascii="Arial" w:hAnsi="Arial" w:cs="Arial"/>
        </w:rPr>
        <w:t>Biological replicates：</w:t>
      </w:r>
    </w:p>
    <w:p w14:paraId="7E8A90BE">
      <w:pPr>
        <w:rPr>
          <w:rFonts w:hint="default" w:ascii="Arial" w:hAnsi="Arial" w:cs="Arial"/>
        </w:rPr>
      </w:pPr>
      <w:r>
        <w:rPr>
          <w:rFonts w:hint="default" w:ascii="Arial" w:hAnsi="Arial" w:cs="Arial"/>
        </w:rPr>
        <w:t>1）细胞</w:t>
      </w:r>
    </w:p>
    <w:p w14:paraId="0691C4A4">
      <w:pPr>
        <w:rPr>
          <w:rFonts w:hint="default" w:ascii="Arial" w:hAnsi="Arial" w:cs="Arial"/>
        </w:rPr>
      </w:pPr>
      <w:r>
        <w:rPr>
          <w:rFonts w:hint="default" w:ascii="Arial" w:hAnsi="Arial" w:cs="Arial"/>
        </w:rPr>
        <w:t>2）小鼠</w:t>
      </w:r>
    </w:p>
    <w:p w14:paraId="4F16BB8B">
      <w:pPr>
        <w:rPr>
          <w:rFonts w:hint="default" w:ascii="Arial" w:hAnsi="Arial" w:cs="Arial"/>
        </w:rPr>
      </w:pPr>
      <w:r>
        <w:rPr>
          <w:rFonts w:hint="default" w:ascii="Arial" w:hAnsi="Arial" w:cs="Arial"/>
        </w:rPr>
        <w:t>3）线虫： Each group will consist of 100–200 worms, with at least three independent replicates</w:t>
      </w:r>
    </w:p>
    <w:p w14:paraId="1B78F975">
      <w:pPr>
        <w:rPr>
          <w:rFonts w:hint="default" w:ascii="Arial" w:hAnsi="Arial" w:cs="Arial"/>
        </w:rPr>
      </w:pPr>
    </w:p>
    <w:p w14:paraId="63B358C2">
      <w:pPr>
        <w:rPr>
          <w:rFonts w:hint="default" w:ascii="Arial" w:hAnsi="Arial" w:cs="Arial"/>
        </w:rPr>
      </w:pPr>
      <w:r>
        <w:rPr>
          <w:rFonts w:hint="default" w:ascii="Arial" w:hAnsi="Arial" w:cs="Arial"/>
        </w:rPr>
        <w:t>模板：</w:t>
      </w:r>
    </w:p>
    <w:p w14:paraId="5C2D0CB2">
      <w:pPr>
        <w:rPr>
          <w:rFonts w:hint="default" w:ascii="Arial" w:hAnsi="Arial" w:cs="Arial"/>
        </w:rPr>
      </w:pPr>
      <w:r>
        <w:rPr>
          <w:rFonts w:hint="default" w:ascii="Arial" w:hAnsi="Arial" w:cs="Arial"/>
        </w:rPr>
        <w:t xml:space="preserve">Experimental Group: </w:t>
      </w:r>
    </w:p>
    <w:p w14:paraId="3F19092F">
      <w:pPr>
        <w:rPr>
          <w:rFonts w:hint="default" w:ascii="Arial" w:hAnsi="Arial" w:cs="Arial"/>
        </w:rPr>
      </w:pPr>
      <w:r>
        <w:rPr>
          <w:rFonts w:hint="default" w:ascii="Arial" w:hAnsi="Arial" w:cs="Arial"/>
        </w:rPr>
        <w:t>Control Group</w:t>
      </w:r>
      <w:r>
        <w:rPr>
          <w:rFonts w:hint="default" w:ascii="Arial" w:hAnsi="Arial" w:cs="Arial"/>
        </w:rPr>
        <w:t>1/2/3:</w:t>
      </w:r>
      <w:r>
        <w:rPr>
          <w:rFonts w:hint="default" w:ascii="Arial" w:hAnsi="Arial" w:cs="Arial"/>
        </w:rPr>
        <w:t xml:space="preserve"> scramble sgRNA</w:t>
      </w:r>
      <w:r>
        <w:rPr>
          <w:rFonts w:hint="default" w:ascii="Arial" w:hAnsi="Arial" w:cs="Arial"/>
        </w:rPr>
        <w:t>混杂的，CRISPR</w:t>
      </w:r>
    </w:p>
    <w:p w14:paraId="1B940174">
      <w:pPr>
        <w:rPr>
          <w:rFonts w:hint="default" w:ascii="Arial" w:hAnsi="Arial" w:cs="Arial"/>
        </w:rPr>
      </w:pPr>
      <w:r>
        <w:rPr>
          <w:rFonts w:hint="default" w:ascii="Arial" w:hAnsi="Arial" w:cs="Arial"/>
        </w:rPr>
        <w:t>Positive Control Group</w:t>
      </w:r>
      <w:r>
        <w:rPr>
          <w:rFonts w:hint="default" w:ascii="Arial" w:hAnsi="Arial" w:cs="Arial"/>
        </w:rPr>
        <w:t>4:</w:t>
      </w:r>
    </w:p>
    <w:p w14:paraId="7B902EAA">
      <w:pPr>
        <w:rPr>
          <w:rFonts w:hint="default" w:ascii="Arial" w:hAnsi="Arial" w:cs="Arial"/>
        </w:rPr>
      </w:pPr>
      <w:r>
        <w:rPr>
          <w:rFonts w:hint="default" w:ascii="Arial" w:hAnsi="Arial" w:cs="Arial"/>
        </w:rPr>
        <w:t>接着第一句：保证每组数量：</w:t>
      </w:r>
      <w:r>
        <w:rPr>
          <w:rFonts w:hint="default" w:ascii="Arial" w:hAnsi="Arial" w:cs="Arial"/>
        </w:rPr>
        <w:t xml:space="preserve">We would need a sufficiently large sample size for each group to ensure our results are statistically significant. </w:t>
      </w:r>
      <w:r>
        <w:rPr>
          <w:rFonts w:hint="default" w:ascii="Arial" w:hAnsi="Arial" w:cs="Arial"/>
        </w:rPr>
        <w:t>（</w:t>
      </w:r>
      <w:r>
        <w:rPr>
          <w:rFonts w:hint="default" w:ascii="Arial" w:hAnsi="Arial" w:cs="Arial"/>
        </w:rPr>
        <w:t>For instance, 10-20 mice per group would be reasonable, but the exact number would be determined by a power calculation.</w:t>
      </w:r>
      <w:r>
        <w:rPr>
          <w:rFonts w:hint="default" w:ascii="Arial" w:hAnsi="Arial" w:cs="Arial"/>
        </w:rPr>
        <w:t>）</w:t>
      </w:r>
    </w:p>
    <w:p w14:paraId="10843E8B">
      <w:pPr>
        <w:rPr>
          <w:rFonts w:hint="default" w:ascii="Arial" w:hAnsi="Arial" w:cs="Arial"/>
        </w:rPr>
      </w:pPr>
      <w:r>
        <w:rPr>
          <w:rFonts w:hint="default" w:ascii="Arial" w:hAnsi="Arial" w:cs="Arial"/>
        </w:rPr>
        <w:t>第二句：分别重复3次：</w:t>
      </w:r>
      <w:r>
        <w:rPr>
          <w:rFonts w:hint="default" w:ascii="Arial" w:hAnsi="Arial" w:cs="Arial"/>
        </w:rPr>
        <w:t xml:space="preserve">At least three independent </w:t>
      </w:r>
      <w:r>
        <w:rPr>
          <w:rFonts w:hint="default" w:ascii="Arial" w:hAnsi="Arial" w:cs="Arial"/>
          <w:highlight w:val="cyan"/>
        </w:rPr>
        <w:t>bio</w:t>
      </w:r>
      <w:r>
        <w:rPr>
          <w:rFonts w:hint="default" w:ascii="Arial" w:hAnsi="Arial" w:cs="Arial"/>
          <w:highlight w:val="cyan"/>
        </w:rPr>
        <w:t>logical</w:t>
      </w:r>
      <w:r>
        <w:rPr>
          <w:rFonts w:hint="default" w:ascii="Arial" w:hAnsi="Arial" w:cs="Arial"/>
          <w:highlight w:val="cyan"/>
        </w:rPr>
        <w:t xml:space="preserve"> replicates</w:t>
      </w:r>
      <w:r>
        <w:rPr>
          <w:rFonts w:hint="default" w:ascii="Arial" w:hAnsi="Arial" w:cs="Arial"/>
        </w:rPr>
        <w:t xml:space="preserve"> per group to ensure statistical reliability of the data. At least 3 repeats of the </w:t>
      </w:r>
      <w:r>
        <w:rPr>
          <w:rFonts w:hint="default" w:ascii="Arial" w:hAnsi="Arial" w:cs="Arial"/>
          <w:highlight w:val="cyan"/>
        </w:rPr>
        <w:t>technique replicates</w:t>
      </w:r>
      <w:r>
        <w:rPr>
          <w:rFonts w:hint="default" w:ascii="Arial" w:hAnsi="Arial" w:cs="Arial"/>
        </w:rPr>
        <w:t xml:space="preserve"> are required for each assay (e.g., PCR and Western blot).</w:t>
      </w:r>
    </w:p>
    <w:p w14:paraId="1C754B33">
      <w:pPr>
        <w:ind w:left="420"/>
        <w:rPr>
          <w:rFonts w:hint="default" w:ascii="Arial" w:hAnsi="Arial" w:cs="Arial"/>
          <w:sz w:val="24"/>
          <w:szCs w:val="32"/>
          <w:highlight w:val="yellow"/>
        </w:rPr>
      </w:pPr>
    </w:p>
    <w:p w14:paraId="2DFF5480">
      <w:pPr>
        <w:ind w:left="420"/>
        <w:rPr>
          <w:rFonts w:hint="default" w:ascii="Arial" w:hAnsi="Arial" w:cs="Arial"/>
          <w:sz w:val="24"/>
          <w:szCs w:val="32"/>
          <w:highlight w:val="yellow"/>
        </w:rPr>
      </w:pPr>
    </w:p>
    <w:p w14:paraId="40E9EAFB">
      <w:pPr>
        <w:numPr>
          <w:ilvl w:val="0"/>
          <w:numId w:val="1"/>
        </w:numPr>
        <w:rPr>
          <w:rFonts w:hint="default" w:ascii="Arial" w:hAnsi="Arial" w:cs="Arial"/>
          <w:sz w:val="24"/>
          <w:szCs w:val="32"/>
          <w:highlight w:val="cyan"/>
        </w:rPr>
      </w:pPr>
      <w:r>
        <w:rPr>
          <w:rFonts w:hint="default" w:ascii="Arial" w:hAnsi="Arial" w:cs="Arial"/>
          <w:sz w:val="24"/>
          <w:szCs w:val="32"/>
          <w:highlight w:val="cyan"/>
        </w:rPr>
        <w:t>Data transformation/Normalization Steps for Quantification:</w:t>
      </w:r>
      <w:r>
        <w:rPr>
          <w:rFonts w:hint="default" w:ascii="Arial" w:hAnsi="Arial" w:cs="Arial"/>
          <w:sz w:val="24"/>
          <w:szCs w:val="32"/>
          <w:highlight w:val="cyan"/>
        </w:rPr>
        <w:t>（因变量/结果）</w:t>
      </w:r>
    </w:p>
    <w:p w14:paraId="2BDD5DF6">
      <w:pPr>
        <w:rPr>
          <w:rFonts w:hint="default" w:ascii="Arial" w:hAnsi="Arial" w:cs="Arial"/>
        </w:rPr>
      </w:pPr>
      <w:bookmarkStart w:id="1" w:name="OLE_LINK15"/>
      <w:r>
        <w:rPr>
          <w:rFonts w:hint="default" w:ascii="Arial" w:hAnsi="Arial" w:cs="Arial"/>
        </w:rPr>
        <w:t>1）</w:t>
      </w:r>
      <w:r>
        <w:rPr>
          <w:rFonts w:hint="default" w:ascii="Arial" w:hAnsi="Arial" w:cs="Arial"/>
          <w:b/>
          <w:bCs/>
        </w:rPr>
        <w:t>测序</w:t>
      </w:r>
      <w:r>
        <w:rPr>
          <w:rFonts w:hint="default" w:ascii="Arial" w:hAnsi="Arial" w:cs="Arial"/>
        </w:rPr>
        <w:t>的归一化：</w:t>
      </w:r>
      <w:r>
        <w:rPr>
          <w:rFonts w:hint="default" w:ascii="Arial" w:hAnsi="Arial" w:cs="Arial"/>
        </w:rPr>
        <w:t xml:space="preserve">Sequencing data will first be normalized to correct for differences in sequencing depth and technical variability between samples. </w:t>
      </w:r>
    </w:p>
    <w:p w14:paraId="7854B0FA">
      <w:pPr>
        <w:pStyle w:val="8"/>
        <w:numPr>
          <w:ilvl w:val="0"/>
          <w:numId w:val="1"/>
        </w:numPr>
        <w:ind w:left="840" w:firstLineChars="0"/>
        <w:rPr>
          <w:rFonts w:hint="default" w:ascii="Arial" w:hAnsi="Arial" w:cs="Arial"/>
        </w:rPr>
      </w:pPr>
      <w:r>
        <w:rPr>
          <w:rFonts w:hint="default" w:ascii="Arial" w:hAnsi="Arial" w:cs="Arial"/>
        </w:rPr>
        <w:t>For</w:t>
      </w:r>
      <w:r>
        <w:rPr>
          <w:rFonts w:hint="default" w:ascii="Arial" w:hAnsi="Arial" w:cs="Arial"/>
          <w:b/>
          <w:bCs/>
        </w:rPr>
        <w:t xml:space="preserve"> bulk RNA-seq</w:t>
      </w:r>
      <w:r>
        <w:rPr>
          <w:rFonts w:hint="default" w:ascii="Arial" w:hAnsi="Arial" w:cs="Arial"/>
        </w:rPr>
        <w:t>, normalization methods such as TPM (Transcripts Per Million), CPM (Counts Per Million), or DESeq2's median-of-ratios will be applied.</w:t>
      </w:r>
    </w:p>
    <w:p w14:paraId="116CB6D0">
      <w:pPr>
        <w:pStyle w:val="8"/>
        <w:numPr>
          <w:ilvl w:val="0"/>
          <w:numId w:val="1"/>
        </w:numPr>
        <w:ind w:left="840" w:firstLineChars="0"/>
        <w:rPr>
          <w:rFonts w:hint="default" w:ascii="Arial" w:hAnsi="Arial" w:cs="Arial"/>
        </w:rPr>
      </w:pPr>
      <w:r>
        <w:rPr>
          <w:rFonts w:hint="default" w:ascii="Arial" w:hAnsi="Arial" w:cs="Arial"/>
        </w:rPr>
        <w:t xml:space="preserve">For </w:t>
      </w:r>
      <w:r>
        <w:rPr>
          <w:rFonts w:hint="default" w:ascii="Arial" w:hAnsi="Arial" w:cs="Arial"/>
          <w:b/>
          <w:bCs/>
        </w:rPr>
        <w:t>single-cell RNA-seq,</w:t>
      </w:r>
      <w:r>
        <w:rPr>
          <w:rFonts w:hint="default" w:ascii="Arial" w:hAnsi="Arial" w:cs="Arial"/>
        </w:rPr>
        <w:t xml:space="preserve"> normalization approaches such as SCTransform, log-normalization, or scran will be used.</w:t>
      </w:r>
    </w:p>
    <w:p w14:paraId="46B95BAA">
      <w:pPr>
        <w:pStyle w:val="8"/>
        <w:numPr>
          <w:ilvl w:val="0"/>
          <w:numId w:val="1"/>
        </w:numPr>
        <w:ind w:left="840" w:firstLineChars="0"/>
        <w:rPr>
          <w:rFonts w:hint="default" w:ascii="Arial" w:hAnsi="Arial" w:cs="Arial"/>
        </w:rPr>
      </w:pPr>
      <w:r>
        <w:rPr>
          <w:rFonts w:hint="default" w:ascii="Arial" w:hAnsi="Arial" w:cs="Arial"/>
        </w:rPr>
        <w:t xml:space="preserve">For </w:t>
      </w:r>
      <w:r>
        <w:rPr>
          <w:rFonts w:hint="default" w:ascii="Arial" w:hAnsi="Arial" w:cs="Arial"/>
          <w:b/>
          <w:bCs/>
        </w:rPr>
        <w:t>ChIP-seq/ATAC-seq</w:t>
      </w:r>
      <w:r>
        <w:rPr>
          <w:rFonts w:hint="default" w:ascii="Arial" w:hAnsi="Arial" w:cs="Arial"/>
        </w:rPr>
        <w:t>, signal tracks will be normalized using RPKM or reads per genome coverage, and peak calling will include internal controls where available.</w:t>
      </w:r>
    </w:p>
    <w:p w14:paraId="4EAC9F9F">
      <w:pPr>
        <w:rPr>
          <w:rFonts w:hint="default" w:ascii="Arial" w:hAnsi="Arial" w:cs="Arial"/>
        </w:rPr>
      </w:pPr>
      <w:r>
        <w:rPr>
          <w:rFonts w:hint="default" w:ascii="Arial" w:hAnsi="Arial" w:cs="Arial"/>
        </w:rPr>
        <w:t>2）</w:t>
      </w:r>
      <w:r>
        <w:rPr>
          <w:rFonts w:hint="default" w:ascii="Arial" w:hAnsi="Arial" w:cs="Arial"/>
          <w:b/>
          <w:bCs/>
        </w:rPr>
        <w:t>WB/q</w:t>
      </w:r>
      <w:r>
        <w:rPr>
          <w:rFonts w:hint="default" w:ascii="Arial" w:hAnsi="Arial" w:cs="Arial"/>
          <w:b/>
          <w:bCs/>
        </w:rPr>
        <w:t>PCR</w:t>
      </w:r>
      <w:r>
        <w:rPr>
          <w:rFonts w:hint="default" w:ascii="Arial" w:hAnsi="Arial" w:cs="Arial"/>
        </w:rPr>
        <w:t>: The mRNA expression level of gene X and steward genes was determined by qRT-PCR (or WB) method. (WB: β-actin or Tubulin, qPCR: GADPH or ACTB or β-actin). The mRNA (or protein) expression of gene X in each sample is standardized with the expression of the corresponding steward gene to ensure data accuracy and reliability.</w:t>
      </w:r>
    </w:p>
    <w:bookmarkEnd w:id="1"/>
    <w:p w14:paraId="3EF60408">
      <w:pPr>
        <w:rPr>
          <w:rFonts w:hint="default" w:ascii="Arial" w:hAnsi="Arial" w:cs="Arial"/>
        </w:rPr>
      </w:pPr>
      <w:r>
        <w:rPr>
          <w:rFonts w:hint="default" w:ascii="Arial" w:hAnsi="Arial" w:cs="Arial"/>
        </w:rPr>
        <w:t>3)</w:t>
      </w:r>
      <w:r>
        <w:rPr>
          <w:rFonts w:hint="default" w:ascii="Arial" w:hAnsi="Arial" w:cs="Arial"/>
          <w:b/>
          <w:bCs/>
        </w:rPr>
        <w:t>计数/读数/不知道说啥的简单方法</w:t>
      </w:r>
      <w:r>
        <w:rPr>
          <w:rFonts w:hint="default" w:ascii="Arial" w:hAnsi="Arial" w:cs="Arial"/>
        </w:rPr>
        <w:t>：对</w:t>
      </w:r>
      <w:r>
        <w:rPr>
          <w:rFonts w:hint="default" w:ascii="Arial" w:hAnsi="Arial" w:cs="Arial"/>
        </w:rPr>
        <w:t>..</w:t>
      </w:r>
      <w:r>
        <w:rPr>
          <w:rFonts w:hint="default" w:ascii="Arial" w:hAnsi="Arial" w:cs="Arial"/>
        </w:rPr>
        <w:t>很重要，归一到对照组平均值。</w:t>
      </w:r>
      <w:r>
        <w:rPr>
          <w:rFonts w:hint="default" w:ascii="Arial" w:hAnsi="Arial" w:cs="Arial"/>
        </w:rPr>
        <w:t xml:space="preserve">Data normalization would be necessary to account for potential variations in initial cell seeding densities. This could be done by normalizing the measurements to the initial cell count or the mean of the control group. </w:t>
      </w:r>
    </w:p>
    <w:p w14:paraId="7C27908F">
      <w:pPr>
        <w:rPr>
          <w:rFonts w:hint="default" w:ascii="Arial" w:hAnsi="Arial" w:cs="Arial"/>
        </w:rPr>
      </w:pPr>
      <w:r>
        <w:rPr>
          <w:rFonts w:hint="default" w:ascii="Arial" w:hAnsi="Arial" w:cs="Arial"/>
        </w:rPr>
        <w:t>4）</w:t>
      </w:r>
      <w:r>
        <w:rPr>
          <w:rFonts w:hint="default" w:ascii="Arial" w:hAnsi="Arial" w:cs="Arial"/>
        </w:rPr>
        <w:t>Cell Proliferation, Migration, or Reporter Assays</w:t>
      </w:r>
    </w:p>
    <w:p w14:paraId="14E1A6C7">
      <w:pPr>
        <w:rPr>
          <w:rFonts w:hint="default" w:ascii="Arial" w:hAnsi="Arial" w:cs="Arial"/>
        </w:rPr>
      </w:pPr>
      <w:r>
        <w:rPr>
          <w:rFonts w:hint="default" w:ascii="Arial" w:hAnsi="Arial" w:cs="Arial"/>
        </w:rPr>
        <w:t>Quantitative readouts (e.g., absorbance, fluorescence, luminescence) from proliferation, viability, migration, or luciferase assays will be normalized to:</w:t>
      </w:r>
    </w:p>
    <w:p w14:paraId="2FC7D844">
      <w:pPr>
        <w:numPr>
          <w:ilvl w:val="0"/>
          <w:numId w:val="2"/>
        </w:numPr>
        <w:rPr>
          <w:rFonts w:hint="default" w:ascii="Arial" w:hAnsi="Arial" w:cs="Arial"/>
        </w:rPr>
      </w:pPr>
      <w:r>
        <w:rPr>
          <w:rFonts w:hint="default" w:ascii="Arial" w:hAnsi="Arial" w:cs="Arial"/>
        </w:rPr>
        <w:t>Baseline control values (e.g., time 0 or untreated group)</w:t>
      </w:r>
    </w:p>
    <w:p w14:paraId="20C0767B">
      <w:pPr>
        <w:numPr>
          <w:ilvl w:val="0"/>
          <w:numId w:val="2"/>
        </w:numPr>
        <w:rPr>
          <w:rFonts w:hint="default" w:ascii="Arial" w:hAnsi="Arial" w:cs="Arial"/>
        </w:rPr>
      </w:pPr>
      <w:r>
        <w:rPr>
          <w:rFonts w:hint="default" w:ascii="Arial" w:hAnsi="Arial" w:cs="Arial"/>
        </w:rPr>
        <w:t>Cell number or total protein content (if applicable)</w:t>
      </w:r>
    </w:p>
    <w:p w14:paraId="7C0D04C0">
      <w:pPr>
        <w:numPr>
          <w:ilvl w:val="0"/>
          <w:numId w:val="2"/>
        </w:numPr>
        <w:rPr>
          <w:rFonts w:hint="default" w:ascii="Arial" w:hAnsi="Arial" w:cs="Arial"/>
        </w:rPr>
      </w:pPr>
      <w:r>
        <w:rPr>
          <w:rFonts w:hint="default" w:ascii="Arial" w:hAnsi="Arial" w:cs="Arial"/>
        </w:rPr>
        <w:t>Internal reference (e.g., Renilla luciferase in dual-reporter assays), Data will be presented as relative fold change compared to control for transfection efficiency.</w:t>
      </w:r>
    </w:p>
    <w:p w14:paraId="33AE1627">
      <w:pPr>
        <w:ind w:left="360"/>
        <w:rPr>
          <w:rFonts w:hint="default" w:ascii="Arial" w:hAnsi="Arial" w:cs="Arial"/>
        </w:rPr>
      </w:pPr>
      <w:r>
        <w:rPr>
          <w:rFonts w:hint="default" w:ascii="Arial" w:hAnsi="Arial" w:cs="Arial"/>
          <w:b/>
          <w:bCs/>
        </w:rPr>
        <w:t>细胞增殖、迁移或报告细胞试验</w:t>
      </w:r>
      <w:r>
        <w:rPr>
          <w:rFonts w:hint="default" w:ascii="Arial" w:hAnsi="Arial" w:cs="Arial"/>
        </w:rPr>
        <w:t>:</w:t>
      </w:r>
      <w:r>
        <w:rPr>
          <w:rFonts w:hint="default" w:ascii="Arial" w:hAnsi="Arial" w:cs="Arial"/>
        </w:rPr>
        <w:t>增殖、活力、迁移或荧光素酶测定的定量读数（如吸光度、荧光、发光）将归一化为：•基线控制值（例如，时间0或未治疗组）•细胞数或总蛋白质含量（如适用）•内部参考（例如，双报告分析中的Renilla荧光素酶）</w:t>
      </w:r>
    </w:p>
    <w:p w14:paraId="128E14FE">
      <w:pPr>
        <w:ind w:firstLine="360"/>
        <w:rPr>
          <w:rFonts w:hint="default" w:ascii="Arial" w:hAnsi="Arial" w:cs="Arial"/>
        </w:rPr>
      </w:pPr>
      <w:r>
        <w:rPr>
          <w:rFonts w:hint="default" w:ascii="Arial" w:hAnsi="Arial" w:cs="Arial"/>
        </w:rPr>
        <w:t>数据将显示为相对于对照的折射率变化。</w:t>
      </w:r>
    </w:p>
    <w:p w14:paraId="689524AA">
      <w:pPr>
        <w:rPr>
          <w:rFonts w:hint="default" w:ascii="Arial" w:hAnsi="Arial" w:cs="Arial"/>
          <w:b/>
          <w:bCs/>
        </w:rPr>
      </w:pPr>
      <w:r>
        <w:rPr>
          <w:rFonts w:hint="default" w:ascii="Arial" w:hAnsi="Arial" w:cs="Arial"/>
        </w:rPr>
        <w:t xml:space="preserve">5) </w:t>
      </w:r>
      <w:bookmarkStart w:id="2" w:name="OLE_LINK22"/>
      <w:r>
        <w:rPr>
          <w:rFonts w:hint="default" w:ascii="Arial" w:hAnsi="Arial" w:cs="Arial"/>
        </w:rPr>
        <w:t>Flow Cytometry</w:t>
      </w:r>
      <w:bookmarkEnd w:id="2"/>
      <w:r>
        <w:rPr>
          <w:rFonts w:hint="default" w:ascii="Arial" w:hAnsi="Arial" w:cs="Arial"/>
        </w:rPr>
        <w:t xml:space="preserve"> / Imaging Quantification</w:t>
      </w:r>
      <w:r>
        <w:rPr>
          <w:rFonts w:hint="default" w:ascii="Arial" w:hAnsi="Arial" w:cs="Arial"/>
          <w:b/>
          <w:bCs/>
        </w:rPr>
        <w:t>流式细胞术/成像定量</w:t>
      </w:r>
      <w:r>
        <w:rPr>
          <w:rFonts w:hint="default" w:ascii="Arial" w:hAnsi="Arial" w:cs="Arial"/>
          <w:b/>
          <w:bCs/>
        </w:rPr>
        <w:t>:</w:t>
      </w:r>
    </w:p>
    <w:p w14:paraId="52C11E13">
      <w:pPr>
        <w:rPr>
          <w:rFonts w:hint="default" w:ascii="Arial" w:hAnsi="Arial" w:cs="Arial"/>
        </w:rPr>
      </w:pPr>
      <w:r>
        <w:rPr>
          <w:rFonts w:hint="default" w:ascii="Arial" w:hAnsi="Arial" w:cs="Arial"/>
        </w:rPr>
        <w:tab/>
      </w:r>
      <w:r>
        <w:rPr>
          <w:rFonts w:hint="default" w:ascii="Arial" w:hAnsi="Arial" w:cs="Arial"/>
        </w:rPr>
        <w:t>Signal intensity will be normalized to:</w:t>
      </w:r>
    </w:p>
    <w:p w14:paraId="55AB9D16">
      <w:pPr>
        <w:numPr>
          <w:ilvl w:val="0"/>
          <w:numId w:val="3"/>
        </w:numPr>
        <w:rPr>
          <w:rFonts w:hint="default" w:ascii="Arial" w:hAnsi="Arial" w:cs="Arial"/>
        </w:rPr>
      </w:pPr>
      <w:r>
        <w:rPr>
          <w:rFonts w:hint="default" w:ascii="Arial" w:hAnsi="Arial" w:cs="Arial"/>
        </w:rPr>
        <w:t>Isotype controls or fluorescence-minus-one (FMO) controls for background correction</w:t>
      </w:r>
    </w:p>
    <w:p w14:paraId="25A6B0E4">
      <w:pPr>
        <w:numPr>
          <w:ilvl w:val="0"/>
          <w:numId w:val="3"/>
        </w:numPr>
        <w:rPr>
          <w:rFonts w:hint="default" w:ascii="Arial" w:hAnsi="Arial" w:cs="Arial"/>
        </w:rPr>
      </w:pPr>
      <w:r>
        <w:rPr>
          <w:rFonts w:hint="default" w:ascii="Arial" w:hAnsi="Arial" w:cs="Arial"/>
        </w:rPr>
        <w:t>Unstained or untreated controls as baseline</w:t>
      </w:r>
      <w:r>
        <w:rPr>
          <w:rFonts w:hint="default" w:ascii="Arial" w:hAnsi="Arial" w:cs="Arial"/>
        </w:rPr>
        <w:br w:type="textWrapping"/>
      </w:r>
      <w:r>
        <w:rPr>
          <w:rFonts w:hint="default" w:ascii="Arial" w:hAnsi="Arial" w:cs="Arial"/>
        </w:rPr>
        <w:t>*Quantitative comparisons will use mean fluorescence intensity (MFI) or % positive cells relative to control.</w:t>
      </w:r>
      <w:r>
        <w:rPr>
          <w:rFonts w:hint="default" w:ascii="Arial" w:hAnsi="Arial" w:cs="Arial"/>
        </w:rPr>
        <w:t xml:space="preserve"> </w:t>
      </w:r>
    </w:p>
    <w:p w14:paraId="24FDF590">
      <w:pPr>
        <w:numPr>
          <w:ilvl w:val="0"/>
          <w:numId w:val="3"/>
        </w:numPr>
        <w:rPr>
          <w:rFonts w:hint="default" w:ascii="Arial" w:hAnsi="Arial" w:cs="Arial"/>
        </w:rPr>
      </w:pPr>
      <w:r>
        <w:rPr>
          <w:rFonts w:hint="default" w:ascii="Arial" w:hAnsi="Arial" w:cs="Arial"/>
        </w:rPr>
        <w:t>同型对照或荧光- 1 （FMO）对照用于背景校正</w:t>
      </w:r>
    </w:p>
    <w:p w14:paraId="3DC25AEC">
      <w:pPr>
        <w:numPr>
          <w:ilvl w:val="0"/>
          <w:numId w:val="3"/>
        </w:numPr>
        <w:rPr>
          <w:rFonts w:hint="default" w:ascii="Arial" w:hAnsi="Arial" w:cs="Arial"/>
        </w:rPr>
      </w:pPr>
      <w:r>
        <w:rPr>
          <w:rFonts w:hint="default" w:ascii="Arial" w:hAnsi="Arial" w:cs="Arial"/>
        </w:rPr>
        <w:t>未染色或未处理的对照作为基线</w:t>
      </w:r>
    </w:p>
    <w:p w14:paraId="33B63B32">
      <w:pPr>
        <w:numPr>
          <w:ilvl w:val="0"/>
          <w:numId w:val="3"/>
        </w:numPr>
        <w:rPr>
          <w:rFonts w:hint="default" w:ascii="Arial" w:hAnsi="Arial" w:cs="Arial"/>
        </w:rPr>
      </w:pPr>
      <w:r>
        <w:rPr>
          <w:rFonts w:hint="default" w:ascii="Arial" w:hAnsi="Arial" w:cs="Arial"/>
        </w:rPr>
        <w:t>定量比较将使用平均荧光强度（MFI）或相对于对照的阳性细胞百分比。</w:t>
      </w:r>
    </w:p>
    <w:p w14:paraId="68FD4D17">
      <w:pPr>
        <w:rPr>
          <w:rFonts w:hint="default" w:ascii="Arial" w:hAnsi="Arial" w:cs="Arial"/>
        </w:rPr>
      </w:pPr>
      <w:r>
        <w:rPr>
          <w:rFonts w:hint="default" w:ascii="Arial" w:hAnsi="Arial" w:cs="Arial"/>
        </w:rPr>
        <w:t>6)</w:t>
      </w:r>
      <w:r>
        <w:rPr>
          <w:rFonts w:hint="default" w:ascii="Arial" w:hAnsi="Arial" w:eastAsia="宋体" w:cs="Arial"/>
          <w:kern w:val="0"/>
          <w:sz w:val="27"/>
          <w:szCs w:val="27"/>
        </w:rPr>
        <w:t xml:space="preserve"> </w:t>
      </w:r>
      <w:r>
        <w:rPr>
          <w:rFonts w:hint="default" w:ascii="Arial" w:hAnsi="Arial" w:cs="Arial"/>
        </w:rPr>
        <w:t>Metabolomics / Proteomics / Mass Spectrometry</w:t>
      </w:r>
      <w:r>
        <w:rPr>
          <w:rFonts w:hint="default" w:ascii="Arial" w:hAnsi="Arial" w:cs="Arial"/>
        </w:rPr>
        <w:t>：代谢组学/蛋白质组学/质谱分析</w:t>
      </w:r>
    </w:p>
    <w:p w14:paraId="588357C7">
      <w:pPr>
        <w:rPr>
          <w:rFonts w:hint="default" w:ascii="Arial" w:hAnsi="Arial" w:cs="Arial"/>
        </w:rPr>
      </w:pPr>
      <w:r>
        <w:rPr>
          <w:rFonts w:hint="default" w:ascii="Arial" w:hAnsi="Arial" w:cs="Arial"/>
        </w:rPr>
        <w:t>Raw signal intensities will be normalized using:</w:t>
      </w:r>
    </w:p>
    <w:p w14:paraId="41CB40C3">
      <w:pPr>
        <w:numPr>
          <w:ilvl w:val="0"/>
          <w:numId w:val="4"/>
        </w:numPr>
        <w:rPr>
          <w:rFonts w:hint="default" w:ascii="Arial" w:hAnsi="Arial" w:cs="Arial"/>
        </w:rPr>
      </w:pPr>
      <w:r>
        <w:rPr>
          <w:rFonts w:hint="default" w:ascii="Arial" w:hAnsi="Arial" w:cs="Arial"/>
        </w:rPr>
        <w:t>Total ion count, internal standards, or quantile normalization</w:t>
      </w:r>
    </w:p>
    <w:p w14:paraId="2D806004">
      <w:pPr>
        <w:numPr>
          <w:ilvl w:val="0"/>
          <w:numId w:val="4"/>
        </w:numPr>
        <w:rPr>
          <w:rFonts w:hint="default" w:ascii="Arial" w:hAnsi="Arial" w:cs="Arial"/>
        </w:rPr>
      </w:pPr>
      <w:r>
        <w:rPr>
          <w:rFonts w:hint="default" w:ascii="Arial" w:hAnsi="Arial" w:cs="Arial"/>
        </w:rPr>
        <w:t>Log-transformation (e.g., log2) may be applied to stabilize variance</w:t>
      </w:r>
      <w:r>
        <w:rPr>
          <w:rFonts w:hint="default" w:ascii="Arial" w:hAnsi="Arial" w:cs="Arial"/>
        </w:rPr>
        <w:br w:type="textWrapping"/>
      </w:r>
      <w:r>
        <w:rPr>
          <w:rFonts w:hint="default" w:ascii="Arial" w:hAnsi="Arial" w:cs="Arial"/>
        </w:rPr>
        <w:t>Batch correction methods (e.g., ComBat) will be considered if needed.</w:t>
      </w:r>
    </w:p>
    <w:p w14:paraId="136A167B">
      <w:pPr>
        <w:rPr>
          <w:rFonts w:hint="default" w:ascii="Arial" w:hAnsi="Arial" w:cs="Arial"/>
        </w:rPr>
      </w:pPr>
    </w:p>
    <w:p w14:paraId="41B97363">
      <w:pPr>
        <w:rPr>
          <w:rFonts w:hint="default" w:ascii="Arial" w:hAnsi="Arial" w:cs="Arial"/>
        </w:rPr>
      </w:pPr>
    </w:p>
    <w:p w14:paraId="16A363D8">
      <w:pPr>
        <w:rPr>
          <w:rFonts w:hint="default" w:ascii="Arial" w:hAnsi="Arial" w:cs="Arial"/>
        </w:rPr>
      </w:pPr>
    </w:p>
    <w:p w14:paraId="6F02D73F">
      <w:pPr>
        <w:rPr>
          <w:rFonts w:hint="default" w:ascii="Arial" w:hAnsi="Arial" w:cs="Arial"/>
          <w:sz w:val="24"/>
          <w:szCs w:val="32"/>
        </w:rPr>
      </w:pPr>
    </w:p>
    <w:p w14:paraId="0E0301C4">
      <w:pPr>
        <w:numPr>
          <w:ilvl w:val="0"/>
          <w:numId w:val="1"/>
        </w:numPr>
        <w:rPr>
          <w:rFonts w:hint="default" w:ascii="Arial" w:hAnsi="Arial" w:cs="Arial"/>
          <w:sz w:val="24"/>
          <w:szCs w:val="32"/>
          <w:highlight w:val="cyan"/>
        </w:rPr>
      </w:pPr>
      <w:r>
        <w:rPr>
          <w:rFonts w:hint="default" w:ascii="Arial" w:hAnsi="Arial" w:cs="Arial"/>
          <w:sz w:val="24"/>
          <w:szCs w:val="32"/>
          <w:highlight w:val="cyan"/>
        </w:rPr>
        <w:t>Statistical Analysis Method:</w:t>
      </w:r>
    </w:p>
    <w:p w14:paraId="1197D637">
      <w:pPr>
        <w:rPr>
          <w:rFonts w:hint="default" w:ascii="Arial" w:hAnsi="Arial" w:cs="Arial"/>
        </w:rPr>
      </w:pPr>
      <w:r>
        <w:rPr>
          <w:rFonts w:hint="default" w:ascii="Arial" w:hAnsi="Arial" w:cs="Arial"/>
        </w:rPr>
        <w:t>ANOVA:三个及以上看有没有差异</w:t>
      </w:r>
      <w:bookmarkStart w:id="6" w:name="_GoBack"/>
      <w:bookmarkEnd w:id="6"/>
    </w:p>
    <w:p w14:paraId="54BA86CB">
      <w:pPr>
        <w:rPr>
          <w:rFonts w:hint="default" w:ascii="Arial" w:hAnsi="Arial" w:cs="Arial"/>
        </w:rPr>
      </w:pPr>
      <w:r>
        <w:rPr>
          <w:rFonts w:hint="default" w:ascii="Arial" w:hAnsi="Arial" w:cs="Arial"/>
        </w:rPr>
        <w:t>t-test：两个看有没有差异</w:t>
      </w:r>
    </w:p>
    <w:p w14:paraId="1490DE6E">
      <w:pP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Chi-square test 卡方检验</w:t>
      </w:r>
    </w:p>
    <w:p w14:paraId="452EF94D">
      <w:pPr>
        <w:rPr>
          <w:rFonts w:hint="default" w:ascii="Arial" w:hAnsi="Arial" w:cs="Arial"/>
        </w:rPr>
      </w:pPr>
      <w:r>
        <w:rPr>
          <w:rFonts w:hint="default" w:ascii="Arial" w:hAnsi="Arial" w:cs="Arial"/>
        </w:rPr>
        <w:t>1）2个实验组：</w:t>
      </w:r>
      <w:r>
        <w:rPr>
          <w:rFonts w:hint="default" w:ascii="Arial" w:hAnsi="Arial" w:cs="Arial"/>
        </w:rPr>
        <w:t xml:space="preserve">We could use a t-test to compare the means of the two groups if the data is normally distributed and variances are equal. If not, a non-parametric test such as the Mann- Whitney U test could be used. </w:t>
      </w:r>
    </w:p>
    <w:p w14:paraId="3FBFB7F3">
      <w:pPr>
        <w:rPr>
          <w:rFonts w:hint="default" w:ascii="Arial" w:hAnsi="Arial" w:cs="Arial"/>
        </w:rPr>
      </w:pPr>
      <w:r>
        <w:rPr>
          <w:rFonts w:hint="default" w:ascii="Arial" w:hAnsi="Arial" w:cs="Arial"/>
        </w:rPr>
        <w:t>2）3个及以上实验组：</w:t>
      </w:r>
      <w:r>
        <w:rPr>
          <w:rFonts w:hint="default" w:ascii="Arial" w:hAnsi="Arial" w:cs="Arial"/>
        </w:rPr>
        <w:t xml:space="preserve">ANOVA will be first applied to examine if there is any significant changes in the three/four groups. If yes, the student’s t-test will be applied to the data from the experimental group and control group 1. </w:t>
      </w:r>
      <w:r>
        <w:rPr>
          <w:rFonts w:hint="default" w:ascii="Arial" w:hAnsi="Arial" w:cs="Arial"/>
        </w:rPr>
        <w:t>在这里one-way和two-way决定于几个自变量</w:t>
      </w:r>
    </w:p>
    <w:p w14:paraId="5644F80F">
      <w:pPr>
        <w:rPr>
          <w:rFonts w:hint="default" w:ascii="Arial" w:hAnsi="Arial" w:cs="Arial"/>
        </w:rPr>
      </w:pPr>
      <w:r>
        <w:rPr>
          <w:rFonts w:hint="default" w:ascii="Arial" w:hAnsi="Arial" w:cs="Arial"/>
        </w:rPr>
        <w:t>3）若问题只涉及到“是”或者“否”：</w:t>
      </w:r>
      <w:r>
        <w:rPr>
          <w:rFonts w:hint="default" w:ascii="Arial" w:hAnsi="Arial" w:cs="Arial"/>
        </w:rPr>
        <w:t xml:space="preserve"> Since we are comparing the proportion of animals showing positive staining for protein Z between control and treated groups, a chi-square test will be used.</w:t>
      </w:r>
      <w:r>
        <w:rPr>
          <w:rFonts w:hint="default" w:ascii="Arial" w:hAnsi="Arial" w:cs="Arial"/>
        </w:rPr>
        <w:t>或者加一句把这种比较转化成数据（例如时间）然后用t-test</w:t>
      </w:r>
    </w:p>
    <w:p w14:paraId="42E3A04C">
      <w:pPr>
        <w:rPr>
          <w:rFonts w:hint="default" w:ascii="Arial" w:hAnsi="Arial" w:cs="Arial"/>
        </w:rPr>
      </w:pPr>
    </w:p>
    <w:p w14:paraId="44141A07">
      <w:pPr>
        <w:rPr>
          <w:rFonts w:hint="default" w:ascii="Arial" w:hAnsi="Arial" w:cs="Arial"/>
        </w:rPr>
      </w:pPr>
    </w:p>
    <w:p w14:paraId="1B2E7045">
      <w:pPr>
        <w:rPr>
          <w:rFonts w:hint="default" w:ascii="Arial" w:hAnsi="Arial" w:cs="Arial"/>
        </w:rPr>
      </w:pPr>
    </w:p>
    <w:p w14:paraId="11BFCE87">
      <w:pPr>
        <w:rPr>
          <w:rFonts w:hint="default" w:ascii="Arial" w:hAnsi="Arial" w:cs="Arial"/>
        </w:rPr>
      </w:pPr>
    </w:p>
    <w:p w14:paraId="2F1E2382">
      <w:pPr>
        <w:numPr>
          <w:ilvl w:val="0"/>
          <w:numId w:val="1"/>
        </w:numPr>
        <w:rPr>
          <w:rFonts w:hint="default" w:ascii="Arial" w:hAnsi="Arial" w:cs="Arial"/>
          <w:sz w:val="24"/>
          <w:szCs w:val="32"/>
          <w:highlight w:val="cyan"/>
        </w:rPr>
      </w:pPr>
      <w:r>
        <w:rPr>
          <w:rFonts w:hint="default" w:ascii="Arial" w:hAnsi="Arial" w:cs="Arial"/>
          <w:sz w:val="24"/>
          <w:szCs w:val="32"/>
          <w:highlight w:val="cyan"/>
        </w:rPr>
        <w:t>Ethics:</w:t>
      </w:r>
    </w:p>
    <w:p w14:paraId="2B05E2BF">
      <w:pPr>
        <w:rPr>
          <w:rFonts w:hint="default" w:ascii="Arial" w:hAnsi="Arial" w:cs="Arial"/>
        </w:rPr>
      </w:pPr>
      <w:bookmarkStart w:id="3" w:name="OLE_LINK12"/>
      <w:r>
        <w:rPr>
          <w:rFonts w:hint="default" w:ascii="Arial" w:hAnsi="Arial" w:cs="Arial"/>
        </w:rPr>
        <w:t>1）用细胞：</w:t>
      </w:r>
      <w:r>
        <w:rPr>
          <w:rFonts w:hint="default" w:ascii="Arial" w:hAnsi="Arial" w:cs="Arial"/>
        </w:rPr>
        <w:t xml:space="preserve">As this experiment involves the use of cultured cells, it would need to adhere to the relevant institutional and national guidelines for laboratory safety and bioethics. </w:t>
      </w:r>
    </w:p>
    <w:p w14:paraId="5E442587">
      <w:pPr>
        <w:rPr>
          <w:rFonts w:hint="default" w:ascii="Arial" w:hAnsi="Arial" w:cs="Arial"/>
        </w:rPr>
      </w:pPr>
      <w:r>
        <w:rPr>
          <w:rFonts w:hint="default" w:ascii="Arial" w:hAnsi="Arial" w:cs="Arial"/>
        </w:rPr>
        <w:t>2）用小鼠/任何动物：All protocols involving animal use would follow the guidelines for the care and use of laboratory animals and would be approved by the Institutional Animal Care and Use Committee (IACUC) or a similar ethical body. The number of mice should be minized as long as the statistical power is achieved.</w:t>
      </w:r>
    </w:p>
    <w:p w14:paraId="1469F6ED">
      <w:pPr>
        <w:rPr>
          <w:rFonts w:hint="default" w:ascii="Arial" w:hAnsi="Arial" w:cs="Arial"/>
        </w:rPr>
      </w:pPr>
      <w:r>
        <w:rPr>
          <w:rFonts w:hint="default" w:ascii="Arial" w:hAnsi="Arial" w:cs="Arial"/>
        </w:rPr>
        <w:t>3）用线虫：</w:t>
      </w:r>
      <w:r>
        <w:rPr>
          <w:rFonts w:hint="default" w:ascii="Arial" w:hAnsi="Arial" w:cs="Arial"/>
        </w:rPr>
        <w:t>As C. elegans is a non-vertebrate model, no animal ethics approval is needed. Nevertheless, proper biosafety and handling protocols must be followed.</w:t>
      </w:r>
    </w:p>
    <w:p w14:paraId="218C1EC1">
      <w:pPr>
        <w:rPr>
          <w:rFonts w:hint="default" w:ascii="Arial" w:hAnsi="Arial" w:cs="Arial"/>
        </w:rPr>
      </w:pPr>
      <w:r>
        <w:rPr>
          <w:rFonts w:hint="default" w:ascii="Arial" w:hAnsi="Arial" w:cs="Arial"/>
        </w:rPr>
        <w:t>4）人类：</w:t>
      </w:r>
      <w:r>
        <w:rPr>
          <w:rFonts w:hint="default" w:ascii="Arial" w:hAnsi="Arial" w:cs="Arial"/>
        </w:rPr>
        <w:t xml:space="preserve">If human samples (e.g., tissues, blood, or primary cells) are used, the study must comply with the Declaration of Helsinki and be approved by the Institutional Review Board (IRB) or equivalent ethics committee. </w:t>
      </w:r>
      <w:r>
        <w:rPr>
          <w:rFonts w:hint="default" w:ascii="Arial" w:hAnsi="Arial" w:cs="Arial"/>
        </w:rPr>
        <w:t>知情权I</w:t>
      </w:r>
      <w:r>
        <w:rPr>
          <w:rFonts w:hint="default" w:ascii="Arial" w:hAnsi="Arial" w:cs="Arial"/>
        </w:rPr>
        <w:t xml:space="preserve">nformed consent must be obtained from all donors, and data privacy should be strictly protected. </w:t>
      </w:r>
      <w:r>
        <w:rPr>
          <w:rFonts w:hint="default" w:ascii="Arial" w:hAnsi="Arial" w:cs="Arial"/>
        </w:rPr>
        <w:t>3R原则</w:t>
      </w:r>
      <w:r>
        <w:rPr>
          <w:rFonts w:hint="default" w:ascii="Arial" w:hAnsi="Arial" w:cs="Arial"/>
        </w:rPr>
        <w:t>Compliance with the 3R principle</w:t>
      </w:r>
    </w:p>
    <w:bookmarkEnd w:id="3"/>
    <w:p w14:paraId="1B82AB88">
      <w:pPr>
        <w:rPr>
          <w:rFonts w:hint="default" w:ascii="Arial" w:hAnsi="Arial" w:cs="Arial"/>
          <w:szCs w:val="21"/>
        </w:rPr>
      </w:pPr>
      <w:r>
        <w:rPr>
          <w:rFonts w:hint="default" w:ascii="Arial" w:hAnsi="Arial" w:cs="Arial"/>
          <w:szCs w:val="21"/>
        </w:rPr>
        <w:t>5）涉及临床或者基因组数据：</w:t>
      </w:r>
      <w:r>
        <w:rPr>
          <w:rFonts w:hint="default" w:ascii="Arial" w:hAnsi="Arial" w:cs="Arial"/>
          <w:szCs w:val="21"/>
        </w:rPr>
        <w:t>Any use of personal or clinical data complied with applicable data protection laws and institutional guidelines, including GDPR (if applicable). All data were de-identified before analysis.</w:t>
      </w:r>
    </w:p>
    <w:p w14:paraId="54D089FF">
      <w:pPr>
        <w:rPr>
          <w:rFonts w:hint="default" w:ascii="Arial" w:hAnsi="Arial" w:cs="Arial"/>
          <w:szCs w:val="21"/>
        </w:rPr>
      </w:pPr>
    </w:p>
    <w:p w14:paraId="00CE7E44">
      <w:pPr>
        <w:rPr>
          <w:rFonts w:hint="default" w:ascii="Arial" w:hAnsi="Arial" w:cs="Arial"/>
          <w:szCs w:val="21"/>
        </w:rPr>
      </w:pPr>
    </w:p>
    <w:p w14:paraId="6E2D0659">
      <w:pPr>
        <w:rPr>
          <w:rFonts w:hint="default" w:ascii="Arial" w:hAnsi="Arial" w:cs="Arial"/>
          <w:szCs w:val="21"/>
        </w:rPr>
      </w:pPr>
    </w:p>
    <w:p w14:paraId="47C08F8C">
      <w:pPr>
        <w:numPr>
          <w:ilvl w:val="0"/>
          <w:numId w:val="1"/>
        </w:numPr>
        <w:rPr>
          <w:rFonts w:hint="default" w:ascii="Arial" w:hAnsi="Arial" w:cs="Arial"/>
          <w:sz w:val="24"/>
          <w:szCs w:val="32"/>
          <w:highlight w:val="cyan"/>
        </w:rPr>
      </w:pPr>
      <w:bookmarkStart w:id="4" w:name="OLE_LINK19"/>
      <w:r>
        <w:rPr>
          <w:rFonts w:hint="default" w:ascii="Arial" w:hAnsi="Arial" w:cs="Arial"/>
          <w:sz w:val="24"/>
          <w:szCs w:val="32"/>
          <w:highlight w:val="cyan"/>
        </w:rPr>
        <w:t>Potential Nuisance Variables/Factors or Biases</w:t>
      </w:r>
      <w:bookmarkEnd w:id="4"/>
      <w:r>
        <w:rPr>
          <w:rFonts w:hint="default" w:ascii="Arial" w:hAnsi="Arial" w:cs="Arial"/>
          <w:sz w:val="24"/>
          <w:szCs w:val="32"/>
          <w:highlight w:val="cyan"/>
        </w:rPr>
        <w:t>:</w:t>
      </w:r>
      <w:r>
        <w:rPr>
          <w:rFonts w:hint="default" w:ascii="Arial" w:hAnsi="Arial" w:cs="Arial"/>
          <w:sz w:val="24"/>
          <w:szCs w:val="32"/>
          <w:highlight w:val="cyan"/>
        </w:rPr>
        <w:t>（自变量+无关变量）</w:t>
      </w:r>
    </w:p>
    <w:p w14:paraId="7C5626A9">
      <w:pPr>
        <w:rPr>
          <w:rFonts w:hint="default" w:ascii="Arial" w:hAnsi="Arial" w:cs="Arial"/>
        </w:rPr>
      </w:pPr>
      <w:r>
        <w:rPr>
          <w:rFonts w:hint="default" w:ascii="Arial" w:hAnsi="Arial" w:cs="Arial"/>
        </w:rPr>
        <w:t>1</w:t>
      </w:r>
      <w:bookmarkStart w:id="5" w:name="OLE_LINK20"/>
      <w:r>
        <w:rPr>
          <w:rFonts w:hint="default" w:ascii="Arial" w:hAnsi="Arial" w:cs="Arial"/>
        </w:rPr>
        <w:t>）线虫：We will control for developmental stage and sex (using synchronized L4 hermaphrodites).</w:t>
      </w:r>
    </w:p>
    <w:p w14:paraId="2913F8DB">
      <w:pPr>
        <w:rPr>
          <w:rFonts w:hint="default" w:ascii="Arial" w:hAnsi="Arial" w:cs="Arial"/>
        </w:rPr>
      </w:pPr>
      <w:r>
        <w:rPr>
          <w:rFonts w:hint="default" w:ascii="Arial" w:hAnsi="Arial" w:cs="Arial"/>
        </w:rPr>
        <w:t>-用了CRISPR：CRISPR strains will be backcrossed to eliminate background mutations.</w:t>
      </w:r>
    </w:p>
    <w:p w14:paraId="44A6D555">
      <w:pPr>
        <w:rPr>
          <w:rFonts w:hint="default" w:ascii="Arial" w:hAnsi="Arial" w:cs="Arial"/>
          <w:szCs w:val="32"/>
        </w:rPr>
      </w:pPr>
      <w:r>
        <w:rPr>
          <w:rFonts w:hint="default" w:ascii="Arial" w:hAnsi="Arial" w:cs="Arial"/>
          <w:sz w:val="24"/>
          <w:szCs w:val="32"/>
        </w:rPr>
        <w:t>2）细胞：</w:t>
      </w:r>
      <w:r>
        <w:rPr>
          <w:rFonts w:hint="default" w:ascii="Arial" w:hAnsi="Arial" w:cs="Arial"/>
          <w:szCs w:val="32"/>
        </w:rPr>
        <w:t xml:space="preserve">Potential confounding variables could include differences in cell culture conditions, such as variations in media composition, temperature, or CO2 levels. To minimize these factors, we would ensure that all cell culture conditions are identical for both cell lines. Additionally, multiple independent clones for each cell line should be tested to confirm that any observed effects are due to the mutation and not random clonal variations. </w:t>
      </w:r>
    </w:p>
    <w:p w14:paraId="5FA8CBC9">
      <w:pPr>
        <w:rPr>
          <w:rFonts w:hint="default" w:ascii="Arial" w:hAnsi="Arial" w:cs="Arial"/>
          <w:szCs w:val="32"/>
        </w:rPr>
      </w:pPr>
      <w:r>
        <w:rPr>
          <w:rFonts w:hint="default" w:ascii="Arial" w:hAnsi="Arial" w:cs="Arial"/>
          <w:szCs w:val="32"/>
        </w:rPr>
        <w:t>3）小鼠：</w:t>
      </w:r>
      <w:r>
        <w:rPr>
          <w:rFonts w:hint="default" w:ascii="Arial" w:hAnsi="Arial" w:cs="Arial"/>
          <w:szCs w:val="32"/>
        </w:rPr>
        <w:t>Potential confounding variables in mouse studies may include differences in cage environment, handling, sex, or age. We will select mice with similar age, gender and health status to reduce the bias between the experimental groups, and maintain consistent environmental conditions during the experiment, to improve the accuracy and repeatability of the research results.</w:t>
      </w:r>
    </w:p>
    <w:p w14:paraId="6BA15005">
      <w:pPr>
        <w:rPr>
          <w:rFonts w:hint="default" w:ascii="Arial" w:hAnsi="Arial" w:cs="Arial"/>
          <w:szCs w:val="32"/>
        </w:rPr>
      </w:pPr>
      <w:r>
        <w:rPr>
          <w:rFonts w:hint="default" w:ascii="Arial" w:hAnsi="Arial" w:cs="Arial"/>
          <w:szCs w:val="32"/>
        </w:rPr>
        <w:t>4）人类采样：</w:t>
      </w:r>
      <w:r>
        <w:rPr>
          <w:rFonts w:hint="default" w:ascii="Arial" w:hAnsi="Arial" w:cs="Arial"/>
          <w:szCs w:val="32"/>
        </w:rPr>
        <w:t>Potential confounding variables include variation in age, sex, comorbidities, treatment history, and sample collection time. To minimize these factors, we would match cases and controls as closely as possible and/or adjust for these variables statistically in the analysis. All samples would be collected using a standardized protocol</w:t>
      </w:r>
    </w:p>
    <w:p w14:paraId="516E8DED">
      <w:pPr>
        <w:rPr>
          <w:rFonts w:hint="default" w:ascii="Arial" w:hAnsi="Arial" w:cs="Arial"/>
          <w:szCs w:val="32"/>
        </w:rPr>
      </w:pPr>
      <w:r>
        <w:rPr>
          <w:rFonts w:hint="default" w:ascii="Arial" w:hAnsi="Arial" w:cs="Arial"/>
          <w:szCs w:val="32"/>
        </w:rPr>
        <w:t>3）CRISPR/Cas9：</w:t>
      </w:r>
      <w:r>
        <w:rPr>
          <w:rFonts w:hint="default" w:ascii="Arial" w:hAnsi="Arial" w:cs="Arial"/>
          <w:szCs w:val="32"/>
        </w:rPr>
        <w:t xml:space="preserve">off-target effects from the CRISPR-Cas9 editing could potentially influence the results. We would also validate our CRISPR-Cas9 editing by sequencing to confirm the presence or absence of the </w:t>
      </w:r>
      <w:r>
        <w:rPr>
          <w:rFonts w:hint="default" w:ascii="Arial" w:hAnsi="Arial" w:cs="Arial"/>
          <w:szCs w:val="32"/>
        </w:rPr>
        <w:t>基因</w:t>
      </w:r>
      <w:r>
        <w:rPr>
          <w:rFonts w:hint="default" w:ascii="Arial" w:hAnsi="Arial" w:cs="Arial"/>
          <w:szCs w:val="32"/>
        </w:rPr>
        <w:t xml:space="preserve">and to check for off-target effects. </w:t>
      </w:r>
    </w:p>
    <w:bookmarkEnd w:id="5"/>
    <w:p w14:paraId="0D9802A0">
      <w:pPr>
        <w:rPr>
          <w:rFonts w:hint="default" w:ascii="Arial" w:hAnsi="Arial" w:cs="Arial"/>
          <w:szCs w:val="32"/>
        </w:rPr>
      </w:pPr>
      <w:r>
        <w:rPr>
          <w:rFonts w:hint="default" w:ascii="Arial" w:hAnsi="Arial" w:cs="Arial"/>
          <w:szCs w:val="32"/>
        </w:rPr>
        <w:t>4</w:t>
      </w:r>
      <w:r>
        <w:rPr>
          <w:rFonts w:hint="default" w:ascii="Arial" w:hAnsi="Arial" w:cs="Arial"/>
          <w:szCs w:val="32"/>
        </w:rPr>
        <w:t xml:space="preserve">)qpcr </w:t>
      </w:r>
      <w:r>
        <w:rPr>
          <w:rFonts w:hint="default" w:ascii="Arial" w:hAnsi="Arial" w:cs="Arial"/>
          <w:szCs w:val="32"/>
        </w:rPr>
        <w:t>和WB不用写就是上面的管家基因（</w:t>
      </w:r>
      <w:r>
        <w:rPr>
          <w:rFonts w:hint="default" w:ascii="Arial" w:hAnsi="Arial" w:cs="Arial"/>
          <w:szCs w:val="32"/>
        </w:rPr>
        <w:t>internal loading controls</w:t>
      </w:r>
      <w:r>
        <w:rPr>
          <w:rFonts w:hint="default" w:ascii="Arial" w:hAnsi="Arial" w:cs="Arial"/>
          <w:szCs w:val="32"/>
        </w:rPr>
        <w:t>）</w:t>
      </w:r>
    </w:p>
    <w:p w14:paraId="33E943E4">
      <w:pPr>
        <w:rPr>
          <w:rFonts w:hint="default" w:ascii="Arial" w:hAnsi="Arial" w:cs="Arial"/>
          <w:szCs w:val="32"/>
        </w:rPr>
      </w:pPr>
      <w:r>
        <w:rPr>
          <w:rFonts w:hint="default" w:ascii="Arial" w:hAnsi="Arial" w:cs="Arial"/>
          <w:szCs w:val="32"/>
        </w:rPr>
        <w:t>5</w:t>
      </w:r>
      <w:r>
        <w:rPr>
          <w:rFonts w:hint="default" w:ascii="Arial" w:hAnsi="Arial" w:cs="Arial"/>
          <w:szCs w:val="32"/>
        </w:rPr>
        <w:t>) RNA-seq:</w:t>
      </w:r>
      <w:r>
        <w:rPr>
          <w:rFonts w:hint="default" w:ascii="Arial" w:hAnsi="Arial" w:cs="Arial"/>
        </w:rPr>
        <w:t xml:space="preserve"> </w:t>
      </w:r>
      <w:r>
        <w:rPr>
          <w:rFonts w:hint="default" w:ascii="Arial" w:hAnsi="Arial" w:cs="Arial"/>
          <w:szCs w:val="32"/>
        </w:rPr>
        <w:t>Differences in sequencing depth, library preparation, or batch processing could confound gene expression analysis. To minimize this, we would randomize sample processing order, normalize counts using appropriate methods (e.g., TPM or SCTransform), and apply batch correction tools such as ComBat if needed.</w:t>
      </w:r>
    </w:p>
    <w:p w14:paraId="75E243D1">
      <w:pPr>
        <w:rPr>
          <w:rFonts w:hint="default" w:ascii="Arial" w:hAnsi="Arial" w:cs="Arial"/>
          <w:szCs w:val="32"/>
        </w:rPr>
      </w:pPr>
      <w:r>
        <w:rPr>
          <w:rFonts w:hint="default" w:ascii="Arial" w:hAnsi="Arial" w:cs="Arial"/>
          <w:szCs w:val="32"/>
        </w:rPr>
        <w:t>6)</w:t>
      </w:r>
      <w:r>
        <w:rPr>
          <w:rFonts w:hint="default" w:ascii="Arial" w:hAnsi="Arial" w:cs="Arial"/>
          <w:szCs w:val="32"/>
        </w:rPr>
        <w:t>single-cell RNA-seq：</w:t>
      </w:r>
      <w:r>
        <w:rPr>
          <w:rFonts w:hint="default" w:ascii="Arial" w:hAnsi="Arial" w:cs="Arial"/>
          <w:szCs w:val="32"/>
        </w:rPr>
        <w:t>Gene expression analysis could be biased by dropout events and batch effects. To address this, we will use appropriate normalization techniques and combine multiple samples to minimize technical noise.</w:t>
      </w:r>
    </w:p>
    <w:p w14:paraId="248317E0">
      <w:pPr>
        <w:rPr>
          <w:rFonts w:hint="default" w:ascii="Arial" w:hAnsi="Arial" w:cs="Arial"/>
          <w:szCs w:val="32"/>
        </w:rPr>
      </w:pPr>
    </w:p>
    <w:p w14:paraId="4F251CC1">
      <w:pPr>
        <w:rPr>
          <w:rFonts w:hint="default" w:ascii="Arial" w:hAnsi="Arial" w:cs="Arial"/>
          <w:szCs w:val="32"/>
        </w:rPr>
      </w:pPr>
    </w:p>
    <w:p w14:paraId="38039CB7">
      <w:pPr>
        <w:rPr>
          <w:rFonts w:hint="default" w:ascii="Arial" w:hAnsi="Arial" w:cs="Arial"/>
          <w:szCs w:val="32"/>
        </w:rPr>
      </w:pPr>
    </w:p>
    <w:p w14:paraId="5C6EB06C">
      <w:pPr>
        <w:rPr>
          <w:rFonts w:hint="default" w:ascii="Arial" w:hAnsi="Arial" w:cs="Arial"/>
          <w:szCs w:val="32"/>
        </w:rPr>
      </w:pPr>
    </w:p>
    <w:p w14:paraId="1317FE69">
      <w:pPr>
        <w:rPr>
          <w:rFonts w:hint="default" w:ascii="Arial" w:hAnsi="Arial" w:cs="Arial"/>
          <w:sz w:val="24"/>
          <w:szCs w:val="32"/>
        </w:rPr>
      </w:pPr>
    </w:p>
    <w:p w14:paraId="0875C26A">
      <w:pPr>
        <w:rPr>
          <w:rFonts w:hint="default" w:ascii="Arial" w:hAnsi="Arial" w:cs="Arial"/>
          <w:sz w:val="24"/>
          <w:szCs w:val="32"/>
        </w:rPr>
      </w:pPr>
    </w:p>
    <w:p w14:paraId="07A0EE5B">
      <w:pPr>
        <w:rPr>
          <w:rFonts w:hint="default" w:ascii="Arial" w:hAnsi="Arial" w:cs="Arial"/>
          <w:sz w:val="24"/>
          <w:szCs w:val="32"/>
        </w:rPr>
      </w:pPr>
    </w:p>
    <w:p w14:paraId="3E6D1413">
      <w:pPr>
        <w:rPr>
          <w:rFonts w:hint="default" w:ascii="Arial" w:hAnsi="Arial" w:cs="Arial"/>
          <w:sz w:val="24"/>
          <w:szCs w:val="32"/>
        </w:rPr>
      </w:pPr>
    </w:p>
    <w:p w14:paraId="3D441697">
      <w:pPr>
        <w:rPr>
          <w:rFonts w:hint="default" w:ascii="Arial" w:hAnsi="Arial" w:cs="Arial"/>
          <w:sz w:val="24"/>
          <w:szCs w:val="32"/>
        </w:rPr>
      </w:pPr>
    </w:p>
    <w:p w14:paraId="0A5CA303">
      <w:pPr>
        <w:numPr>
          <w:ilvl w:val="0"/>
          <w:numId w:val="5"/>
        </w:numPr>
        <w:rPr>
          <w:rFonts w:hint="default" w:ascii="Arial" w:hAnsi="Arial" w:cs="Arial"/>
          <w:sz w:val="24"/>
          <w:szCs w:val="32"/>
          <w:highlight w:val="cyan"/>
        </w:rPr>
      </w:pPr>
      <w:r>
        <w:rPr>
          <w:rFonts w:hint="default" w:ascii="Arial" w:hAnsi="Arial" w:cs="Arial"/>
          <w:sz w:val="24"/>
          <w:szCs w:val="32"/>
          <w:highlight w:val="cyan"/>
        </w:rPr>
        <w:t>技术</w:t>
      </w:r>
    </w:p>
    <w:p w14:paraId="383EFC12">
      <w:pPr>
        <w:numPr>
          <w:ilvl w:val="0"/>
          <w:numId w:val="6"/>
        </w:numPr>
        <w:rPr>
          <w:rFonts w:hint="default" w:ascii="Arial" w:hAnsi="Arial" w:cs="Arial"/>
        </w:rPr>
      </w:pPr>
      <w:r>
        <w:rPr>
          <w:rFonts w:hint="default" w:ascii="Arial" w:hAnsi="Arial" w:cs="Arial"/>
        </w:rPr>
        <w:t>Blinded</w:t>
      </w:r>
      <w:r>
        <w:rPr>
          <w:rFonts w:hint="default" w:ascii="Arial" w:hAnsi="Arial" w:cs="Arial"/>
          <w:color w:val="FF0000"/>
        </w:rPr>
        <w:t xml:space="preserve"> imaging</w:t>
      </w:r>
      <w:r>
        <w:rPr>
          <w:rFonts w:hint="default" w:ascii="Arial" w:hAnsi="Arial" w:cs="Arial"/>
        </w:rPr>
        <w:t xml:space="preserve"> and analysis will be performed to reduce bias.</w:t>
      </w:r>
    </w:p>
    <w:p w14:paraId="109C77A5">
      <w:pPr>
        <w:rPr>
          <w:rFonts w:hint="default" w:ascii="Arial" w:hAnsi="Arial" w:cs="Arial"/>
        </w:rPr>
      </w:pPr>
    </w:p>
    <w:p w14:paraId="5CFCA986">
      <w:pPr>
        <w:rPr>
          <w:rFonts w:hint="default" w:ascii="Arial" w:hAnsi="Arial" w:cs="Arial"/>
        </w:rPr>
      </w:pPr>
    </w:p>
    <w:p w14:paraId="0858F8C0">
      <w:pPr>
        <w:widowControl/>
        <w:jc w:val="left"/>
        <w:rPr>
          <w:rFonts w:hint="default" w:ascii="Arial" w:hAnsi="Arial" w:cs="Arial"/>
        </w:rPr>
      </w:pPr>
      <w:r>
        <w:rPr>
          <w:rFonts w:hint="default" w:ascii="Arial" w:hAnsi="Arial" w:cs="Arial"/>
        </w:rPr>
        <w:br w:type="page"/>
      </w:r>
    </w:p>
    <w:p w14:paraId="4FF4E4DF">
      <w:pPr>
        <w:rPr>
          <w:rFonts w:hint="default" w:ascii="Arial" w:hAnsi="Arial" w:cs="Arial"/>
        </w:rPr>
      </w:pPr>
      <w:r>
        <w:rPr>
          <w:rFonts w:hint="default" w:ascii="Arial" w:hAnsi="Arial" w:cs="Arial"/>
        </w:rPr>
        <w:t>单词：</w:t>
      </w:r>
    </w:p>
    <w:p w14:paraId="55E705CC">
      <w:pPr>
        <w:rPr>
          <w:rFonts w:hint="default" w:ascii="Arial" w:hAnsi="Arial" w:cs="Arial"/>
        </w:rPr>
      </w:pPr>
      <w:r>
        <w:rPr>
          <w:rFonts w:hint="default" w:ascii="Arial" w:hAnsi="Arial" w:cs="Arial"/>
        </w:rPr>
        <w:t>曲线</w:t>
      </w:r>
      <w:r>
        <w:rPr>
          <w:rFonts w:hint="default" w:ascii="Arial" w:hAnsi="Arial" w:cs="Arial"/>
        </w:rPr>
        <w:t>curve</w:t>
      </w:r>
    </w:p>
    <w:p w14:paraId="5840386B">
      <w:pPr>
        <w:rPr>
          <w:rFonts w:hint="default" w:ascii="Arial" w:hAnsi="Arial" w:cs="Arial"/>
        </w:rPr>
      </w:pPr>
      <w:r>
        <w:rPr>
          <w:rFonts w:hint="default" w:ascii="Arial" w:hAnsi="Arial" w:cs="Arial"/>
        </w:rPr>
        <w:t>吸光度</w:t>
      </w:r>
      <w:r>
        <w:rPr>
          <w:rFonts w:hint="default" w:ascii="Arial" w:hAnsi="Arial" w:cs="Arial"/>
        </w:rPr>
        <w:t>absorbance</w:t>
      </w:r>
    </w:p>
    <w:p w14:paraId="66A48010">
      <w:pPr>
        <w:rPr>
          <w:rFonts w:hint="default" w:ascii="Arial" w:hAnsi="Arial" w:cs="Arial"/>
        </w:rPr>
      </w:pPr>
      <w:r>
        <w:rPr>
          <w:rFonts w:hint="default" w:ascii="Arial" w:hAnsi="Arial" w:cs="Arial"/>
        </w:rPr>
        <w:t>single-cell sequencing</w:t>
      </w:r>
    </w:p>
    <w:p w14:paraId="0A6DCF4D">
      <w:pPr>
        <w:rPr>
          <w:rFonts w:hint="default" w:ascii="Arial" w:hAnsi="Arial" w:cs="Arial"/>
        </w:rPr>
      </w:pPr>
      <w:r>
        <w:rPr>
          <w:rFonts w:hint="default" w:ascii="Arial" w:hAnsi="Arial" w:cs="Arial"/>
        </w:rPr>
        <w:t>流式</w:t>
      </w:r>
      <w:r>
        <w:rPr>
          <w:rFonts w:hint="default" w:ascii="Arial" w:hAnsi="Arial" w:cs="Arial"/>
        </w:rPr>
        <w:t>Flow Cytometry</w:t>
      </w:r>
      <w:r>
        <w:rPr>
          <w:rFonts w:hint="default" w:ascii="Arial" w:hAnsi="Arial" w:cs="Arial"/>
        </w:rPr>
        <w:t>选取用gating strategy</w:t>
      </w:r>
    </w:p>
    <w:p w14:paraId="60D103E2">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4D"/>
    <w:family w:val="decorative"/>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351795"/>
    <w:multiLevelType w:val="singleLevel"/>
    <w:tmpl w:val="AB351795"/>
    <w:lvl w:ilvl="0" w:tentative="0">
      <w:start w:val="1"/>
      <w:numFmt w:val="bullet"/>
      <w:lvlText w:val=""/>
      <w:lvlJc w:val="left"/>
      <w:pPr>
        <w:ind w:left="420" w:hanging="420"/>
      </w:pPr>
      <w:rPr>
        <w:rFonts w:hint="default" w:ascii="Wingdings" w:hAnsi="Wingdings"/>
      </w:rPr>
    </w:lvl>
  </w:abstractNum>
  <w:abstractNum w:abstractNumId="1">
    <w:nsid w:val="DD98E50F"/>
    <w:multiLevelType w:val="singleLevel"/>
    <w:tmpl w:val="DD98E50F"/>
    <w:lvl w:ilvl="0" w:tentative="0">
      <w:start w:val="1"/>
      <w:numFmt w:val="bullet"/>
      <w:lvlText w:val=""/>
      <w:lvlJc w:val="left"/>
      <w:pPr>
        <w:ind w:left="420" w:hanging="420"/>
      </w:pPr>
      <w:rPr>
        <w:rFonts w:hint="default" w:ascii="Wingdings" w:hAnsi="Wingdings"/>
      </w:rPr>
    </w:lvl>
  </w:abstractNum>
  <w:abstractNum w:abstractNumId="2">
    <w:nsid w:val="0F304C6D"/>
    <w:multiLevelType w:val="multilevel"/>
    <w:tmpl w:val="0F304C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1E63AB8"/>
    <w:multiLevelType w:val="multilevel"/>
    <w:tmpl w:val="51E63A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E80B1A5"/>
    <w:multiLevelType w:val="singleLevel"/>
    <w:tmpl w:val="5E80B1A5"/>
    <w:lvl w:ilvl="0" w:tentative="0">
      <w:start w:val="1"/>
      <w:numFmt w:val="decimal"/>
      <w:suff w:val="space"/>
      <w:lvlText w:val="%1."/>
      <w:lvlJc w:val="left"/>
    </w:lvl>
  </w:abstractNum>
  <w:abstractNum w:abstractNumId="5">
    <w:nsid w:val="7B13664D"/>
    <w:multiLevelType w:val="multilevel"/>
    <w:tmpl w:val="7B1366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lMzBlN2YzMWEzOGY4M2UyMmU3M2EyNzQ5NmFhYTkifQ=="/>
  </w:docVars>
  <w:rsids>
    <w:rsidRoot w:val="00EB7B93"/>
    <w:rsid w:val="00067875"/>
    <w:rsid w:val="000B1331"/>
    <w:rsid w:val="00230336"/>
    <w:rsid w:val="00461975"/>
    <w:rsid w:val="00627D6F"/>
    <w:rsid w:val="006C4493"/>
    <w:rsid w:val="006C495E"/>
    <w:rsid w:val="00700629"/>
    <w:rsid w:val="00786DF0"/>
    <w:rsid w:val="007E0389"/>
    <w:rsid w:val="008213DD"/>
    <w:rsid w:val="00841ECC"/>
    <w:rsid w:val="008C737E"/>
    <w:rsid w:val="00904312"/>
    <w:rsid w:val="009F25D2"/>
    <w:rsid w:val="00A34C33"/>
    <w:rsid w:val="00A905C7"/>
    <w:rsid w:val="00B466B0"/>
    <w:rsid w:val="00D20585"/>
    <w:rsid w:val="00D22DEE"/>
    <w:rsid w:val="00E56818"/>
    <w:rsid w:val="00E71140"/>
    <w:rsid w:val="00EB7B93"/>
    <w:rsid w:val="00F71BEA"/>
    <w:rsid w:val="00FE39AE"/>
    <w:rsid w:val="04FB6078"/>
    <w:rsid w:val="05A112C5"/>
    <w:rsid w:val="08BC795B"/>
    <w:rsid w:val="0C6F280A"/>
    <w:rsid w:val="0D954907"/>
    <w:rsid w:val="1A6645A9"/>
    <w:rsid w:val="1D69418F"/>
    <w:rsid w:val="402334C8"/>
    <w:rsid w:val="416B2C84"/>
    <w:rsid w:val="5D6D4FFA"/>
    <w:rsid w:val="65B7636E"/>
    <w:rsid w:val="6D7D36DF"/>
    <w:rsid w:val="70BB79D3"/>
    <w:rsid w:val="75E1612D"/>
    <w:rsid w:val="7C527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9"/>
    <w:semiHidden/>
    <w:unhideWhenUsed/>
    <w:qFormat/>
    <w:uiPriority w:val="0"/>
    <w:pPr>
      <w:keepNext/>
      <w:keepLines/>
      <w:spacing w:before="260" w:after="260" w:line="416" w:lineRule="auto"/>
      <w:outlineLvl w:val="2"/>
    </w:pPr>
    <w:rPr>
      <w:b/>
      <w:bCs/>
      <w:sz w:val="32"/>
      <w:szCs w:val="32"/>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tabs>
        <w:tab w:val="center" w:pos="4153"/>
        <w:tab w:val="right" w:pos="8306"/>
      </w:tabs>
      <w:snapToGrid w:val="0"/>
      <w:jc w:val="center"/>
    </w:pPr>
    <w:rPr>
      <w:sz w:val="18"/>
      <w:szCs w:val="18"/>
    </w:rPr>
  </w:style>
  <w:style w:type="paragraph" w:styleId="5">
    <w:name w:val="Normal (Web)"/>
    <w:basedOn w:val="1"/>
    <w:qFormat/>
    <w:uiPriority w:val="0"/>
    <w:rPr>
      <w:rFonts w:ascii="Times New Roman" w:hAnsi="Times New Roman" w:cs="Times New Roman"/>
      <w:sz w:val="24"/>
    </w:rPr>
  </w:style>
  <w:style w:type="paragraph" w:styleId="8">
    <w:name w:val="List Paragraph"/>
    <w:basedOn w:val="1"/>
    <w:unhideWhenUsed/>
    <w:qFormat/>
    <w:uiPriority w:val="99"/>
    <w:pPr>
      <w:ind w:firstLine="420" w:firstLineChars="200"/>
    </w:pPr>
  </w:style>
  <w:style w:type="character" w:customStyle="1" w:styleId="9">
    <w:name w:val="标题 3 字符"/>
    <w:basedOn w:val="7"/>
    <w:link w:val="2"/>
    <w:semiHidden/>
    <w:qFormat/>
    <w:uiPriority w:val="0"/>
    <w:rPr>
      <w:rFonts w:asciiTheme="minorHAnsi" w:hAnsiTheme="minorHAnsi" w:eastAsiaTheme="minorEastAsia" w:cstheme="minorBidi"/>
      <w:b/>
      <w:bCs/>
      <w:kern w:val="2"/>
      <w:sz w:val="32"/>
      <w:szCs w:val="32"/>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1663</Words>
  <Characters>6934</Characters>
  <Lines>57</Lines>
  <Paragraphs>16</Paragraphs>
  <TotalTime>410</TotalTime>
  <ScaleCrop>false</ScaleCrop>
  <LinksUpToDate>false</LinksUpToDate>
  <CharactersWithSpaces>7960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2025-03-26T12:32:00Z</dcterms:created>
  <dc:creator>ASUS</dc:creator>
  <cp:lastModifiedBy>梁笑然</cp:lastModifiedBy>
  <dcterms:modified xsi:type="dcterms:W3CDTF">2025-03-27T03:24:27Z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B4B1F63B0C9B40BE93AD417430E1609C_13</vt:lpwstr>
  </property>
</Properties>
</file>