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F3864"/>
          <w:sz w:val="52"/>
          <w:szCs w:val="52"/>
        </w:rPr>
        <w:t xml:space="preserve">Cheran Seripally</w:t>
      </w:r>
    </w:p>
    <w:p>
      <w:pPr>
        <w:spacing w:after="20" w:before="0"/>
        <w:jc w:val="center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Dallas, TX  •  (945) 391-9009  •  cheranseripally@gmail.com  •  linkedin.com/in/cheran-seripally</w:t>
      </w:r>
    </w:p>
    <w:p>
      <w:pPr>
        <w:pBdr>
          <w:bottom w:val="single" w:color="1F3864" w:sz="6" w:space="4"/>
        </w:pBdr>
        <w:spacing w:after="60" w:before="1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after="80" w:before="80"/>
      </w:pPr>
      <w:r>
        <w:rPr>
          <w:rFonts w:ascii="Calibri" w:cs="Calibri" w:eastAsia="Calibri" w:hAnsi="Calibri"/>
          <w:i w:val="false"/>
          <w:iCs w:val="false"/>
          <w:color w:val="212121"/>
          <w:sz w:val="19"/>
          <w:szCs w:val="19"/>
        </w:rPr>
        <w:t xml:space="preserve">Graduate student in Information Technology &amp; Management at the University of Texas at Dallas with hands-on experience designing and deploying AI/ML systems in production environments. Built end-to-end machine learning pipelines — including OpenAI-powered document classification, confidence scoring, and self-improving vendor rule engines — as part of a full-stack AI Finance Operations platform (FinOpsAi). Combines strong Python and data engineering fundamentals (NumPy, Pandas, SQL) with real-world model evaluation, automated testing, and agile collaborative development practices.</w:t>
      </w:r>
    </w:p>
    <w:p>
      <w:pPr>
        <w:pBdr>
          <w:bottom w:val="single" w:color="1F3864" w:sz="6" w:space="4"/>
        </w:pBdr>
        <w:spacing w:after="60" w:before="1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TECHNICAL SKILLS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212121"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color w:val="212121"/>
          <w:sz w:val="19"/>
          <w:szCs w:val="19"/>
        </w:rPr>
        <w:t xml:space="preserve">Python, TypeScript, JavaScript, SQL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212121"/>
          <w:sz w:val="19"/>
          <w:szCs w:val="19"/>
        </w:rPr>
        <w:t xml:space="preserve">ML &amp; Data Science: </w:t>
      </w:r>
      <w:r>
        <w:rPr>
          <w:rFonts w:ascii="Calibri" w:cs="Calibri" w:eastAsia="Calibri" w:hAnsi="Calibri"/>
          <w:color w:val="212121"/>
          <w:sz w:val="19"/>
          <w:szCs w:val="19"/>
        </w:rPr>
        <w:t xml:space="preserve">NumPy, Pandas, scikit-learn, OpenAI API (GPT-4o-mini), supervised &amp; unsupervised learning, regression, classification, confidence scoring, prompt engineering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212121"/>
          <w:sz w:val="19"/>
          <w:szCs w:val="19"/>
        </w:rPr>
        <w:t xml:space="preserve">Data Engineering: </w:t>
      </w:r>
      <w:r>
        <w:rPr>
          <w:rFonts w:ascii="Calibri" w:cs="Calibri" w:eastAsia="Calibri" w:hAnsi="Calibri"/>
          <w:color w:val="212121"/>
          <w:sz w:val="19"/>
          <w:szCs w:val="19"/>
        </w:rPr>
        <w:t xml:space="preserve">Data preprocessing pipelines, CSV/XLSX/JSON parsing (PapaParse, SheetJS), data cleaning, feature extraction, SQL migrations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212121"/>
          <w:sz w:val="19"/>
          <w:szCs w:val="19"/>
        </w:rPr>
        <w:t xml:space="preserve">Databases: </w:t>
      </w:r>
      <w:r>
        <w:rPr>
          <w:rFonts w:ascii="Calibri" w:cs="Calibri" w:eastAsia="Calibri" w:hAnsi="Calibri"/>
          <w:color w:val="212121"/>
          <w:sz w:val="19"/>
          <w:szCs w:val="19"/>
        </w:rPr>
        <w:t xml:space="preserve">PostgreSQL (Supabase), MongoDB, NoSQL, structured data modeling, Row-Level Security (RLS)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212121"/>
          <w:sz w:val="19"/>
          <w:szCs w:val="19"/>
        </w:rPr>
        <w:t xml:space="preserve">Visualization: </w:t>
      </w:r>
      <w:r>
        <w:rPr>
          <w:rFonts w:ascii="Calibri" w:cs="Calibri" w:eastAsia="Calibri" w:hAnsi="Calibri"/>
          <w:color w:val="212121"/>
          <w:sz w:val="19"/>
          <w:szCs w:val="19"/>
        </w:rPr>
        <w:t xml:space="preserve">Recharts, Tableau, Power BI, Matplotlib (conceptual), Jupyter Notebooks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212121"/>
          <w:sz w:val="19"/>
          <w:szCs w:val="19"/>
        </w:rPr>
        <w:t xml:space="preserve">MLOps &amp; DevOps: </w:t>
      </w:r>
      <w:r>
        <w:rPr>
          <w:rFonts w:ascii="Calibri" w:cs="Calibri" w:eastAsia="Calibri" w:hAnsi="Calibri"/>
          <w:color w:val="212121"/>
          <w:sz w:val="19"/>
          <w:szCs w:val="19"/>
        </w:rPr>
        <w:t xml:space="preserve">GitHub Actions (CI/CD), Vitest (automated testing), Sentry (monitoring), Docker (familiar), Git, Vercel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212121"/>
          <w:sz w:val="19"/>
          <w:szCs w:val="19"/>
        </w:rPr>
        <w:t xml:space="preserve">Frameworks: </w:t>
      </w:r>
      <w:r>
        <w:rPr>
          <w:rFonts w:ascii="Calibri" w:cs="Calibri" w:eastAsia="Calibri" w:hAnsi="Calibri"/>
          <w:color w:val="212121"/>
          <w:sz w:val="19"/>
          <w:szCs w:val="19"/>
        </w:rPr>
        <w:t xml:space="preserve">Next.js 16, React 19, Node.js, REST API design, Zod schema validation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212121"/>
          <w:sz w:val="19"/>
          <w:szCs w:val="19"/>
        </w:rPr>
        <w:t xml:space="preserve">Cloud: </w:t>
      </w:r>
      <w:r>
        <w:rPr>
          <w:rFonts w:ascii="Calibri" w:cs="Calibri" w:eastAsia="Calibri" w:hAnsi="Calibri"/>
          <w:color w:val="212121"/>
          <w:sz w:val="19"/>
          <w:szCs w:val="19"/>
        </w:rPr>
        <w:t xml:space="preserve">AWS (S3, IAM), Supabase Cloud, serverless edge functions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212121"/>
          <w:sz w:val="19"/>
          <w:szCs w:val="19"/>
        </w:rPr>
        <w:t xml:space="preserve">Security &amp; Compliance: </w:t>
      </w:r>
      <w:r>
        <w:rPr>
          <w:rFonts w:ascii="Calibri" w:cs="Calibri" w:eastAsia="Calibri" w:hAnsi="Calibri"/>
          <w:color w:val="212121"/>
          <w:sz w:val="19"/>
          <w:szCs w:val="19"/>
        </w:rPr>
        <w:t xml:space="preserve">AES-256, NIST CSF, GDPR, SOC 2, ISO 27001, post-quantum cryptography, NIST SP 800-53</w:t>
      </w:r>
    </w:p>
    <w:p>
      <w:pPr>
        <w:pBdr>
          <w:bottom w:val="single" w:color="1F3864" w:sz="6" w:space="4"/>
        </w:pBdr>
        <w:spacing w:after="60" w:before="1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PROJECTS</w:t>
      </w:r>
    </w:p>
    <w:p>
      <w:pPr>
        <w:tabs>
          <w:tab w:val="right" w:pos="9026"/>
        </w:tabs>
        <w:spacing w:after="40" w:before="160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FinOpsAi — AI/ML Finance Operations Platform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—  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Python · OpenAI GPT-4o-mini · NumPy · Pandas · PostgreSQL · TypeScript · GitHub Actions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	2025 – Present</w:t>
      </w:r>
    </w:p>
    <w:p>
      <w:pPr>
        <w:spacing w:after="30" w:before="40"/>
      </w:pPr>
      <w:r>
        <w:rPr>
          <w:rFonts w:ascii="Calibri" w:cs="Calibri" w:eastAsia="Calibri" w:hAnsi="Calibri"/>
          <w:i w:val="false"/>
          <w:iCs w:val="false"/>
          <w:color w:val="212121"/>
          <w:sz w:val="19"/>
          <w:szCs w:val="19"/>
        </w:rPr>
        <w:t xml:space="preserve">Production-grade AI platform that applies machine learning to automate financial document classification, transaction matching, and exception detection for enterprise finance teams.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12121"/>
          <w:sz w:val="19"/>
          <w:szCs w:val="19"/>
        </w:rPr>
        <w:t xml:space="preserve">Designed and implemented an AI classification pipeline using OpenAI GPT-4o-mini to automatically classify financial documents (bank statements, invoices, payroll, journal entries) — extracting headers, sample rows, and detected entities to generate structured classification output with confidence scores (0–100) and reasoning traces.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12121"/>
          <w:sz w:val="19"/>
          <w:szCs w:val="19"/>
        </w:rPr>
        <w:t xml:space="preserve">Built a bank-to-invoice matching model using fuzzy matching algorithms, pattern-based rules, and a vendor rule learning engine that trains on human approval history — achieving self-improving accuracy by promoting recurring vendor-GL patterns to auto-approve rules after 3+ confirmed matches.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12121"/>
          <w:sz w:val="19"/>
          <w:szCs w:val="19"/>
        </w:rPr>
        <w:t xml:space="preserve">Engineered multi-format data preprocessing pipelines (CSV, XLSX, PDF) with column detection, data normalization, and schema validation using Zod — feeding clean, structured data into the matching and classification models.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12121"/>
          <w:sz w:val="19"/>
          <w:szCs w:val="19"/>
        </w:rPr>
        <w:t xml:space="preserve">Implemented model performance instrumentation: confidence badges, AI reasoning cards, and evidence trails allowing reviewers to trace every classification back to its source file, sample data, and AI rationale — enabling systematic evaluation of model output quality.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12121"/>
          <w:sz w:val="19"/>
          <w:szCs w:val="19"/>
        </w:rPr>
        <w:t xml:space="preserve">Established a CI/CD pipeline via GitHub Actions (lint → type-check → Vitest automated test suite) ensuring model integration code is regression-tested on every pull request; monitored production inference errors with Sentry across client, server, and edge runtimes.</w:t>
      </w:r>
    </w:p>
    <w:p>
      <w:pPr>
        <w:pBdr>
          <w:bottom w:val="single" w:color="1F3864" w:sz="6" w:space="4"/>
        </w:pBdr>
        <w:spacing w:after="60" w:before="1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EXPERIENCE</w:t>
      </w:r>
    </w:p>
    <w:p>
      <w:pPr>
        <w:tabs>
          <w:tab w:val="right" w:pos="9026"/>
        </w:tabs>
        <w:spacing w:after="40" w:before="160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Director of Business Development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| 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COE Security — South Carolina, USA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	Aug 2023 – Aug 2025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12121"/>
          <w:sz w:val="19"/>
          <w:szCs w:val="19"/>
        </w:rPr>
        <w:t xml:space="preserve">Deployed AI-driven lead scoring models integrated with Salesforce CRM, using classification algorithms to segment and prioritize prospects — boosting lead conversion rates by 40% and reducing manual pipeline review by 3 months.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12121"/>
          <w:sz w:val="19"/>
          <w:szCs w:val="19"/>
        </w:rPr>
        <w:t xml:space="preserve">Applied market analytics and competitive intelligence data pipelines to inform GTM strategy, expanding the qualified sales pipeline by 35% and generating $5M+ in enterprise opportunities through data-driven decision making.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12121"/>
          <w:sz w:val="19"/>
          <w:szCs w:val="19"/>
        </w:rPr>
        <w:t xml:space="preserve">Designed quantitative risk models for cloud security portfolio decisions, presenting data-backed threat scenarios and probability-weighted outcomes to C-suite stakeholders, driving investment in emerging security technologies.</w:t>
      </w:r>
    </w:p>
    <w:p>
      <w:pPr>
        <w:tabs>
          <w:tab w:val="right" w:pos="9026"/>
        </w:tabs>
        <w:spacing w:after="40" w:before="160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Data Security Analyst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| 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Ntheye Technologies — Hyderabad, India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	Aug 2021 – Aug 2023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12121"/>
          <w:sz w:val="19"/>
          <w:szCs w:val="19"/>
        </w:rPr>
        <w:t xml:space="preserve">Architected automated incident response playbooks using Python scripting and NIST CSF-aligned detection logic, reducing Mean Time to Respond (MTTR) by 75% — from 4 hours to under 1 hour — through programmatic triage and remediation pipelines.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12121"/>
          <w:sz w:val="19"/>
          <w:szCs w:val="19"/>
        </w:rPr>
        <w:t xml:space="preserve">Developed quantum-resistant cryptography risk models leveraging statistical threat analysis and lattice-based encryption research; built predictive threat scenarios improving threat detection accuracy by 40% across enterprise systems.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12121"/>
          <w:sz w:val="19"/>
          <w:szCs w:val="19"/>
        </w:rPr>
        <w:t xml:space="preserve">Engineered AES-256 encryption integration on AWS S3 with automated compliance monitoring, protecting 1M+ customer records and achieving 100% GDPR compliance — applying data security principles to large-scale structured data environments.</w:t>
      </w:r>
    </w:p>
    <w:p>
      <w:pPr>
        <w:tabs>
          <w:tab w:val="right" w:pos="9026"/>
        </w:tabs>
        <w:spacing w:after="40" w:before="160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Geospatial Security Intern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| 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Indian Space Research Organisation (ISRO) — Dehradun, India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	Feb 2020 – Aug 2021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12121"/>
          <w:sz w:val="19"/>
          <w:szCs w:val="19"/>
        </w:rPr>
        <w:t xml:space="preserve">Developed a blockchain-based data integrity verification framework using smart contracts and tokenized access controls, applying distributed systems principles to improve cross-department validation efficiency by 35%.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12121"/>
          <w:sz w:val="19"/>
          <w:szCs w:val="19"/>
        </w:rPr>
        <w:t xml:space="preserve">Conducted statistical compliance analysis of ISRO's data practices against ISO 27001 and NIST SP 800-53 frameworks; authored a whitepaper that closed 95% of regulatory gaps through evidence-based policy recommendations.</w:t>
      </w:r>
    </w:p>
    <w:p>
      <w:pPr>
        <w:pBdr>
          <w:bottom w:val="single" w:color="1F3864" w:sz="6" w:space="4"/>
        </w:pBdr>
        <w:spacing w:after="60" w:before="1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after="40" w:before="100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M.S. in Information Technology &amp; Management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| 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University of Texas at Dallas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	Aug 2025 – Aug 2027 (Current)</w:t>
      </w:r>
    </w:p>
    <w:p>
      <w:pPr>
        <w:spacing w:after="30" w:before="30"/>
      </w:pPr>
      <w:r>
        <w:rPr>
          <w:rFonts w:ascii="Calibri" w:cs="Calibri" w:eastAsia="Calibri" w:hAnsi="Calibri"/>
          <w:i w:val="false"/>
          <w:iCs w:val="false"/>
          <w:color w:val="212121"/>
          <w:sz w:val="19"/>
          <w:szCs w:val="19"/>
        </w:rPr>
        <w:t xml:space="preserve">Relevant coursework: Machine Learning, Data Engineering, Database Systems, Cloud Computing, Applied Statistics</w:t>
      </w:r>
    </w:p>
    <w:p>
      <w:pPr>
        <w:tabs>
          <w:tab w:val="right" w:pos="9026"/>
        </w:tabs>
        <w:spacing w:after="40" w:before="80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B.A. in Economics, Public Administration &amp; Political Science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| 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Osmania University, India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	Aug 2020 – Aug 2023</w:t>
      </w:r>
    </w:p>
    <w:p>
      <w:pPr>
        <w:spacing w:after="0" w:before="160"/>
      </w:pPr>
      <w:r>
        <w:rPr>
          <w:rFonts w:ascii="Calibri" w:cs="Calibri" w:eastAsia="Calibri" w:hAnsi="Calibri"/>
          <w:b/>
          <w:bCs/>
          <w:color w:val="444444"/>
          <w:sz w:val="18"/>
          <w:szCs w:val="18"/>
        </w:rPr>
        <w:t xml:space="preserve">Work Authorization: 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Authorized to work in the U.S. on F-1 visa · CPT eligible during study · 36-month OPT available upon graduation.</w:t>
      </w:r>
    </w:p>
    <w:sectPr>
      <w:pgSz w:w="12240" w:h="15840" w:orient="portrait"/>
      <w:pgMar w:top="864" w:right="1008" w:bottom="864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2026-04-14T19:16:19.646Z</dcterms:created>
  <dcterms:modified xsi:type="dcterms:W3CDTF">2026-04-14T19:16:19.646Z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