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search-task-list"/>
    <w:p>
      <w:pPr>
        <w:pStyle w:val="Heading1"/>
      </w:pPr>
      <w:r>
        <w:t xml:space="preserve">Research Task List</w:t>
      </w:r>
    </w:p>
    <w:bookmarkStart w:id="20" w:name="X4df6635e686654ffef1a4e7b13a56e4f4672a8d"/>
    <w:p>
      <w:pPr>
        <w:pStyle w:val="Heading2"/>
      </w:pPr>
      <w:r>
        <w:t xml:space="preserve">Isaiah Martinez – Spring 2026 Internship (CHI Digital Twin Foundations)</w:t>
      </w:r>
    </w:p>
    <w:p>
      <w:pPr>
        <w:pStyle w:val="FirstParagraph"/>
      </w:pPr>
      <w:r>
        <w:t xml:space="preserve">This document enumerates the discrete research tasks required to fulfill the approved 120-hour Statement of Work. Tasks are grouped by technical domain and reflect the investigative, engineering, and documentation responsibilities of the internship.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unity-foundations-research"/>
    <w:p>
      <w:pPr>
        <w:pStyle w:val="Heading1"/>
      </w:pPr>
      <w:r>
        <w:t xml:space="preserve">1. Unity Foundations Research</w:t>
      </w:r>
    </w:p>
    <w:p>
      <w:pPr>
        <w:pStyle w:val="FirstParagraph"/>
      </w:pPr>
      <w:r>
        <w:t xml:space="preserve">1.1 Review Unity coordinate systems, transforms, scale units, and world-space conventions.</w:t>
      </w:r>
      <w:r>
        <w:t xml:space="preserve"> </w:t>
      </w:r>
      <w:r>
        <w:t xml:space="preserve">1.2 Evaluate render pipeline options (URP vs HDRP) relative to project goals.</w:t>
      </w:r>
      <w:r>
        <w:t xml:space="preserve"> </w:t>
      </w:r>
      <w:r>
        <w:t xml:space="preserve">1.3 Document recommended Unity project configuration standards for CHI.</w:t>
      </w:r>
      <w:r>
        <w:t xml:space="preserve"> </w:t>
      </w:r>
      <w:r>
        <w:t xml:space="preserve">1.4 Identify best practices for scene organization and prefab structuring.</w:t>
      </w:r>
    </w:p>
    <w:p>
      <w:pPr>
        <w:pStyle w:val="BodyText"/>
      </w:pPr>
      <w:r>
        <w:t xml:space="preserve">Deliverable: Unity Project Configuration Memo.</w:t>
      </w:r>
    </w:p>
    <w:p>
      <w:r>
        <w:pict>
          <v:rect style="width:0;height:1.5pt" o:hralign="center" o:hrstd="t" o:hr="t"/>
        </w:pict>
      </w:r>
    </w:p>
    <w:bookmarkEnd w:id="22"/>
    <w:bookmarkStart w:id="23" w:name="modeling-workflow-investigation"/>
    <w:p>
      <w:pPr>
        <w:pStyle w:val="Heading1"/>
      </w:pPr>
      <w:r>
        <w:t xml:space="preserve">2. Modeling Workflow Investigation</w:t>
      </w:r>
    </w:p>
    <w:p>
      <w:pPr>
        <w:pStyle w:val="FirstParagraph"/>
      </w:pPr>
      <w:r>
        <w:t xml:space="preserve">2.1 Compare Unity-native modeling tools (primitives, ProBuilder) with external DCC workflows (e.g., Blender → FBX → Unity).</w:t>
      </w:r>
      <w:r>
        <w:t xml:space="preserve"> </w:t>
      </w:r>
      <w:r>
        <w:t xml:space="preserve">2.2 Identify advantages and limitations of each workflow in terms of:</w:t>
      </w:r>
      <w:r>
        <w:t xml:space="preserve"> </w:t>
      </w:r>
      <w:r>
        <w:t xml:space="preserve">- Scale control</w:t>
      </w:r>
      <w:r>
        <w:t xml:space="preserve"> </w:t>
      </w:r>
      <w:r>
        <w:t xml:space="preserve">- Topology cleanliness</w:t>
      </w:r>
      <w:r>
        <w:t xml:space="preserve"> </w:t>
      </w:r>
      <w:r>
        <w:t xml:space="preserve">- UV control</w:t>
      </w:r>
      <w:r>
        <w:t xml:space="preserve"> </w:t>
      </w:r>
      <w:r>
        <w:t xml:space="preserve">- Iteration speed</w:t>
      </w:r>
      <w:r>
        <w:t xml:space="preserve"> </w:t>
      </w:r>
      <w:r>
        <w:t xml:space="preserve">- Pipeline friction</w:t>
      </w:r>
      <w:r>
        <w:t xml:space="preserve"> </w:t>
      </w:r>
      <w:r>
        <w:t xml:space="preserve">2.3 Prototype a small architectural section in both workflows.</w:t>
      </w:r>
      <w:r>
        <w:t xml:space="preserve"> </w:t>
      </w:r>
      <w:r>
        <w:t xml:space="preserve">2.4 Recommend a modeling standard for CHI projects.</w:t>
      </w:r>
    </w:p>
    <w:p>
      <w:pPr>
        <w:pStyle w:val="BodyText"/>
      </w:pPr>
      <w:r>
        <w:t xml:space="preserve">Deliverable: Modeling Workflow Comparison Memo.</w:t>
      </w:r>
    </w:p>
    <w:p>
      <w:r>
        <w:pict>
          <v:rect style="width:0;height:1.5pt" o:hralign="center" o:hrstd="t" o:hr="t"/>
        </w:pict>
      </w:r>
    </w:p>
    <w:bookmarkEnd w:id="23"/>
    <w:bookmarkStart w:id="24" w:name="Xe16ee733d43f76a3d6d896fc93ac56e57112903"/>
    <w:p>
      <w:pPr>
        <w:pStyle w:val="Heading1"/>
      </w:pPr>
      <w:r>
        <w:t xml:space="preserve">3. Measurement and Spatial Fidelity Research (LG-38)</w:t>
      </w:r>
    </w:p>
    <w:p>
      <w:pPr>
        <w:pStyle w:val="FirstParagraph"/>
      </w:pPr>
      <w:r>
        <w:t xml:space="preserve">3.1 Determine measurement acquisition method (existing plans vs physical measurement).</w:t>
      </w:r>
      <w:r>
        <w:t xml:space="preserve"> </w:t>
      </w:r>
      <w:r>
        <w:t xml:space="preserve">3.2 Establish unit standard (meters as Unity canonical unit).</w:t>
      </w:r>
      <w:r>
        <w:t xml:space="preserve"> </w:t>
      </w:r>
      <w:r>
        <w:t xml:space="preserve">3.3 Define tolerance threshold for dimensional accuracy.</w:t>
      </w:r>
      <w:r>
        <w:t xml:space="preserve"> </w:t>
      </w:r>
      <w:r>
        <w:t xml:space="preserve">3.4 Validate coordinate origin strategy (physical-to-virtual alignment logic).</w:t>
      </w:r>
    </w:p>
    <w:p>
      <w:pPr>
        <w:pStyle w:val="BodyText"/>
      </w:pPr>
      <w:r>
        <w:t xml:space="preserve">Deliverable: Scale and Coordinate Validation Document.</w:t>
      </w:r>
    </w:p>
    <w:p>
      <w:r>
        <w:pict>
          <v:rect style="width:0;height:1.5pt" o:hralign="center" o:hrstd="t" o:hr="t"/>
        </w:pict>
      </w:r>
    </w:p>
    <w:bookmarkEnd w:id="24"/>
    <w:bookmarkStart w:id="25" w:name="room-modeling-best-practices"/>
    <w:p>
      <w:pPr>
        <w:pStyle w:val="Heading1"/>
      </w:pPr>
      <w:r>
        <w:t xml:space="preserve">4. Room Modeling Best Practices</w:t>
      </w:r>
    </w:p>
    <w:p>
      <w:pPr>
        <w:pStyle w:val="FirstParagraph"/>
      </w:pPr>
      <w:r>
        <w:t xml:space="preserve">4.1 Evaluate modular vs monolithic geometry strategies for architectural modeling.</w:t>
      </w:r>
      <w:r>
        <w:t xml:space="preserve"> </w:t>
      </w:r>
      <w:r>
        <w:t xml:space="preserve">4.2 Define pivot placement conventions for room components.</w:t>
      </w:r>
      <w:r>
        <w:t xml:space="preserve"> </w:t>
      </w:r>
      <w:r>
        <w:t xml:space="preserve">4.3 Determine collision strategy (mesh collider vs primitive collider).</w:t>
      </w:r>
      <w:r>
        <w:t xml:space="preserve"> </w:t>
      </w:r>
      <w:r>
        <w:t xml:space="preserve">4.4 Benchmark polygon density appropriate for room-scale environment.</w:t>
      </w:r>
    </w:p>
    <w:p>
      <w:pPr>
        <w:pStyle w:val="BodyText"/>
      </w:pPr>
      <w:r>
        <w:t xml:space="preserve">Deliverable: LG-38 Modeling Standards Summary.</w:t>
      </w:r>
    </w:p>
    <w:p>
      <w:r>
        <w:pict>
          <v:rect style="width:0;height:1.5pt" o:hralign="center" o:hrstd="t" o:hr="t"/>
        </w:pict>
      </w:r>
    </w:p>
    <w:bookmarkEnd w:id="25"/>
    <w:bookmarkStart w:id="26" w:name="lighting-research"/>
    <w:p>
      <w:pPr>
        <w:pStyle w:val="Heading1"/>
      </w:pPr>
      <w:r>
        <w:t xml:space="preserve">5. Lighting Research</w:t>
      </w:r>
    </w:p>
    <w:p>
      <w:pPr>
        <w:pStyle w:val="FirstParagraph"/>
      </w:pPr>
      <w:r>
        <w:t xml:space="preserve">5.1 Compare baked vs realtime lighting strategies.</w:t>
      </w:r>
      <w:r>
        <w:t xml:space="preserve"> </w:t>
      </w:r>
      <w:r>
        <w:t xml:space="preserve">5.2 Investigate shadow quality vs performance trade-offs.</w:t>
      </w:r>
      <w:r>
        <w:t xml:space="preserve"> </w:t>
      </w:r>
      <w:r>
        <w:t xml:space="preserve">5.3 Approximate physical light sources of LG-38 using proxy lighting.</w:t>
      </w:r>
      <w:r>
        <w:t xml:space="preserve"> </w:t>
      </w:r>
      <w:r>
        <w:t xml:space="preserve">5.4 Define lighting validation criteria (stability, realism, runtime cost).</w:t>
      </w:r>
    </w:p>
    <w:p>
      <w:pPr>
        <w:pStyle w:val="BodyText"/>
      </w:pPr>
      <w:r>
        <w:t xml:space="preserve">Deliverable: Lighting Strategy Memo.</w:t>
      </w:r>
    </w:p>
    <w:p>
      <w:r>
        <w:pict>
          <v:rect style="width:0;height:1.5pt" o:hralign="center" o:hrstd="t" o:hr="t"/>
        </w:pict>
      </w:r>
    </w:p>
    <w:bookmarkEnd w:id="26"/>
    <w:bookmarkStart w:id="27" w:name="materials-and-texturing-research"/>
    <w:p>
      <w:pPr>
        <w:pStyle w:val="Heading1"/>
      </w:pPr>
      <w:r>
        <w:t xml:space="preserve">6. Materials and Texturing Research</w:t>
      </w:r>
    </w:p>
    <w:p>
      <w:pPr>
        <w:pStyle w:val="FirstParagraph"/>
      </w:pPr>
      <w:r>
        <w:t xml:space="preserve">6.1 Compare photo-based texture capture vs library materials.</w:t>
      </w:r>
      <w:r>
        <w:t xml:space="preserve"> </w:t>
      </w:r>
      <w:r>
        <w:t xml:space="preserve">6.2 Evaluate PBR map requirements (albedo, normal, roughness/smoothness, metallic, AO).</w:t>
      </w:r>
      <w:r>
        <w:t xml:space="preserve"> </w:t>
      </w:r>
      <w:r>
        <w:t xml:space="preserve">6.3 Define texture resolution guidelines for room-scale surfaces.</w:t>
      </w:r>
      <w:r>
        <w:t xml:space="preserve"> </w:t>
      </w:r>
      <w:r>
        <w:t xml:space="preserve">6.4 Establish import settings standards in Unity.</w:t>
      </w:r>
      <w:r>
        <w:t xml:space="preserve"> </w:t>
      </w:r>
      <w:r>
        <w:t xml:space="preserve">6.5 Document licensing and provenance requirements for third-party assets.</w:t>
      </w:r>
    </w:p>
    <w:p>
      <w:pPr>
        <w:pStyle w:val="BodyText"/>
      </w:pPr>
      <w:r>
        <w:t xml:space="preserve">Deliverable: Materials and Texturing Best-Practice Guide.</w:t>
      </w:r>
    </w:p>
    <w:p>
      <w:r>
        <w:pict>
          <v:rect style="width:0;height:1.5pt" o:hralign="center" o:hrstd="t" o:hr="t"/>
        </w:pict>
      </w:r>
    </w:p>
    <w:bookmarkEnd w:id="27"/>
    <w:bookmarkStart w:id="28" w:name="asset-governance-and-management-research"/>
    <w:p>
      <w:pPr>
        <w:pStyle w:val="Heading1"/>
      </w:pPr>
      <w:r>
        <w:t xml:space="preserve">7. Asset Governance and Management Research</w:t>
      </w:r>
    </w:p>
    <w:p>
      <w:pPr>
        <w:pStyle w:val="FirstParagraph"/>
      </w:pPr>
      <w:r>
        <w:t xml:space="preserve">7.1 Define Unity folder architecture for CHI.</w:t>
      </w:r>
      <w:r>
        <w:t xml:space="preserve"> </w:t>
      </w:r>
      <w:r>
        <w:t xml:space="preserve">7.2 Establish asset naming conventions and ID structure.</w:t>
      </w:r>
      <w:r>
        <w:t xml:space="preserve"> </w:t>
      </w:r>
      <w:r>
        <w:t xml:space="preserve">7.3 Define prefab standards and dependency rules.</w:t>
      </w:r>
      <w:r>
        <w:t xml:space="preserve"> </w:t>
      </w:r>
      <w:r>
        <w:t xml:space="preserve">7.4 Evaluate Git and Git LFS requirements for binary asset storage.</w:t>
      </w:r>
      <w:r>
        <w:t xml:space="preserve"> </w:t>
      </w:r>
      <w:r>
        <w:t xml:space="preserve">7.5 Document intake policy for third-party models and textures.</w:t>
      </w:r>
    </w:p>
    <w:p>
      <w:pPr>
        <w:pStyle w:val="BodyText"/>
      </w:pPr>
      <w:r>
        <w:t xml:space="preserve">Deliverable: Asset Governance and Repository Architecture Guide.</w:t>
      </w:r>
    </w:p>
    <w:p>
      <w:r>
        <w:pict>
          <v:rect style="width:0;height:1.5pt" o:hralign="center" o:hrstd="t" o:hr="t"/>
        </w:pict>
      </w:r>
    </w:p>
    <w:bookmarkEnd w:id="28"/>
    <w:bookmarkStart w:id="29" w:name="cad-to-unity-translation-research"/>
    <w:p>
      <w:pPr>
        <w:pStyle w:val="Heading1"/>
      </w:pPr>
      <w:r>
        <w:t xml:space="preserve">8. CAD-to-Unity Translation Research</w:t>
      </w:r>
    </w:p>
    <w:p>
      <w:pPr>
        <w:pStyle w:val="FirstParagraph"/>
      </w:pPr>
      <w:r>
        <w:t xml:space="preserve">8.1 Test AutoCAD export formats (e.g., FBX, DXF).</w:t>
      </w:r>
      <w:r>
        <w:t xml:space="preserve"> </w:t>
      </w:r>
      <w:r>
        <w:t xml:space="preserve">8.2 Evaluate Blender as intermediary cleanup tool.</w:t>
      </w:r>
      <w:r>
        <w:t xml:space="preserve"> </w:t>
      </w:r>
      <w:r>
        <w:t xml:space="preserve">8.3 Identify common translation errors (scale mismatch, flipped normals, triangulation issues).</w:t>
      </w:r>
      <w:r>
        <w:t xml:space="preserve"> </w:t>
      </w:r>
      <w:r>
        <w:t xml:space="preserve">8.4 Validate scaling and alignment inside LG-38.</w:t>
      </w:r>
      <w:r>
        <w:t xml:space="preserve"> </w:t>
      </w:r>
      <w:r>
        <w:t xml:space="preserve">8.5 Document reproducible translation protocol.</w:t>
      </w:r>
    </w:p>
    <w:p>
      <w:pPr>
        <w:pStyle w:val="BodyText"/>
      </w:pPr>
      <w:r>
        <w:t xml:space="preserve">Deliverable: AutoCAD-to-Unity Translation Protocol Document.</w:t>
      </w:r>
    </w:p>
    <w:p>
      <w:r>
        <w:pict>
          <v:rect style="width:0;height:1.5pt" o:hralign="center" o:hrstd="t" o:hr="t"/>
        </w:pict>
      </w:r>
    </w:p>
    <w:bookmarkEnd w:id="29"/>
    <w:bookmarkStart w:id="30" w:name="mechanical-articulation-research"/>
    <w:p>
      <w:pPr>
        <w:pStyle w:val="Heading1"/>
      </w:pPr>
      <w:r>
        <w:t xml:space="preserve">9. Mechanical Articulation Research</w:t>
      </w:r>
    </w:p>
    <w:p>
      <w:pPr>
        <w:pStyle w:val="FirstParagraph"/>
      </w:pPr>
      <w:r>
        <w:t xml:space="preserve">9.1 Investigate pivot placement logic for hinged structures.</w:t>
      </w:r>
      <w:r>
        <w:t xml:space="preserve"> </w:t>
      </w:r>
      <w:r>
        <w:t xml:space="preserve">9.2 Define rotation constraint implementation strategy.</w:t>
      </w:r>
      <w:r>
        <w:t xml:space="preserve"> </w:t>
      </w:r>
      <w:r>
        <w:t xml:space="preserve">9.3 Validate hinge articulation in Unity.</w:t>
      </w:r>
      <w:r>
        <w:t xml:space="preserve"> </w:t>
      </w:r>
      <w:r>
        <w:t xml:space="preserve">9.4 Document mechanical representation standards for stage components.</w:t>
      </w:r>
    </w:p>
    <w:p>
      <w:pPr>
        <w:pStyle w:val="BodyText"/>
      </w:pPr>
      <w:r>
        <w:t xml:space="preserve">Deliverable: Hinged Triptych Prototype Notes.</w:t>
      </w:r>
    </w:p>
    <w:p>
      <w:r>
        <w:pict>
          <v:rect style="width:0;height:1.5pt" o:hralign="center" o:hrstd="t" o:hr="t"/>
        </w:pict>
      </w:r>
    </w:p>
    <w:bookmarkEnd w:id="30"/>
    <w:bookmarkStart w:id="31" w:name="documentation-and-handoff-research"/>
    <w:p>
      <w:pPr>
        <w:pStyle w:val="Heading1"/>
      </w:pPr>
      <w:r>
        <w:t xml:space="preserve">10. Documentation and Handoff Research</w:t>
      </w:r>
    </w:p>
    <w:p>
      <w:pPr>
        <w:pStyle w:val="FirstParagraph"/>
      </w:pPr>
      <w:r>
        <w:t xml:space="preserve">10.1 Organize all documentation into structured repository format.</w:t>
      </w:r>
      <w:r>
        <w:t xml:space="preserve"> </w:t>
      </w:r>
      <w:r>
        <w:t xml:space="preserve">10.2 Produce workflow diagrams for modeling and CAD translation.</w:t>
      </w:r>
      <w:r>
        <w:t xml:space="preserve"> </w:t>
      </w:r>
      <w:r>
        <w:t xml:space="preserve">10.3 Identify unresolved technical risks.</w:t>
      </w:r>
      <w:r>
        <w:t xml:space="preserve"> </w:t>
      </w:r>
      <w:r>
        <w:t xml:space="preserve">10.4 Draft Phase II continuation roadmap.</w:t>
      </w:r>
    </w:p>
    <w:p>
      <w:pPr>
        <w:pStyle w:val="BodyText"/>
      </w:pPr>
      <w:r>
        <w:t xml:space="preserve">Deliverable: Consolidated Technical Documentation Package.</w:t>
      </w:r>
    </w:p>
    <w:p>
      <w:r>
        <w:pict>
          <v:rect style="width:0;height:1.5pt" o:hralign="center" o:hrstd="t" o:hr="t"/>
        </w:pict>
      </w:r>
    </w:p>
    <w:bookmarkEnd w:id="31"/>
    <w:bookmarkStart w:id="32" w:name="success-condition"/>
    <w:p>
      <w:pPr>
        <w:pStyle w:val="Heading1"/>
      </w:pPr>
      <w:r>
        <w:t xml:space="preserve">Success Condition</w:t>
      </w:r>
    </w:p>
    <w:p>
      <w:pPr>
        <w:pStyle w:val="FirstParagraph"/>
      </w:pPr>
      <w:r>
        <w:t xml:space="preserve">The research component of the internship is successful if each domain above results in a documented, reproducible engineering standard that can be adopted by subsequent CHI contributors without re-deriving foundational decisions.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2026-02-19T16:09:36Z</dcterms:created>
  <dcterms:modified xsi:type="dcterms:W3CDTF">2026-02-19T16:09:36Z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