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查看RTL级原理图时报错：</w:t>
      </w:r>
    </w:p>
    <w:p>
      <w:r>
        <w:drawing>
          <wp:inline distT="0" distB="0" distL="114300" distR="114300">
            <wp:extent cx="524827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a_to_g1有问题，在文件top_0.v中：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top_0(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input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input rst_n,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input [15:0]y1,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input [15:0]y2,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output reg [6:0]a_to_g1,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output reg [6:0]a_to_g2,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output reg [3:0]an1,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output reg [3:0]an2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part_1 u1(.clk1(clk),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.rst_n1(rst_n),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.x1(y1),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.a_to_g1(a_to_g1),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.an1(an1));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part_2 u2(.clk2(clk),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.rst_n2(rst_n),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.x2(y2),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.a_to_g2(a_to_g2),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.an2(an2));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建议：（1）顶层中不能有硬件描述语句，只是模块之间的电线连接；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（2）顶层中不能有reg型信号，只能是wire。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43E54"/>
    <w:rsid w:val="0C543E54"/>
    <w:rsid w:val="4294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2020-11-10T12:14:00Z</dcterms:created>
  <dc:creator>金印彬</dc:creator>
  <cp:lastModifiedBy>金印彬</cp:lastModifiedBy>
  <dcterms:modified xsi:type="dcterms:W3CDTF">2020-11-10T12:21:39Z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