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9" w:rsidRDefault="000102C4">
      <w:pPr>
        <w:jc w:val="center"/>
      </w:pPr>
      <w:r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  <w:t>学术报告</w:t>
      </w:r>
      <w:r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  <w:t>4</w:t>
      </w:r>
    </w:p>
    <w:p w:rsidR="00FF57E9" w:rsidRDefault="000102C4">
      <w:pPr>
        <w:jc w:val="center"/>
      </w:pPr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第</w:t>
      </w:r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组</w:t>
      </w:r>
    </w:p>
    <w:p w:rsidR="00FF57E9" w:rsidRDefault="000102C4">
      <w:pPr>
        <w:wordWrap w:val="0"/>
        <w:jc w:val="right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      </w:t>
      </w:r>
    </w:p>
    <w:p w:rsidR="00FF57E9" w:rsidRDefault="000102C4">
      <w:pPr>
        <w:pStyle w:val="a5"/>
        <w:ind w:left="720" w:hanging="720"/>
        <w:jc w:val="left"/>
      </w:pPr>
      <w:r>
        <w:rPr>
          <w:rStyle w:val="translated-span"/>
          <w:rFonts w:ascii="Times New Roman" w:hAnsi="Times New Roman" w:cs="Times New Roman"/>
          <w:b/>
          <w:bCs/>
          <w:color w:val="FF0000"/>
          <w:sz w:val="32"/>
          <w:szCs w:val="32"/>
        </w:rPr>
        <w:t>一、</w:t>
      </w:r>
      <w:r>
        <w:rPr>
          <w:rStyle w:val="translated-span"/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>
        <w:rPr>
          <w:rStyle w:val="translated-span"/>
          <w:rFonts w:ascii="Times New Roman" w:hAnsi="Times New Roman" w:cs="Times New Roman"/>
          <w:b/>
          <w:bCs/>
          <w:color w:val="FF0000"/>
          <w:sz w:val="32"/>
          <w:szCs w:val="32"/>
        </w:rPr>
        <w:t>第</w:t>
      </w:r>
      <w:r>
        <w:rPr>
          <w:rStyle w:val="translated-span"/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>
        <w:rPr>
          <w:rStyle w:val="translated-span"/>
          <w:rFonts w:ascii="Times New Roman" w:hAnsi="Times New Roman" w:cs="Times New Roman"/>
          <w:b/>
          <w:bCs/>
          <w:color w:val="FF0000"/>
          <w:sz w:val="32"/>
          <w:szCs w:val="32"/>
        </w:rPr>
        <w:t>部分</w:t>
      </w:r>
    </w:p>
    <w:tbl>
      <w:tblPr>
        <w:tblW w:w="83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6220"/>
      </w:tblGrid>
      <w:tr w:rsidR="00FF57E9">
        <w:trPr>
          <w:jc w:val="center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集团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电路</w:t>
            </w:r>
          </w:p>
        </w:tc>
        <w:tc>
          <w:tcPr>
            <w:tcW w:w="6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参数</w:t>
            </w:r>
          </w:p>
        </w:tc>
      </w:tr>
      <w:tr w:rsidR="00FF57E9" w:rsidTr="00244DAD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降压式变换器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Vin=400V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Vo=300V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C=50uF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</w:p>
        </w:tc>
      </w:tr>
      <w:tr w:rsidR="00244DAD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DAD" w:rsidRDefault="00244DAD" w:rsidP="00244DAD">
            <w:pPr>
              <w:jc w:val="center"/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DAD" w:rsidRDefault="00244DAD" w:rsidP="00244DAD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DAD" w:rsidRDefault="00244DAD" w:rsidP="00244DAD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Vin=100V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Vo=80V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L=2mH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C=30uF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</w:tbl>
    <w:bookmarkEnd w:id="0"/>
    <w:p w:rsidR="00FF57E9" w:rsidRDefault="000102C4">
      <w:pPr>
        <w:pStyle w:val="a5"/>
        <w:ind w:left="840" w:hanging="420"/>
      </w:pP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a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在给定输入输出电压和电路参数的情况下，计算出电感电流纹波、电容电压纹波的理论值，并进行仿真验证计算结果</w:t>
      </w:r>
    </w:p>
    <w:p w:rsidR="00FF57E9" w:rsidRDefault="000102C4">
      <w:pPr>
        <w:pStyle w:val="a5"/>
        <w:ind w:left="840" w:hanging="420"/>
      </w:pP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b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对于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buck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变换器，将占空比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从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0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调整到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0.8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，描述占空比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与电感电流纹波、电容电压纹波、电压增益（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G=Vo/Vin</w:t>
      </w:r>
      <w:r>
        <w:rPr>
          <w:rStyle w:val="translated-span"/>
          <w:rFonts w:ascii="Times New Roman" w:hAnsi="Times New Roman" w:cs="Times New Roman"/>
          <w:color w:val="FF0000"/>
          <w:sz w:val="22"/>
          <w:szCs w:val="22"/>
        </w:rPr>
        <w:t>）之间的关系，并通过仿真验证结果。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（一）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理论计算：</w:t>
      </w:r>
    </w:p>
    <w:p w:rsidR="00FF57E9" w:rsidRDefault="000102C4">
      <w:r>
        <w:rPr>
          <w:noProof/>
        </w:rPr>
        <w:drawing>
          <wp:inline distT="0" distB="0" distL="0" distR="0">
            <wp:extent cx="2057400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r>
        <w:rPr>
          <w:noProof/>
        </w:rPr>
        <w:drawing>
          <wp:inline distT="0" distB="0" distL="0" distR="0">
            <wp:extent cx="16859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模拟结果：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2.1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仿真电路及程序：</w:t>
      </w:r>
    </w:p>
    <w:p w:rsidR="00FF57E9" w:rsidRDefault="000102C4">
      <w:pPr>
        <w:jc w:val="center"/>
      </w:pPr>
      <w:r>
        <w:rPr>
          <w:noProof/>
        </w:rPr>
        <w:drawing>
          <wp:inline distT="0" distB="0" distL="0" distR="0">
            <wp:extent cx="490537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课程：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lastRenderedPageBreak/>
        <w:t>uo1=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uo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（：，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上限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=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最大值（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uo1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-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最小值（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uo1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：，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  <w:jc w:val="left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ipp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最大值（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-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最小值（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  <w:jc w:val="left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回答：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上限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=0.0185</w:t>
      </w:r>
    </w:p>
    <w:p w:rsidR="00FF57E9" w:rsidRDefault="000102C4">
      <w:pPr>
        <w:ind w:left="420"/>
        <w:jc w:val="left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ipp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=0.7496</w:t>
      </w:r>
    </w:p>
    <w:p w:rsidR="00FF57E9" w:rsidRDefault="000102C4"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2.2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分析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72"/>
        <w:gridCol w:w="2072"/>
        <w:gridCol w:w="2072"/>
      </w:tblGrid>
      <w:tr w:rsidR="00FF57E9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4"/>
                <w:szCs w:val="24"/>
              </w:rPr>
              <w:t>理论结果</w:t>
            </w:r>
          </w:p>
        </w:tc>
        <w:tc>
          <w:tcPr>
            <w:tcW w:w="2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4"/>
                <w:szCs w:val="24"/>
              </w:rPr>
              <w:t>模拟结果</w:t>
            </w:r>
          </w:p>
        </w:tc>
        <w:tc>
          <w:tcPr>
            <w:tcW w:w="2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4"/>
                <w:szCs w:val="24"/>
              </w:rPr>
              <w:t>相对误差</w:t>
            </w:r>
          </w:p>
        </w:tc>
      </w:tr>
      <w:tr w:rsidR="00FF57E9">
        <w:tc>
          <w:tcPr>
            <w:tcW w:w="2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2000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0.01875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4"/>
                <w:szCs w:val="24"/>
              </w:rPr>
              <w:t>1.3%</w:t>
            </w:r>
          </w:p>
        </w:tc>
      </w:tr>
      <w:tr w:rsidR="00FF57E9">
        <w:tc>
          <w:tcPr>
            <w:tcW w:w="2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" cy="2000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0.7496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sz w:val="24"/>
                <w:szCs w:val="24"/>
              </w:rPr>
              <w:t>0.05%</w:t>
            </w:r>
          </w:p>
        </w:tc>
      </w:tr>
    </w:tbl>
    <w:p w:rsidR="00FF57E9" w:rsidRDefault="000102C4">
      <w:pPr>
        <w:ind w:firstLine="480"/>
      </w:pPr>
      <w:r>
        <w:rPr>
          <w:rStyle w:val="translated-span"/>
          <w:rFonts w:ascii="Times New Roman" w:hAnsi="Times New Roman" w:cs="Times New Roman"/>
          <w:color w:val="FFFFFF"/>
          <w:sz w:val="24"/>
          <w:szCs w:val="24"/>
        </w:rPr>
        <w:t>从上表可以看出，理论计算与仿真计算的相对误差很小，可以认为计算结果是正确的。</w:t>
      </w:r>
    </w:p>
    <w:p w:rsidR="00FF57E9" w:rsidRDefault="000102C4"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（二）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模拟电路和程序：</w:t>
      </w:r>
    </w:p>
    <w:p w:rsidR="00FF57E9" w:rsidRDefault="000102C4">
      <w:pPr>
        <w:jc w:val="center"/>
      </w:pPr>
      <w:r>
        <w:rPr>
          <w:noProof/>
        </w:rPr>
        <w:drawing>
          <wp:inline distT="0" distB="0" distL="0" distR="0">
            <wp:extent cx="4772025" cy="2457450"/>
            <wp:effectExtent l="0" t="0" r="952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课程：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lastRenderedPageBreak/>
        <w:t>上限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=[]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；上限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=[]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独立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发电商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=[]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；独立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发电商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=[]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gs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=[]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对于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d=1:2:81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sim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卡（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&amp;apos;s_4&amp;apos;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uo1=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uo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（：，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最大值（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uo1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-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最小值（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uo1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io1=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（：，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ipp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最大值（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-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最小值（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io1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独立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发电商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=[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独立发电商，独立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发电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商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]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g=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vo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/vin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gs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gs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g]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结束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d=1:2:81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uppt=0.1.*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0.01.*d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）。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*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1-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0.01.*d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））；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*0.01.*0.01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1.0.1.1.0.1.0.0.0.0.0.0.0.0.0.0.0.0.0.0.0.0.0.0.0.0.0.0.0.0.0.0.0.0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绘图（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apos;r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*-&amp;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坚持住；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绘图（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uppt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apos;b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+-&amp;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lastRenderedPageBreak/>
        <w:t>标题（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电容器电压纹波和占空比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）；图例（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理论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地块（直径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，独立发电厂，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apos;r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*-&amp;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坚持住；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绘图（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ippt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apos;b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+-&amp;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标题（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电感器电流纹波和占空比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）；图例（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理论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3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绘图（直径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gs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apos;r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*-&amp;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坚持住；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绘图（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d/100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apos;b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+-&amp;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标题（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电压增益和占空比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）；图例（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理论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;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与电感电流纹波的关系</w:t>
      </w:r>
    </w:p>
    <w:p w:rsidR="00FF57E9" w:rsidRDefault="000102C4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2886075"/>
            <wp:effectExtent l="0" t="0" r="9525" b="952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8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从教科书中，我们可以得到：</w:t>
      </w:r>
      <w:r>
        <w:rPr>
          <w:noProof/>
        </w:rPr>
        <w:drawing>
          <wp:inline distT="0" distB="0" distL="0" distR="0">
            <wp:extent cx="177165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什么时候？</w:t>
      </w:r>
      <w:r>
        <w:rPr>
          <w:noProof/>
        </w:rPr>
        <w:drawing>
          <wp:inline distT="0" distB="0" distL="0" distR="0">
            <wp:extent cx="76200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和之间的函数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应该是二次函数。从理论分析，我们可以推断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D=0.5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会增加到峰值，就像上图所示的蓝色曲线一样。此外，红色曲线显示了仿真结果。蓝色曲线与红色曲线的误差很小，可以认为模拟是成功的。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3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与电容器电压纹波的关系</w:t>
      </w:r>
    </w:p>
    <w:p w:rsidR="00FF57E9" w:rsidRDefault="000102C4">
      <w:pPr>
        <w:jc w:val="center"/>
      </w:pPr>
      <w:r>
        <w:rPr>
          <w:noProof/>
        </w:rPr>
        <w:drawing>
          <wp:inline distT="0" distB="0" distL="0" distR="0">
            <wp:extent cx="5267325" cy="284797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8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lastRenderedPageBreak/>
        <w:t>从教科书中，我们可以得到：</w:t>
      </w:r>
      <w:r>
        <w:rPr>
          <w:noProof/>
        </w:rPr>
        <w:drawing>
          <wp:inline distT="0" distB="0" distL="0" distR="0">
            <wp:extent cx="1933575" cy="400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什么时候？</w:t>
      </w:r>
      <w:r>
        <w:rPr>
          <w:noProof/>
        </w:rPr>
        <w:drawing>
          <wp:inline distT="0" distB="0" distL="0" distR="0">
            <wp:extent cx="7620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和之间的函数</w:t>
      </w:r>
      <w:r>
        <w:rPr>
          <w:noProof/>
        </w:rPr>
        <w:drawing>
          <wp:inline distT="0" distB="0" distL="0" distR="0">
            <wp:extent cx="190500" cy="200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应该是一个二次函数，就像上图中的蓝色曲线一样。此外，红色曲线显示了仿真结果。蓝色曲线与红色曲线的误差很小，可以认为模拟是成功的。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4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与电压增益（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G=Vo/Vin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）之间的关系</w:t>
      </w:r>
    </w:p>
    <w:p w:rsidR="00FF57E9" w:rsidRDefault="000102C4">
      <w:r>
        <w:rPr>
          <w:noProof/>
        </w:rPr>
        <w:drawing>
          <wp:inline distT="0" distB="0" distL="0" distR="0">
            <wp:extent cx="5391150" cy="287655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8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从教科书中，我们可以得到：</w:t>
      </w:r>
      <w:r>
        <w:rPr>
          <w:noProof/>
        </w:rPr>
        <w:drawing>
          <wp:inline distT="0" distB="0" distL="0" distR="0">
            <wp:extent cx="819150" cy="400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什么时候？</w:t>
      </w:r>
      <w:r>
        <w:rPr>
          <w:noProof/>
        </w:rPr>
        <w:drawing>
          <wp:inline distT="0" distB="0" distL="0" distR="0">
            <wp:extent cx="762000" cy="200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Times New Roman" w:hAnsi="Times New Roman" w:cs="Times New Roman"/>
          <w:sz w:val="24"/>
          <w:szCs w:val="24"/>
        </w:rPr>
        <w:t>，占空比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G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之间的关系函数应该是一条斜率为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的上升直线，如上图所示的蓝色曲线。此外，红色曲线显示了仿真结果。蓝色曲线与红色曲线的误差很小，可以认为模拟是成功的。</w:t>
      </w:r>
    </w:p>
    <w:p w:rsidR="00FF57E9" w:rsidRDefault="000102C4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color w:val="FF0000"/>
          <w:sz w:val="28"/>
          <w:szCs w:val="28"/>
        </w:rPr>
        <w:t>二。以全桥逆变器</w:t>
      </w:r>
      <w:r>
        <w:rPr>
          <w:rStyle w:val="translated-span"/>
          <w:rFonts w:ascii="Times New Roman" w:hAnsi="Times New Roman" w:cs="Times New Roman"/>
          <w:color w:val="FF0000"/>
          <w:sz w:val="28"/>
          <w:szCs w:val="28"/>
        </w:rPr>
        <w:t>+</w:t>
      </w:r>
      <w:r>
        <w:rPr>
          <w:rStyle w:val="translated-span"/>
          <w:rFonts w:ascii="Times New Roman" w:hAnsi="Times New Roman" w:cs="Times New Roman"/>
          <w:color w:val="FF0000"/>
          <w:sz w:val="28"/>
          <w:szCs w:val="28"/>
        </w:rPr>
        <w:t>全波整流结构为例：</w:t>
      </w:r>
    </w:p>
    <w:p w:rsidR="00FF57E9" w:rsidRDefault="000102C4">
      <w:pPr>
        <w:jc w:val="left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850" cy="20002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jc w:val="center"/>
      </w:pPr>
      <w:r>
        <w:rPr>
          <w:rStyle w:val="translated-span"/>
          <w:rFonts w:ascii="Times New Roman" w:hAnsi="Times New Roman" w:cs="Times New Roman"/>
        </w:rPr>
        <w:t>图一。</w:t>
      </w:r>
      <w:proofErr w:type="spellStart"/>
      <w:r>
        <w:rPr>
          <w:rStyle w:val="translated-span"/>
          <w:rFonts w:ascii="Times New Roman" w:hAnsi="Times New Roman" w:cs="Times New Roman"/>
        </w:rPr>
        <w:t>simulink</w:t>
      </w:r>
      <w:proofErr w:type="spellEnd"/>
      <w:r>
        <w:rPr>
          <w:rStyle w:val="translated-span"/>
          <w:rFonts w:ascii="Times New Roman" w:hAnsi="Times New Roman" w:cs="Times New Roman"/>
        </w:rPr>
        <w:t>中的电路模型</w:t>
      </w:r>
    </w:p>
    <w:p w:rsidR="00FF57E9" w:rsidRDefault="000102C4">
      <w:pPr>
        <w:pStyle w:val="a5"/>
        <w:ind w:left="360" w:hanging="360"/>
        <w:jc w:val="left"/>
      </w:pP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在给定输入输出电压和电路参数的情况下，进行仿真，研究其工作原理，分析其工作顺序。</w:t>
      </w:r>
    </w:p>
    <w:p w:rsidR="00FF57E9" w:rsidRDefault="000102C4">
      <w:pPr>
        <w:jc w:val="center"/>
      </w:pPr>
      <w:r>
        <w:rPr>
          <w:rStyle w:val="translated-span"/>
          <w:rFonts w:ascii="Times New Roman" w:hAnsi="Times New Roman" w:cs="Times New Roman"/>
        </w:rPr>
        <w:t>表二。问题参数</w:t>
      </w:r>
    </w:p>
    <w:tbl>
      <w:tblPr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7572"/>
      </w:tblGrid>
      <w:tr w:rsidR="00FF57E9"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集团</w:t>
            </w:r>
          </w:p>
        </w:tc>
        <w:tc>
          <w:tcPr>
            <w:tcW w:w="75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</w:rPr>
              <w:t>参数</w:t>
            </w:r>
          </w:p>
        </w:tc>
      </w:tr>
      <w:tr w:rsidR="00FF57E9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7E9" w:rsidRDefault="000102C4">
            <w:pPr>
              <w:jc w:val="center"/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Vin=500V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T=2:1:1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C=100uF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</w:tbl>
    <w:p w:rsidR="00FF57E9" w:rsidRDefault="000102C4">
      <w:pPr>
        <w:pStyle w:val="a5"/>
        <w:ind w:left="780" w:hanging="36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理论计算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当电流处于连续电流模式时：</w:t>
      </w:r>
    </w:p>
    <w:p w:rsidR="00FF57E9" w:rsidRDefault="000102C4">
      <w:pPr>
        <w:ind w:left="4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7725" cy="428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所以当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Vin=500V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Vo=200V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T=2:1:1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时</w:t>
      </w:r>
    </w:p>
    <w:p w:rsidR="00FF57E9" w:rsidRDefault="000102C4">
      <w:pPr>
        <w:ind w:left="4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392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left="42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显然，当占空比等于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40%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（两个脉冲发生器）时，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Vo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等于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200V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。</w:t>
      </w:r>
    </w:p>
    <w:p w:rsidR="00FF57E9" w:rsidRDefault="000102C4">
      <w:pPr>
        <w:pStyle w:val="a5"/>
        <w:ind w:left="780" w:hanging="36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建模和参数设置</w:t>
      </w:r>
    </w:p>
    <w:p w:rsidR="00FF57E9" w:rsidRDefault="000102C4">
      <w:pPr>
        <w:jc w:val="center"/>
      </w:pPr>
      <w:r>
        <w:rPr>
          <w:noProof/>
        </w:rPr>
        <w:lastRenderedPageBreak/>
        <w:drawing>
          <wp:inline distT="0" distB="0" distL="0" distR="0">
            <wp:extent cx="1809750" cy="2257425"/>
            <wp:effectExtent l="0" t="0" r="0" b="952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jc w:val="center"/>
      </w:pPr>
      <w:r>
        <w:rPr>
          <w:rStyle w:val="translated-span"/>
          <w:rFonts w:ascii="Times New Roman" w:hAnsi="Times New Roman" w:cs="Times New Roman"/>
        </w:rPr>
        <w:t>无花果。线性变压器参数整定</w:t>
      </w:r>
    </w:p>
    <w:p w:rsidR="00FF57E9" w:rsidRDefault="000102C4">
      <w:r>
        <w:rPr>
          <w:rFonts w:ascii="Times New Roman" w:hAnsi="Times New Roman" w:cs="Times New Roman"/>
        </w:rPr>
        <w:t xml:space="preserve">     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参数设置是所有设定和仿真的关键。</w:t>
      </w:r>
    </w:p>
    <w:p w:rsidR="00FF57E9" w:rsidRDefault="000102C4">
      <w:r>
        <w:rPr>
          <w:rStyle w:val="translated-span"/>
          <w:rFonts w:ascii="Times New Roman" w:hAnsi="Times New Roman" w:cs="Times New Roman"/>
          <w:sz w:val="24"/>
          <w:szCs w:val="24"/>
        </w:rPr>
        <w:t>首先将频率设为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100kHz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，三个绕组的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均为零，基本接近理想状态。</w:t>
      </w:r>
    </w:p>
    <w:p w:rsidR="00FF57E9" w:rsidRDefault="000102C4">
      <w:pPr>
        <w:pStyle w:val="a5"/>
        <w:ind w:left="780" w:hanging="36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3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模拟</w:t>
      </w:r>
    </w:p>
    <w:p w:rsidR="00FF57E9" w:rsidRDefault="000102C4">
      <w:pPr>
        <w:ind w:left="420"/>
        <w:jc w:val="left"/>
      </w:pPr>
      <w:r>
        <w:rPr>
          <w:noProof/>
        </w:rPr>
        <w:drawing>
          <wp:inline distT="0" distB="0" distL="0" distR="0">
            <wp:extent cx="5286375" cy="2609850"/>
            <wp:effectExtent l="0" t="0" r="9525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left="420"/>
        <w:jc w:val="left"/>
      </w:pPr>
      <w:r>
        <w:rPr>
          <w:noProof/>
        </w:rPr>
        <w:lastRenderedPageBreak/>
        <w:drawing>
          <wp:inline distT="0" distB="0" distL="0" distR="0">
            <wp:extent cx="5267325" cy="2590800"/>
            <wp:effectExtent l="0" t="0" r="9525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我们都知道，在一次侧有一个全桥逆变电路，它可以把电动势通过变压器转化成交流电压，然后传到二次侧。采用四个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IGBT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来保证逆变器在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100kHz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和不同占空比下正常工作。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在不同的占空比下，整个时间由两吨时间组成。</w:t>
      </w:r>
    </w:p>
    <w:p w:rsidR="00FF57E9" w:rsidRDefault="000102C4">
      <w:pPr>
        <w:ind w:left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二次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侧采用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全波整流电路，利用大电感和大电容使交流电压再次变为直流电流。</w:t>
      </w:r>
    </w:p>
    <w:p w:rsidR="00FF57E9" w:rsidRDefault="000102C4">
      <w:pPr>
        <w:ind w:left="42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       </w:t>
      </w:r>
    </w:p>
    <w:p w:rsidR="00FF57E9" w:rsidRDefault="000102C4">
      <w:pPr>
        <w:ind w:left="420"/>
        <w:jc w:val="center"/>
      </w:pPr>
      <w:r>
        <w:rPr>
          <w:noProof/>
        </w:rPr>
        <w:drawing>
          <wp:inline distT="0" distB="0" distL="0" distR="0">
            <wp:extent cx="2057400" cy="647700"/>
            <wp:effectExtent l="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当脉冲发生器的脉冲宽度等于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40%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时，从理论计算可以看出，仿真计算与计算结果非常接近。</w:t>
      </w:r>
    </w:p>
    <w:p w:rsidR="00FF57E9" w:rsidRDefault="000102C4">
      <w:pPr>
        <w:jc w:val="left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pPr>
        <w:pStyle w:val="a5"/>
        <w:ind w:left="360" w:hanging="360"/>
        <w:jc w:val="left"/>
      </w:pP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调整负载电阻，实现连续电流模式（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）和间断电流模式（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），并通过仿真验证。</w:t>
      </w:r>
    </w:p>
    <w:p w:rsidR="00FF57E9" w:rsidRDefault="000102C4">
      <w:pPr>
        <w:pStyle w:val="a5"/>
        <w:ind w:left="720" w:hanging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连续电流模式（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）和不连续电流模式（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）的定义。</w:t>
      </w:r>
    </w:p>
    <w:p w:rsidR="00FF57E9" w:rsidRDefault="000102C4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276850" cy="186690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连续导通模式（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）意味着能量转移感应器中的电流在开关周期之间永远不会变为零。在不连续导通模式（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）中，在开关周期的一部分，电流会变为零。在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buck-derived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变换器中，主要的影响是当它从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变换为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时，它从二阶系统变为一阶系统。在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boost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buck-boost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导出的系统中，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中存在一个右半平面零点，而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中不存在该零点。这使得稳定这些具有良好动态响应的转换器变得更加困难。有更多，但它涵盖在任何基本的文本开关模式电源，如那些在我的个人电源设计库推荐。</w:t>
      </w:r>
    </w:p>
    <w:p w:rsidR="00FF57E9" w:rsidRDefault="000102C4">
      <w:pPr>
        <w:pStyle w:val="a5"/>
        <w:ind w:firstLine="48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许多信息在应用说明和供应商的参考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设计谁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制造功率晶体管和控制器，如钛，在半导体，国际整流器等。你可以找到其中一些通过搜索半导体在我的供应商页面。</w:t>
      </w:r>
    </w:p>
    <w:p w:rsidR="00FF57E9" w:rsidRDefault="000102C4">
      <w:pPr>
        <w:pStyle w:val="a5"/>
        <w:ind w:left="720" w:hanging="36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找到使模式改变的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。</w:t>
      </w:r>
    </w:p>
    <w:p w:rsidR="00FF57E9" w:rsidRDefault="000102C4">
      <w:pPr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67200" cy="320040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当负载发生变化时，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CCM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就可以实现负载的增加，这是因为我们可以通过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来确定负载。</w:t>
      </w:r>
    </w:p>
    <w:p w:rsidR="00FF57E9" w:rsidRDefault="000102C4">
      <w:pPr>
        <w:ind w:firstLine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我把步数等于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开始到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300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，得到这样的图。</w:t>
      </w:r>
    </w:p>
    <w:p w:rsidR="00FF57E9" w:rsidRDefault="000102C4">
      <w:pPr>
        <w:ind w:firstLine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因此我们可以发现转折点在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210~220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欧姆之间。</w:t>
      </w:r>
    </w:p>
    <w:p w:rsidR="00FF57E9" w:rsidRDefault="000102C4">
      <w:pPr>
        <w:ind w:left="360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pPr>
        <w:pStyle w:val="a5"/>
        <w:ind w:left="360" w:hanging="360"/>
        <w:jc w:val="left"/>
      </w:pP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调整占空比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，分析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与电压增益之间的关系（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G=Vo/Vin</w:t>
      </w:r>
      <w:r>
        <w:rPr>
          <w:rStyle w:val="translated-span"/>
          <w:rFonts w:ascii="Times New Roman" w:hAnsi="Times New Roman" w:cs="Times New Roman"/>
          <w:color w:val="FF0000"/>
          <w:sz w:val="24"/>
          <w:szCs w:val="24"/>
        </w:rPr>
        <w:t>）</w:t>
      </w:r>
    </w:p>
    <w:p w:rsidR="00FF57E9" w:rsidRDefault="000102C4">
      <w:pPr>
        <w:ind w:left="36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取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，等于，从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变为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49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步，得到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49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个数据，分析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G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之间的关系，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G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等于。</w:t>
      </w:r>
    </w:p>
    <w:p w:rsidR="00FF57E9" w:rsidRDefault="000102C4">
      <w:pPr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3219450" cy="2409825"/>
            <wp:effectExtent l="0" t="0" r="0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lastRenderedPageBreak/>
        <w:t>从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3.65%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到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49.08%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，这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49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个点被线性化为一条具有曲线拟合处理的直线。</w:t>
      </w:r>
    </w:p>
    <w:p w:rsidR="00FF57E9" w:rsidRDefault="000102C4">
      <w:pPr>
        <w:jc w:val="left"/>
      </w:pPr>
      <w:r>
        <w:rPr>
          <w:noProof/>
        </w:rPr>
        <w:drawing>
          <wp:inline distT="0" distB="0" distL="0" distR="0">
            <wp:extent cx="5124450" cy="2124075"/>
            <wp:effectExtent l="0" t="0" r="0" b="952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曲线拟合结果为：</w:t>
      </w:r>
    </w:p>
    <w:p w:rsidR="00FF57E9" w:rsidRDefault="000102C4">
      <w:pPr>
        <w:ind w:left="420"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线性模型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Poly1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：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f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x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=p1*x+p2</w:t>
      </w:r>
    </w:p>
    <w:p w:rsidR="00FF57E9" w:rsidRDefault="000102C4">
      <w:pPr>
        <w:ind w:left="420"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系数（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95%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置信区间）：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p1=0.009609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0.009543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0.009675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）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p2=0.0161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0.01421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，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0.018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）</w:t>
      </w:r>
    </w:p>
    <w:p w:rsidR="00FF57E9" w:rsidRDefault="000102C4">
      <w:pPr>
        <w:ind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所以这两个变量之间的函数：</w:t>
      </w:r>
    </w:p>
    <w:p w:rsidR="00FF57E9" w:rsidRDefault="000102C4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1457325" cy="4286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E9" w:rsidRDefault="000102C4">
      <w:pPr>
        <w:ind w:firstLine="420"/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拟合优度：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上证综指：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0.0004943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平方：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0.9995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调整后的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平方：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0.9994</w:t>
      </w:r>
    </w:p>
    <w:p w:rsidR="00FF57E9" w:rsidRDefault="000102C4">
      <w:pPr>
        <w:jc w:val="left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RMSE:0.003243</w:t>
      </w:r>
    </w:p>
    <w:p w:rsidR="00FF57E9" w:rsidRDefault="000102C4">
      <w:pPr>
        <w:jc w:val="left"/>
      </w:pPr>
      <w:r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FF57E9" w:rsidRDefault="000102C4">
      <w:pPr>
        <w:jc w:val="left"/>
      </w:pPr>
      <w:r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FF57E9" w:rsidRDefault="000102C4">
      <w:pPr>
        <w:jc w:val="left"/>
      </w:pPr>
      <w:r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FF57E9" w:rsidRDefault="000102C4">
      <w:pPr>
        <w:spacing w:after="150" w:line="360" w:lineRule="atLeast"/>
        <w:jc w:val="left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FF57E9" w:rsidRDefault="000102C4">
      <w:pPr>
        <w:jc w:val="left"/>
      </w:pPr>
      <w:r>
        <w:rPr>
          <w:rFonts w:ascii="Times New Roman" w:hAnsi="Times New Roman" w:cs="Times New Roman"/>
          <w:sz w:val="24"/>
          <w:szCs w:val="24"/>
        </w:rPr>
        <w:t> </w:t>
      </w:r>
    </w:p>
    <w:sectPr w:rsidR="00FF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1"/>
    <w:rsid w:val="000102C4"/>
    <w:rsid w:val="000A19D1"/>
    <w:rsid w:val="00244DAD"/>
    <w:rsid w:val="004F4E81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BA933"/>
  <w15:chartTrackingRefBased/>
  <w15:docId w15:val="{CDBFDCC7-7C8F-418A-B687-5AAD0F36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宋体" w:hint="defaul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a5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document\convert_tasks\transweb\8983600_8990154\8983600.docx.files\image005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9" Type="http://schemas.openxmlformats.org/officeDocument/2006/relationships/image" Target="file:///D:\document\convert_tasks\transweb\8983600_8990154\8983600.docx.files\image018.jpg" TargetMode="External"/><Relationship Id="rId21" Type="http://schemas.openxmlformats.org/officeDocument/2006/relationships/image" Target="file:///D:\document\convert_tasks\transweb\8983600_8990154\8983600.docx.files\image009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jpeg"/><Relationship Id="rId47" Type="http://schemas.openxmlformats.org/officeDocument/2006/relationships/image" Target="file:///D:\document\convert_tasks\transweb\8983600_8990154\8983600.docx.files\image022.png" TargetMode="External"/><Relationship Id="rId50" Type="http://schemas.openxmlformats.org/officeDocument/2006/relationships/image" Target="media/image24.jpeg"/><Relationship Id="rId55" Type="http://schemas.openxmlformats.org/officeDocument/2006/relationships/theme" Target="theme/theme1.xml"/><Relationship Id="rId7" Type="http://schemas.openxmlformats.org/officeDocument/2006/relationships/image" Target="file:///D:\document\convert_tasks\transweb\8983600_8990154\8983600.docx.files\image00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file:///D:\document\convert_tasks\transweb\8983600_8990154\8983600.docx.files\image013.png" TargetMode="External"/><Relationship Id="rId11" Type="http://schemas.openxmlformats.org/officeDocument/2006/relationships/image" Target="file:///D:\document\convert_tasks\transweb\8983600_8990154\8983600.docx.files\image004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file:///D:\document\convert_tasks\transweb\8983600_8990154\8983600.docx.files\image017.jpg" TargetMode="External"/><Relationship Id="rId40" Type="http://schemas.openxmlformats.org/officeDocument/2006/relationships/image" Target="media/image19.jpeg"/><Relationship Id="rId45" Type="http://schemas.openxmlformats.org/officeDocument/2006/relationships/image" Target="file:///D:\document\convert_tasks\transweb\8983600_8990154\8983600.docx.files\image021.jpg" TargetMode="External"/><Relationship Id="rId53" Type="http://schemas.openxmlformats.org/officeDocument/2006/relationships/image" Target="file:///D:\document\convert_tasks\transweb\8983600_8990154\8983600.docx.files\image027.png" TargetMode="External"/><Relationship Id="rId5" Type="http://schemas.openxmlformats.org/officeDocument/2006/relationships/image" Target="file:///D:\document\convert_tasks\transweb\8983600_8990154\8983600.docx.files\image001.png" TargetMode="External"/><Relationship Id="rId10" Type="http://schemas.openxmlformats.org/officeDocument/2006/relationships/image" Target="media/image4.png"/><Relationship Id="rId19" Type="http://schemas.openxmlformats.org/officeDocument/2006/relationships/image" Target="file:///D:\document\convert_tasks\transweb\8983600_8990154\8983600.docx.files\image008.png" TargetMode="External"/><Relationship Id="rId31" Type="http://schemas.openxmlformats.org/officeDocument/2006/relationships/image" Target="file:///D:\document\convert_tasks\transweb\8983600_8990154\8983600.docx.files\image014.jpg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file:///D:\document\convert_tasks\transweb\8983600_8990154\8983600.docx.files\image003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file:///D:\document\convert_tasks\transweb\8983600_8990154\8983600.docx.files\image012.jpg" TargetMode="External"/><Relationship Id="rId30" Type="http://schemas.openxmlformats.org/officeDocument/2006/relationships/image" Target="media/image14.jpeg"/><Relationship Id="rId35" Type="http://schemas.openxmlformats.org/officeDocument/2006/relationships/image" Target="file:///D:\document\convert_tasks\transweb\8983600_8990154\8983600.docx.files\image016.png" TargetMode="External"/><Relationship Id="rId43" Type="http://schemas.openxmlformats.org/officeDocument/2006/relationships/image" Target="file:///D:\document\convert_tasks\transweb\8983600_8990154\8983600.docx.files\image020.jpg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3.jpeg"/><Relationship Id="rId51" Type="http://schemas.openxmlformats.org/officeDocument/2006/relationships/image" Target="file:///D:\document\convert_tasks\transweb\8983600_8990154\8983600.docx.files\image026.jp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file:///D:\document\convert_tasks\transweb\8983600_8990154\8983600.docx.files\image007.jpg" TargetMode="External"/><Relationship Id="rId25" Type="http://schemas.openxmlformats.org/officeDocument/2006/relationships/image" Target="file:///D:\document\convert_tasks\transweb\8983600_8990154\8983600.docx.files\image011.png" TargetMode="External"/><Relationship Id="rId33" Type="http://schemas.openxmlformats.org/officeDocument/2006/relationships/image" Target="file:///D:\document\convert_tasks\transweb\8983600_8990154\8983600.docx.files\image015.png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file:///D:\document\convert_tasks\transweb\8983600_8990154\8983600.docx.files\image019.jpg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file:///D:\document\convert_tasks\transweb\8983600_8990154\8983600.docx.files\image006.jpg" TargetMode="External"/><Relationship Id="rId23" Type="http://schemas.openxmlformats.org/officeDocument/2006/relationships/image" Target="file:///D:\document\convert_tasks\transweb\8983600_8990154\8983600.docx.files\image010.jp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jpeg"/><Relationship Id="rId49" Type="http://schemas.openxmlformats.org/officeDocument/2006/relationships/image" Target="file:///D:\document\convert_tasks\transweb\8983600_8990154\8983600.docx.files\image02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翻译 百度</dc:creator>
  <cp:keywords/>
  <dc:description/>
  <cp:lastModifiedBy>聂永欣</cp:lastModifiedBy>
  <cp:revision>4</cp:revision>
  <dcterms:created xsi:type="dcterms:W3CDTF">2020-11-21T09:19:00Z</dcterms:created>
  <dcterms:modified xsi:type="dcterms:W3CDTF">2020-11-21T12:51:00Z</dcterms:modified>
</cp:coreProperties>
</file>