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bCs/>
          <w:sz w:val="36"/>
          <w:szCs w:val="36"/>
        </w:rPr>
      </w:pPr>
      <w:r>
        <w:rPr>
          <w:b/>
          <w:bCs/>
          <w:sz w:val="36"/>
          <w:szCs w:val="36"/>
        </w:rPr>
        <w:t>第六章</w:t>
      </w:r>
      <w:r>
        <w:rPr>
          <w:rFonts w:hint="eastAsia"/>
          <w:b/>
          <w:bCs/>
          <w:sz w:val="36"/>
          <w:szCs w:val="36"/>
        </w:rPr>
        <w:t xml:space="preserve">  世界贸易组织（WTO）  </w:t>
      </w:r>
    </w:p>
    <w:p>
      <w:pPr>
        <w:rPr>
          <w:rFonts w:hint="eastAsia"/>
          <w:b/>
          <w:bCs/>
          <w:szCs w:val="21"/>
        </w:rPr>
      </w:pPr>
      <w:r>
        <w:rPr>
          <w:b/>
          <w:bCs/>
          <w:szCs w:val="21"/>
        </w:rPr>
        <w:t>6.1</w:t>
      </w:r>
      <w:r>
        <w:rPr>
          <w:rFonts w:hint="eastAsia"/>
          <w:b/>
          <w:bCs/>
          <w:szCs w:val="21"/>
        </w:rPr>
        <w:t>从GATT到WTO</w:t>
      </w:r>
    </w:p>
    <w:p>
      <w:pPr>
        <w:rPr>
          <w:b/>
          <w:bCs/>
        </w:rPr>
      </w:pPr>
      <w:r>
        <w:rPr>
          <w:b/>
          <w:bCs/>
        </w:rPr>
        <w:t>6.1.1</w:t>
      </w:r>
      <w:r>
        <w:rPr>
          <w:rFonts w:hint="eastAsia"/>
          <w:b/>
          <w:bCs/>
        </w:rPr>
        <w:t>《关税和贸易总协定》（</w:t>
      </w:r>
      <w:r>
        <w:rPr>
          <w:b/>
          <w:bCs/>
        </w:rPr>
        <w:t xml:space="preserve">General Agreement Tariff And Trade </w:t>
      </w:r>
      <w:r>
        <w:rPr>
          <w:rFonts w:hint="eastAsia"/>
          <w:b/>
          <w:bCs/>
        </w:rPr>
        <w:t>，</w:t>
      </w:r>
      <w:r>
        <w:rPr>
          <w:b/>
          <w:bCs/>
        </w:rPr>
        <w:t xml:space="preserve">GATT ）的诞生         </w:t>
      </w:r>
      <w:bookmarkStart w:id="0" w:name="_GoBack"/>
      <w:bookmarkEnd w:id="0"/>
      <w:r>
        <w:rPr>
          <w:b/>
          <w:bCs/>
        </w:rPr>
        <w:t xml:space="preserve">                       </w:t>
      </w:r>
    </w:p>
    <w:p>
      <w:r>
        <w:t xml:space="preserve">   </w:t>
      </w:r>
      <w:r>
        <w:rPr>
          <w:rFonts w:hint="eastAsia"/>
        </w:rPr>
        <w:t xml:space="preserve"> </w:t>
      </w:r>
      <w:r>
        <w:t>1930</w:t>
      </w:r>
      <w:r>
        <w:rPr>
          <w:rFonts w:hint="eastAsia"/>
        </w:rPr>
        <w:t>年：经济大危机中世界各国面临重重困境及一系列惊慌失措的表现</w:t>
      </w:r>
      <w:r>
        <w:t xml:space="preserve">; </w:t>
      </w:r>
    </w:p>
    <w:p>
      <w:r>
        <w:t xml:space="preserve">   </w:t>
      </w:r>
      <w:r>
        <w:rPr>
          <w:rFonts w:hint="eastAsia"/>
        </w:rPr>
        <w:t xml:space="preserve"> 美国</w:t>
      </w:r>
      <w:r>
        <w:t xml:space="preserve">“ </w:t>
      </w:r>
      <w:r>
        <w:rPr>
          <w:rFonts w:hint="eastAsia"/>
        </w:rPr>
        <w:t>斯穆特</w:t>
      </w:r>
      <w:r>
        <w:t>—</w:t>
      </w:r>
      <w:r>
        <w:rPr>
          <w:rFonts w:hint="eastAsia"/>
        </w:rPr>
        <w:t>赫利法案</w:t>
      </w:r>
      <w:r>
        <w:t xml:space="preserve"> ”</w:t>
      </w:r>
      <w:r>
        <w:rPr>
          <w:rFonts w:hint="eastAsia"/>
        </w:rPr>
        <w:t>的巨大效应</w:t>
      </w:r>
      <w:r>
        <w:t xml:space="preserve">. </w:t>
      </w:r>
      <w:r>
        <w:rPr>
          <w:rFonts w:ascii="Arial" w:hAnsi="Arial" w:cs="Arial"/>
          <w:color w:val="333333"/>
          <w:sz w:val="20"/>
          <w:szCs w:val="20"/>
          <w:shd w:val="clear" w:color="auto" w:fill="FFFFFF"/>
        </w:rPr>
        <w:t>为保护国内经济</w:t>
      </w:r>
      <w:r>
        <w:rPr>
          <w:rFonts w:hint="eastAsia" w:ascii="Arial" w:hAnsi="Arial" w:cs="Arial"/>
          <w:color w:val="333333"/>
          <w:sz w:val="20"/>
          <w:szCs w:val="20"/>
          <w:shd w:val="clear" w:color="auto" w:fill="FFFFFF"/>
        </w:rPr>
        <w:t>，针对</w:t>
      </w:r>
      <w:r>
        <w:rPr>
          <w:rFonts w:ascii="Arial" w:hAnsi="Arial" w:cs="Arial"/>
          <w:color w:val="333333"/>
          <w:sz w:val="20"/>
          <w:szCs w:val="20"/>
          <w:shd w:val="clear" w:color="auto" w:fill="FFFFFF"/>
        </w:rPr>
        <w:t>1 9 2 9年美国股市崩盘</w:t>
      </w:r>
      <w:r>
        <w:rPr>
          <w:rFonts w:hint="eastAsia" w:ascii="Arial" w:hAnsi="Arial" w:cs="Arial"/>
          <w:color w:val="333333"/>
          <w:sz w:val="20"/>
          <w:szCs w:val="20"/>
          <w:shd w:val="clear" w:color="auto" w:fill="FFFFFF"/>
        </w:rPr>
        <w:t>，美国</w:t>
      </w:r>
      <w:r>
        <w:rPr>
          <w:rFonts w:ascii="Arial" w:hAnsi="Arial" w:cs="Arial"/>
          <w:color w:val="333333"/>
          <w:sz w:val="20"/>
          <w:szCs w:val="20"/>
          <w:shd w:val="clear" w:color="auto" w:fill="FFFFFF"/>
        </w:rPr>
        <w:t>国会通过</w:t>
      </w:r>
      <w:r>
        <w:rPr>
          <w:rFonts w:hint="eastAsia" w:ascii="Arial" w:hAnsi="Arial" w:cs="Arial"/>
          <w:color w:val="333333"/>
          <w:sz w:val="20"/>
          <w:szCs w:val="20"/>
          <w:shd w:val="clear" w:color="auto" w:fill="FFFFFF"/>
        </w:rPr>
        <w:t>了</w:t>
      </w:r>
      <w:r>
        <w:rPr>
          <w:rFonts w:ascii="Arial" w:hAnsi="Arial" w:cs="Arial"/>
          <w:color w:val="333333"/>
          <w:sz w:val="20"/>
          <w:szCs w:val="20"/>
          <w:shd w:val="clear" w:color="auto" w:fill="FFFFFF"/>
        </w:rPr>
        <w:t>提高关税</w:t>
      </w:r>
      <w:r>
        <w:rPr>
          <w:rFonts w:hint="eastAsia" w:ascii="Arial" w:hAnsi="Arial" w:cs="Arial"/>
          <w:color w:val="333333"/>
          <w:sz w:val="20"/>
          <w:szCs w:val="20"/>
          <w:shd w:val="clear" w:color="auto" w:fill="FFFFFF"/>
        </w:rPr>
        <w:t>的</w:t>
      </w:r>
      <w:r>
        <w:rPr>
          <w:rFonts w:ascii="Arial" w:hAnsi="Arial" w:cs="Arial"/>
          <w:color w:val="333333"/>
          <w:sz w:val="20"/>
          <w:szCs w:val="20"/>
          <w:shd w:val="clear" w:color="auto" w:fill="FFFFFF"/>
        </w:rPr>
        <w:t>《</w:t>
      </w:r>
      <w:r>
        <w:rPr>
          <w:rFonts w:ascii="Arial" w:hAnsi="Arial" w:cs="Arial"/>
          <w:color w:val="CC0000"/>
          <w:sz w:val="20"/>
          <w:szCs w:val="20"/>
          <w:shd w:val="clear" w:color="auto" w:fill="FFFFFF"/>
        </w:rPr>
        <w:t>斯穆特</w:t>
      </w:r>
      <w:r>
        <w:rPr>
          <w:rFonts w:ascii="Arial" w:hAnsi="Arial" w:cs="Arial"/>
          <w:color w:val="333333"/>
          <w:sz w:val="20"/>
          <w:szCs w:val="20"/>
          <w:shd w:val="clear" w:color="auto" w:fill="FFFFFF"/>
        </w:rPr>
        <w:t>--</w:t>
      </w:r>
      <w:r>
        <w:rPr>
          <w:rFonts w:ascii="Arial" w:hAnsi="Arial" w:cs="Arial"/>
          <w:color w:val="CC0000"/>
          <w:sz w:val="20"/>
          <w:szCs w:val="20"/>
          <w:shd w:val="clear" w:color="auto" w:fill="FFFFFF"/>
        </w:rPr>
        <w:t>赫利</w:t>
      </w:r>
      <w:r>
        <w:rPr>
          <w:rFonts w:ascii="Arial" w:hAnsi="Arial" w:cs="Arial"/>
          <w:color w:val="333333"/>
          <w:sz w:val="20"/>
          <w:szCs w:val="20"/>
          <w:shd w:val="clear" w:color="auto" w:fill="FFFFFF"/>
        </w:rPr>
        <w:t>》</w:t>
      </w:r>
      <w:r>
        <w:rPr>
          <w:rFonts w:ascii="Arial" w:hAnsi="Arial" w:cs="Arial"/>
          <w:color w:val="CC0000"/>
          <w:sz w:val="20"/>
          <w:szCs w:val="20"/>
          <w:shd w:val="clear" w:color="auto" w:fill="FFFFFF"/>
        </w:rPr>
        <w:t>法案</w:t>
      </w:r>
      <w:r>
        <w:rPr>
          <w:rFonts w:hint="eastAsia" w:ascii="Arial" w:hAnsi="Arial" w:cs="Arial"/>
          <w:color w:val="CC0000"/>
          <w:sz w:val="20"/>
          <w:szCs w:val="20"/>
          <w:shd w:val="clear" w:color="auto" w:fill="FFFFFF"/>
        </w:rPr>
        <w:t>，结果</w:t>
      </w:r>
      <w:r>
        <w:rPr>
          <w:rFonts w:ascii="Arial" w:hAnsi="Arial" w:cs="Arial"/>
          <w:color w:val="333333"/>
          <w:sz w:val="20"/>
          <w:szCs w:val="20"/>
          <w:shd w:val="clear" w:color="auto" w:fill="FFFFFF"/>
        </w:rPr>
        <w:t>引起贸易伙伴一系列报复</w:t>
      </w:r>
      <w:r>
        <w:rPr>
          <w:rFonts w:hint="eastAsia" w:ascii="Arial" w:hAnsi="Arial" w:cs="Arial"/>
          <w:color w:val="333333"/>
          <w:sz w:val="20"/>
          <w:szCs w:val="20"/>
          <w:shd w:val="clear" w:color="auto" w:fill="FFFFFF"/>
        </w:rPr>
        <w:t>，</w:t>
      </w:r>
      <w:r>
        <w:rPr>
          <w:rFonts w:ascii="Arial" w:hAnsi="Arial" w:cs="Arial"/>
          <w:color w:val="333333"/>
          <w:sz w:val="20"/>
          <w:szCs w:val="20"/>
          <w:shd w:val="clear" w:color="auto" w:fill="FFFFFF"/>
        </w:rPr>
        <w:t>导致全球经济陷入</w:t>
      </w:r>
      <w:r>
        <w:rPr>
          <w:rFonts w:hint="eastAsia" w:ascii="Arial" w:hAnsi="Arial" w:cs="Arial"/>
          <w:color w:val="333333"/>
          <w:sz w:val="20"/>
          <w:szCs w:val="20"/>
          <w:shd w:val="clear" w:color="auto" w:fill="FFFFFF"/>
        </w:rPr>
        <w:t>进一步</w:t>
      </w:r>
      <w:r>
        <w:rPr>
          <w:rFonts w:ascii="Arial" w:hAnsi="Arial" w:cs="Arial"/>
          <w:color w:val="333333"/>
          <w:sz w:val="20"/>
          <w:szCs w:val="20"/>
          <w:shd w:val="clear" w:color="auto" w:fill="FFFFFF"/>
        </w:rPr>
        <w:t>衰退。</w:t>
      </w:r>
    </w:p>
    <w:p>
      <w:pPr>
        <w:ind w:firstLine="420" w:firstLineChars="200"/>
      </w:pPr>
      <w:r>
        <w:t>1941</w:t>
      </w:r>
      <w:r>
        <w:rPr>
          <w:rFonts w:hint="eastAsia"/>
        </w:rPr>
        <w:t>年：</w:t>
      </w:r>
      <w:r>
        <w:t>美国与英国</w:t>
      </w:r>
      <w:r>
        <w:rPr>
          <w:rFonts w:hint="eastAsia"/>
        </w:rPr>
        <w:t>《大西洋宪章》相关看法；</w:t>
      </w:r>
      <w:r>
        <w:t xml:space="preserve"> “希望达成各国在经济合作方面的充分合作……  致力于促进所有国家，不论大小，战胜 或者战败……” </w:t>
      </w:r>
    </w:p>
    <w:p>
      <w:pPr>
        <w:ind w:firstLine="420" w:firstLineChars="200"/>
      </w:pPr>
      <w:r>
        <w:t>1944</w:t>
      </w:r>
      <w:r>
        <w:rPr>
          <w:rFonts w:hint="eastAsia"/>
        </w:rPr>
        <w:t>年：</w:t>
      </w:r>
      <w:r>
        <w:t xml:space="preserve"> 美国</w:t>
      </w:r>
      <w:r>
        <w:rPr>
          <w:rFonts w:hint="eastAsia"/>
        </w:rPr>
        <w:t>、英国、苏联</w:t>
      </w:r>
      <w:r>
        <w:t xml:space="preserve"> 、</w:t>
      </w:r>
      <w:r>
        <w:rPr>
          <w:rFonts w:hint="eastAsia"/>
        </w:rPr>
        <w:t>法国等战胜国代表聚集美国的新罕布什尔州布雷顿森林城，召开了著名的布雷顿森林会议，并签《布雷顿森林协定》 美元为中心的资本主义世界货币体系建立。</w:t>
      </w:r>
      <w:r>
        <w:t xml:space="preserve"> </w:t>
      </w:r>
    </w:p>
    <w:p>
      <w:pPr>
        <w:rPr>
          <w:bCs/>
        </w:rPr>
      </w:pPr>
      <w:r>
        <w:rPr>
          <w:rFonts w:hint="eastAsia"/>
          <w:b/>
          <w:bCs/>
        </w:rPr>
        <w:t xml:space="preserve">   </w:t>
      </w:r>
      <w:r>
        <w:rPr>
          <w:rFonts w:hint="eastAsia"/>
          <w:bCs/>
        </w:rPr>
        <w:t xml:space="preserve"> </w:t>
      </w:r>
      <w:r>
        <w:rPr>
          <w:bCs/>
        </w:rPr>
        <w:t>1946</w:t>
      </w:r>
      <w:r>
        <w:rPr>
          <w:rFonts w:hint="eastAsia"/>
          <w:bCs/>
        </w:rPr>
        <w:t>年</w:t>
      </w:r>
      <w:r>
        <w:rPr>
          <w:bCs/>
        </w:rPr>
        <w:t>10</w:t>
      </w:r>
      <w:r>
        <w:rPr>
          <w:rFonts w:hint="eastAsia"/>
          <w:bCs/>
        </w:rPr>
        <w:t>月，各国大会相继通过拟建国际贸易组织的《哈瓦那宪章》，但因该宪章未能获得美国国会批准，致使该组织未能如约成立。各国与会代表通过谈判，妥协，达成了一系列协议。原宪章起草委员会将这些协定及宪章中某些项内容综合起来，形成《关税和贸易总协定》；</w:t>
      </w:r>
      <w:r>
        <w:rPr>
          <w:bCs/>
        </w:rPr>
        <w:t xml:space="preserve">1948年元月1号生效 </w:t>
      </w:r>
    </w:p>
    <w:p>
      <w:pPr>
        <w:ind w:firstLine="420" w:firstLineChars="200"/>
        <w:rPr>
          <w:rFonts w:hint="eastAsia"/>
          <w:bCs/>
        </w:rPr>
      </w:pPr>
      <w:r>
        <w:rPr>
          <w:rFonts w:hint="eastAsia"/>
          <w:bCs/>
        </w:rPr>
        <w:t>建立“ 货币—金融—贸易 ”三位一体的国际性权威机构，旨在鼓励和推动全球自由贸易与经济发展。至少对主要工业化国家的经济进程，无论是繁荣或是衰退，都有相对准确的预期和强力的调控。</w:t>
      </w:r>
    </w:p>
    <w:p>
      <w:pPr>
        <w:rPr>
          <w:b/>
          <w:bCs/>
        </w:rPr>
      </w:pPr>
      <w:r>
        <w:rPr>
          <w:b/>
          <w:bCs/>
        </w:rPr>
        <w:t>6.1.2</w:t>
      </w:r>
      <w:r>
        <w:rPr>
          <w:rFonts w:hint="eastAsia"/>
          <w:b/>
          <w:bCs/>
        </w:rPr>
        <w:t>从GATT到WTO</w:t>
      </w:r>
      <w:r>
        <w:rPr>
          <w:b/>
          <w:bCs/>
        </w:rPr>
        <w:t xml:space="preserve"> </w:t>
      </w:r>
    </w:p>
    <w:p>
      <w:pPr>
        <w:rPr>
          <w:rFonts w:hint="eastAsia"/>
          <w:bCs/>
        </w:rPr>
      </w:pPr>
      <w:r>
        <w:rPr>
          <w:b/>
          <w:bCs/>
        </w:rPr>
        <w:t xml:space="preserve">     GATT</w:t>
      </w:r>
      <w:r>
        <w:rPr>
          <w:rFonts w:hint="eastAsia"/>
          <w:bCs/>
        </w:rPr>
        <w:t>在国际上，首次以法律形式提供了整套调整国际贸易及贸易关系的规则和程序，并对其成员方的基本权利和义务作了具体规定。</w:t>
      </w:r>
    </w:p>
    <w:p>
      <w:pPr>
        <w:ind w:firstLine="420" w:firstLineChars="200"/>
        <w:rPr>
          <w:bCs/>
        </w:rPr>
      </w:pPr>
      <w:r>
        <w:rPr>
          <w:bCs/>
        </w:rPr>
        <w:t>1947</w:t>
      </w:r>
      <w:r>
        <w:rPr>
          <w:rFonts w:hint="eastAsia"/>
          <w:bCs/>
        </w:rPr>
        <w:t>—</w:t>
      </w:r>
      <w:r>
        <w:rPr>
          <w:bCs/>
        </w:rPr>
        <w:t>1993</w:t>
      </w:r>
      <w:r>
        <w:rPr>
          <w:rFonts w:hint="eastAsia"/>
          <w:bCs/>
        </w:rPr>
        <w:t>年，</w:t>
      </w:r>
      <w:r>
        <w:rPr>
          <w:bCs/>
        </w:rPr>
        <w:t>GATT</w:t>
      </w:r>
      <w:r>
        <w:rPr>
          <w:rFonts w:hint="eastAsia"/>
          <w:bCs/>
        </w:rPr>
        <w:t>先后举行了“八个回合</w:t>
      </w:r>
      <w:r>
        <w:rPr>
          <w:bCs/>
        </w:rPr>
        <w:t>”的谈判；其中前七次主要以讨论并议定关税、非关税措施和货物贸易框架协议为主。</w:t>
      </w:r>
    </w:p>
    <w:p>
      <w:pPr>
        <w:ind w:firstLine="420" w:firstLineChars="200"/>
        <w:jc w:val="center"/>
        <w:rPr>
          <w:rFonts w:hint="eastAsia"/>
          <w:bCs/>
        </w:rPr>
      </w:pPr>
      <w:r>
        <w:rPr>
          <w:rFonts w:hint="eastAsia"/>
          <w:bCs/>
        </w:rPr>
        <w:t>GATT成立以来的八次贸易谈判情况（8个回合）</w:t>
      </w:r>
    </w:p>
    <w:tbl>
      <w:tblPr>
        <w:tblStyle w:val="3"/>
        <w:tblW w:w="8167" w:type="dxa"/>
        <w:jc w:val="right"/>
        <w:tblInd w:w="-238" w:type="dxa"/>
        <w:tblLayout w:type="fixed"/>
        <w:tblCellMar>
          <w:top w:w="0" w:type="dxa"/>
          <w:left w:w="0" w:type="dxa"/>
          <w:bottom w:w="0" w:type="dxa"/>
          <w:right w:w="0" w:type="dxa"/>
        </w:tblCellMar>
      </w:tblPr>
      <w:tblGrid>
        <w:gridCol w:w="729"/>
        <w:gridCol w:w="905"/>
        <w:gridCol w:w="1170"/>
        <w:gridCol w:w="735"/>
        <w:gridCol w:w="900"/>
        <w:gridCol w:w="3728"/>
      </w:tblGrid>
      <w:tr>
        <w:tblPrEx>
          <w:tblLayout w:type="fixed"/>
          <w:tblCellMar>
            <w:top w:w="0" w:type="dxa"/>
            <w:left w:w="0" w:type="dxa"/>
            <w:bottom w:w="0" w:type="dxa"/>
            <w:right w:w="0" w:type="dxa"/>
          </w:tblCellMar>
        </w:tblPrEx>
        <w:trPr>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届次</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谈判时间</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谈判地点</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参加国和地区数</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谈判内容和议题</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rFonts w:hint="eastAsia"/>
                <w:bCs/>
                <w:szCs w:val="21"/>
              </w:rPr>
              <w:t>　　谈判主要成果</w:t>
            </w:r>
          </w:p>
        </w:tc>
      </w:tr>
      <w:tr>
        <w:tblPrEx>
          <w:tblLayout w:type="fixed"/>
          <w:tblCellMar>
            <w:top w:w="0" w:type="dxa"/>
            <w:left w:w="0" w:type="dxa"/>
            <w:bottom w:w="0" w:type="dxa"/>
            <w:right w:w="0" w:type="dxa"/>
          </w:tblCellMar>
        </w:tblPrEx>
        <w:trPr>
          <w:trHeight w:val="276"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1</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1947.4-10</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23</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w:t>
            </w:r>
            <w:r>
              <w:rPr>
                <w:bCs/>
                <w:szCs w:val="21"/>
              </w:rPr>
              <w:t>45000</w:t>
            </w:r>
            <w:r>
              <w:rPr>
                <w:rFonts w:hint="eastAsia"/>
                <w:bCs/>
                <w:szCs w:val="21"/>
              </w:rPr>
              <w:t>项商品的关税减让，使占资本主义国家进口值</w:t>
            </w:r>
            <w:r>
              <w:rPr>
                <w:bCs/>
                <w:szCs w:val="21"/>
              </w:rPr>
              <w:t>54%</w:t>
            </w:r>
            <w:r>
              <w:rPr>
                <w:rFonts w:hint="eastAsia"/>
                <w:bCs/>
                <w:szCs w:val="21"/>
              </w:rPr>
              <w:t>的商品平均降低关税</w:t>
            </w:r>
            <w:r>
              <w:rPr>
                <w:bCs/>
                <w:szCs w:val="21"/>
              </w:rPr>
              <w:t>35%</w:t>
            </w:r>
            <w:r>
              <w:rPr>
                <w:rFonts w:hint="eastAsia"/>
                <w:bCs/>
                <w:szCs w:val="21"/>
              </w:rPr>
              <w:t>，导致总协定临时生效</w:t>
            </w:r>
          </w:p>
        </w:tc>
      </w:tr>
      <w:tr>
        <w:tblPrEx>
          <w:tblLayout w:type="fixed"/>
          <w:tblCellMar>
            <w:top w:w="0" w:type="dxa"/>
            <w:left w:w="0" w:type="dxa"/>
            <w:bottom w:w="0" w:type="dxa"/>
            <w:right w:w="0" w:type="dxa"/>
          </w:tblCellMar>
        </w:tblPrEx>
        <w:trPr>
          <w:trHeight w:val="233"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2</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1949.4-10</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法国安纳西</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29</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w:t>
            </w:r>
            <w:r>
              <w:rPr>
                <w:bCs/>
                <w:szCs w:val="21"/>
              </w:rPr>
              <w:t>147</w:t>
            </w:r>
            <w:r>
              <w:rPr>
                <w:rFonts w:hint="eastAsia"/>
                <w:bCs/>
                <w:szCs w:val="21"/>
              </w:rPr>
              <w:t>项双边协议，增加</w:t>
            </w:r>
            <w:r>
              <w:rPr>
                <w:bCs/>
                <w:szCs w:val="21"/>
              </w:rPr>
              <w:t>5000</w:t>
            </w:r>
            <w:r>
              <w:rPr>
                <w:rFonts w:hint="eastAsia"/>
                <w:bCs/>
                <w:szCs w:val="21"/>
              </w:rPr>
              <w:t>项商品的关税减让，使占应税进口值</w:t>
            </w:r>
            <w:r>
              <w:rPr>
                <w:bCs/>
                <w:szCs w:val="21"/>
              </w:rPr>
              <w:t>5.6</w:t>
            </w:r>
            <w:r>
              <w:rPr>
                <w:rFonts w:hint="eastAsia"/>
                <w:bCs/>
                <w:szCs w:val="21"/>
              </w:rPr>
              <w:t>％的商品平均降低关税</w:t>
            </w:r>
            <w:r>
              <w:rPr>
                <w:bCs/>
                <w:szCs w:val="21"/>
              </w:rPr>
              <w:t>35</w:t>
            </w:r>
            <w:r>
              <w:rPr>
                <w:rFonts w:hint="eastAsia"/>
                <w:bCs/>
                <w:szCs w:val="21"/>
              </w:rPr>
              <w:t>％</w:t>
            </w:r>
          </w:p>
        </w:tc>
      </w:tr>
      <w:tr>
        <w:tblPrEx>
          <w:tblLayout w:type="fixed"/>
          <w:tblCellMar>
            <w:top w:w="0" w:type="dxa"/>
            <w:left w:w="0" w:type="dxa"/>
            <w:bottom w:w="0" w:type="dxa"/>
            <w:right w:w="0" w:type="dxa"/>
          </w:tblCellMar>
        </w:tblPrEx>
        <w:trPr>
          <w:trHeight w:val="191"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3</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1950.9-1951.4</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英国托奎</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32</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w:t>
            </w:r>
            <w:r>
              <w:rPr>
                <w:bCs/>
                <w:szCs w:val="21"/>
              </w:rPr>
              <w:t>9000</w:t>
            </w:r>
            <w:r>
              <w:rPr>
                <w:rFonts w:hint="eastAsia"/>
                <w:bCs/>
                <w:szCs w:val="21"/>
              </w:rPr>
              <w:t>项商品的关税减让，使占应税进口值</w:t>
            </w:r>
            <w:r>
              <w:rPr>
                <w:bCs/>
                <w:szCs w:val="21"/>
              </w:rPr>
              <w:t>11.7%</w:t>
            </w:r>
            <w:r>
              <w:rPr>
                <w:rFonts w:hint="eastAsia"/>
                <w:bCs/>
                <w:szCs w:val="21"/>
              </w:rPr>
              <w:t>的商品平均降低关税</w:t>
            </w:r>
            <w:r>
              <w:rPr>
                <w:bCs/>
                <w:szCs w:val="21"/>
              </w:rPr>
              <w:t>26%</w:t>
            </w:r>
          </w:p>
        </w:tc>
      </w:tr>
      <w:tr>
        <w:tblPrEx>
          <w:tblLayout w:type="fixed"/>
          <w:tblCellMar>
            <w:top w:w="0" w:type="dxa"/>
            <w:left w:w="0" w:type="dxa"/>
            <w:bottom w:w="0" w:type="dxa"/>
            <w:right w:w="0" w:type="dxa"/>
          </w:tblCellMar>
        </w:tblPrEx>
        <w:trPr>
          <w:trHeight w:val="255"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4</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1956.1-5</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33</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达成近</w:t>
            </w:r>
            <w:r>
              <w:rPr>
                <w:bCs/>
                <w:szCs w:val="21"/>
              </w:rPr>
              <w:t>3000</w:t>
            </w:r>
            <w:r>
              <w:rPr>
                <w:rFonts w:hint="eastAsia"/>
                <w:bCs/>
                <w:szCs w:val="21"/>
              </w:rPr>
              <w:t>项商品的关税减让，使占应税进口值</w:t>
            </w:r>
            <w:r>
              <w:rPr>
                <w:bCs/>
                <w:szCs w:val="21"/>
              </w:rPr>
              <w:t>16%</w:t>
            </w:r>
            <w:r>
              <w:rPr>
                <w:rFonts w:hint="eastAsia"/>
                <w:bCs/>
                <w:szCs w:val="21"/>
              </w:rPr>
              <w:t>的商品平均降低关税</w:t>
            </w:r>
            <w:r>
              <w:rPr>
                <w:bCs/>
                <w:szCs w:val="21"/>
              </w:rPr>
              <w:t>15%</w:t>
            </w:r>
            <w:r>
              <w:rPr>
                <w:rFonts w:hint="eastAsia"/>
                <w:bCs/>
                <w:szCs w:val="21"/>
              </w:rPr>
              <w:t>，相当于</w:t>
            </w:r>
            <w:r>
              <w:rPr>
                <w:bCs/>
                <w:szCs w:val="21"/>
              </w:rPr>
              <w:t>25</w:t>
            </w:r>
            <w:r>
              <w:rPr>
                <w:rFonts w:hint="eastAsia"/>
                <w:bCs/>
                <w:szCs w:val="21"/>
              </w:rPr>
              <w:t>亿美元的贸易额</w:t>
            </w:r>
          </w:p>
        </w:tc>
      </w:tr>
      <w:tr>
        <w:tblPrEx>
          <w:tblLayout w:type="fixed"/>
          <w:tblCellMar>
            <w:top w:w="0" w:type="dxa"/>
            <w:left w:w="0" w:type="dxa"/>
            <w:bottom w:w="0" w:type="dxa"/>
            <w:right w:w="0" w:type="dxa"/>
          </w:tblCellMar>
        </w:tblPrEx>
        <w:trPr>
          <w:trHeight w:val="255"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5</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1960.9-1961.7</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瑞士日内瓦（狄龙回合）</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39</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w:t>
            </w:r>
            <w:r>
              <w:rPr>
                <w:bCs/>
                <w:szCs w:val="21"/>
              </w:rPr>
              <w:t>4400</w:t>
            </w:r>
            <w:r>
              <w:rPr>
                <w:rFonts w:hint="eastAsia"/>
                <w:bCs/>
                <w:szCs w:val="21"/>
              </w:rPr>
              <w:t>项商品的关税减让，使占应税进口值</w:t>
            </w:r>
            <w:r>
              <w:rPr>
                <w:bCs/>
                <w:szCs w:val="21"/>
              </w:rPr>
              <w:t>20%</w:t>
            </w:r>
            <w:r>
              <w:rPr>
                <w:rFonts w:hint="eastAsia"/>
                <w:bCs/>
                <w:szCs w:val="21"/>
              </w:rPr>
              <w:t>的商品平均降低关税</w:t>
            </w:r>
            <w:r>
              <w:rPr>
                <w:bCs/>
                <w:szCs w:val="21"/>
              </w:rPr>
              <w:t>20%</w:t>
            </w:r>
            <w:r>
              <w:rPr>
                <w:rFonts w:hint="eastAsia"/>
                <w:bCs/>
                <w:szCs w:val="21"/>
              </w:rPr>
              <w:t>，相当于</w:t>
            </w:r>
            <w:r>
              <w:rPr>
                <w:bCs/>
                <w:szCs w:val="21"/>
              </w:rPr>
              <w:t>49</w:t>
            </w:r>
            <w:r>
              <w:rPr>
                <w:rFonts w:hint="eastAsia"/>
                <w:bCs/>
                <w:szCs w:val="21"/>
              </w:rPr>
              <w:t>亿美元的贸易额</w:t>
            </w:r>
          </w:p>
        </w:tc>
      </w:tr>
      <w:tr>
        <w:tblPrEx>
          <w:tblLayout w:type="fixed"/>
          <w:tblCellMar>
            <w:top w:w="0" w:type="dxa"/>
            <w:left w:w="0" w:type="dxa"/>
            <w:bottom w:w="0" w:type="dxa"/>
            <w:right w:w="0" w:type="dxa"/>
          </w:tblCellMar>
        </w:tblPrEx>
        <w:trPr>
          <w:trHeight w:val="276"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6</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1964.5-1967.6</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瑞士日内瓦（肯尼迪回合）</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74</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关税统一减让</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涉及关税减让商品项目达</w:t>
            </w:r>
            <w:r>
              <w:rPr>
                <w:bCs/>
                <w:szCs w:val="21"/>
              </w:rPr>
              <w:t>60000</w:t>
            </w:r>
            <w:r>
              <w:rPr>
                <w:rFonts w:hint="eastAsia"/>
                <w:bCs/>
                <w:szCs w:val="21"/>
              </w:rPr>
              <w:t>项；经合组织成员间工业品平均削减关税</w:t>
            </w:r>
            <w:r>
              <w:rPr>
                <w:bCs/>
                <w:szCs w:val="21"/>
              </w:rPr>
              <w:t>35</w:t>
            </w:r>
            <w:r>
              <w:rPr>
                <w:rFonts w:hint="eastAsia"/>
                <w:bCs/>
                <w:szCs w:val="21"/>
              </w:rPr>
              <w:t>％，涉及贸易额</w:t>
            </w:r>
            <w:r>
              <w:rPr>
                <w:bCs/>
                <w:szCs w:val="21"/>
              </w:rPr>
              <w:t>400</w:t>
            </w:r>
            <w:r>
              <w:rPr>
                <w:rFonts w:hint="eastAsia"/>
                <w:bCs/>
                <w:szCs w:val="21"/>
              </w:rPr>
              <w:t>多亿美元</w:t>
            </w:r>
          </w:p>
        </w:tc>
      </w:tr>
      <w:tr>
        <w:tblPrEx>
          <w:tblLayout w:type="fixed"/>
          <w:tblCellMar>
            <w:top w:w="0" w:type="dxa"/>
            <w:left w:w="0" w:type="dxa"/>
            <w:bottom w:w="0" w:type="dxa"/>
            <w:right w:w="0" w:type="dxa"/>
          </w:tblCellMar>
        </w:tblPrEx>
        <w:trPr>
          <w:trHeight w:val="594"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7</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1973.9-1979.4</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瑞士日内瓦（东京回合）</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99</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关税减让；消除非关税壁垒</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以一揽子关税减让方式就影响世界贸易额约</w:t>
            </w:r>
            <w:r>
              <w:rPr>
                <w:bCs/>
                <w:szCs w:val="21"/>
              </w:rPr>
              <w:t>3000</w:t>
            </w:r>
            <w:r>
              <w:rPr>
                <w:rFonts w:hint="eastAsia"/>
                <w:bCs/>
                <w:szCs w:val="21"/>
              </w:rPr>
              <w:t>亿美元的商品达成关税减让与约束，使关税水平下降</w:t>
            </w:r>
            <w:r>
              <w:rPr>
                <w:bCs/>
                <w:szCs w:val="21"/>
              </w:rPr>
              <w:t>35%</w:t>
            </w:r>
            <w:r>
              <w:rPr>
                <w:rFonts w:hint="eastAsia"/>
                <w:bCs/>
                <w:szCs w:val="21"/>
              </w:rPr>
              <w:t>；</w:t>
            </w:r>
            <w:r>
              <w:rPr>
                <w:bCs/>
                <w:szCs w:val="21"/>
              </w:rPr>
              <w:t>9</w:t>
            </w:r>
            <w:r>
              <w:rPr>
                <w:rFonts w:hint="eastAsia"/>
                <w:bCs/>
                <w:szCs w:val="21"/>
              </w:rPr>
              <w:t>个发达国家工业制成品关税降至加权平均关税降到</w:t>
            </w:r>
            <w:r>
              <w:rPr>
                <w:bCs/>
                <w:szCs w:val="21"/>
              </w:rPr>
              <w:t>6</w:t>
            </w:r>
            <w:r>
              <w:rPr>
                <w:rFonts w:hint="eastAsia"/>
                <w:bCs/>
                <w:szCs w:val="21"/>
              </w:rPr>
              <w:t>％左右；达成多项非关税壁垒协议和守则；通过了给予发展中国家优惠待遇的“授权条款”</w:t>
            </w:r>
          </w:p>
        </w:tc>
      </w:tr>
      <w:tr>
        <w:tblPrEx>
          <w:tblLayout w:type="fixed"/>
          <w:tblCellMar>
            <w:top w:w="0" w:type="dxa"/>
            <w:left w:w="0" w:type="dxa"/>
            <w:bottom w:w="0" w:type="dxa"/>
            <w:right w:w="0" w:type="dxa"/>
          </w:tblCellMar>
        </w:tblPrEx>
        <w:trPr>
          <w:trHeight w:val="610" w:hRule="atLeast"/>
          <w:jc w:val="right"/>
        </w:trPr>
        <w:tc>
          <w:tcPr>
            <w:tcW w:w="729"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8</w:t>
            </w:r>
          </w:p>
        </w:tc>
        <w:tc>
          <w:tcPr>
            <w:tcW w:w="90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bCs/>
                <w:szCs w:val="21"/>
              </w:rPr>
              <w:t>1986.9-1993.12</w:t>
            </w:r>
          </w:p>
        </w:tc>
        <w:tc>
          <w:tcPr>
            <w:tcW w:w="117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瑞士日内瓦（乌拉圭回合）</w:t>
            </w:r>
          </w:p>
        </w:tc>
        <w:tc>
          <w:tcPr>
            <w:tcW w:w="735"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ind w:firstLine="420" w:firstLineChars="200"/>
              <w:rPr>
                <w:bCs/>
                <w:szCs w:val="21"/>
              </w:rPr>
            </w:pPr>
            <w:r>
              <w:rPr>
                <w:bCs/>
                <w:szCs w:val="21"/>
              </w:rPr>
              <w:t>117</w:t>
            </w:r>
            <w:r>
              <w:rPr>
                <w:rFonts w:hint="eastAsia"/>
                <w:bCs/>
                <w:szCs w:val="21"/>
              </w:rPr>
              <w:t>（</w:t>
            </w:r>
            <w:r>
              <w:rPr>
                <w:bCs/>
                <w:szCs w:val="21"/>
              </w:rPr>
              <w:t>1986</w:t>
            </w:r>
            <w:r>
              <w:rPr>
                <w:rFonts w:hint="eastAsia"/>
                <w:bCs/>
                <w:szCs w:val="21"/>
              </w:rPr>
              <w:t>年</w:t>
            </w:r>
            <w:r>
              <w:rPr>
                <w:bCs/>
                <w:szCs w:val="21"/>
              </w:rPr>
              <w:t>103</w:t>
            </w:r>
            <w:r>
              <w:rPr>
                <w:rFonts w:hint="eastAsia"/>
                <w:bCs/>
                <w:szCs w:val="21"/>
              </w:rPr>
              <w:t>；</w:t>
            </w:r>
            <w:r>
              <w:rPr>
                <w:bCs/>
                <w:szCs w:val="21"/>
              </w:rPr>
              <w:t>1993</w:t>
            </w:r>
            <w:r>
              <w:rPr>
                <w:rFonts w:hint="eastAsia"/>
                <w:bCs/>
                <w:szCs w:val="21"/>
              </w:rPr>
              <w:t>年</w:t>
            </w:r>
            <w:r>
              <w:rPr>
                <w:bCs/>
                <w:szCs w:val="21"/>
              </w:rPr>
              <w:t>117</w:t>
            </w:r>
            <w:r>
              <w:rPr>
                <w:rFonts w:hint="eastAsia"/>
                <w:bCs/>
                <w:szCs w:val="21"/>
              </w:rPr>
              <w:t>个；</w:t>
            </w:r>
            <w:r>
              <w:rPr>
                <w:bCs/>
                <w:szCs w:val="21"/>
              </w:rPr>
              <w:t>1995</w:t>
            </w:r>
            <w:r>
              <w:rPr>
                <w:rFonts w:hint="eastAsia"/>
                <w:bCs/>
                <w:szCs w:val="21"/>
              </w:rPr>
              <w:t>年</w:t>
            </w:r>
            <w:r>
              <w:rPr>
                <w:bCs/>
                <w:szCs w:val="21"/>
              </w:rPr>
              <w:t>128</w:t>
            </w:r>
            <w:r>
              <w:rPr>
                <w:rFonts w:hint="eastAsia"/>
                <w:bCs/>
                <w:szCs w:val="21"/>
              </w:rPr>
              <w:t>个）</w:t>
            </w:r>
          </w:p>
        </w:tc>
        <w:tc>
          <w:tcPr>
            <w:tcW w:w="900"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关税减让；非关税壁垒；总协定规章；与贸易有关的投资和知识产权问题；服务贸易</w:t>
            </w:r>
          </w:p>
        </w:tc>
        <w:tc>
          <w:tcPr>
            <w:tcW w:w="3728" w:type="dxa"/>
            <w:tcBorders>
              <w:top w:val="single" w:color="333399" w:sz="8" w:space="0"/>
              <w:left w:val="single" w:color="333399" w:sz="8" w:space="0"/>
              <w:bottom w:val="single" w:color="333399" w:sz="8" w:space="0"/>
              <w:right w:val="single" w:color="333399" w:sz="8" w:space="0"/>
            </w:tcBorders>
            <w:shd w:val="clear" w:color="auto" w:fill="E8E8EF"/>
            <w:tcMar>
              <w:top w:w="3" w:type="dxa"/>
              <w:left w:w="3" w:type="dxa"/>
              <w:bottom w:w="0" w:type="dxa"/>
              <w:right w:w="3" w:type="dxa"/>
            </w:tcMar>
            <w:vAlign w:val="center"/>
          </w:tcPr>
          <w:p>
            <w:pPr>
              <w:rPr>
                <w:bCs/>
                <w:szCs w:val="21"/>
              </w:rPr>
            </w:pPr>
            <w:r>
              <w:rPr>
                <w:rFonts w:hint="eastAsia"/>
                <w:bCs/>
                <w:szCs w:val="21"/>
              </w:rPr>
              <w:t>达成内容广泛的协议，共</w:t>
            </w:r>
            <w:r>
              <w:rPr>
                <w:bCs/>
                <w:szCs w:val="21"/>
              </w:rPr>
              <w:t>45</w:t>
            </w:r>
            <w:r>
              <w:rPr>
                <w:rFonts w:hint="eastAsia"/>
                <w:bCs/>
                <w:szCs w:val="21"/>
              </w:rPr>
              <w:t>个；减税商品涉及贸易额高达</w:t>
            </w:r>
            <w:r>
              <w:rPr>
                <w:bCs/>
                <w:szCs w:val="21"/>
              </w:rPr>
              <w:t>1.2</w:t>
            </w:r>
            <w:r>
              <w:rPr>
                <w:rFonts w:hint="eastAsia"/>
                <w:bCs/>
                <w:szCs w:val="21"/>
              </w:rPr>
              <w:t>万亿美元；减税幅度近</w:t>
            </w:r>
            <w:r>
              <w:rPr>
                <w:bCs/>
                <w:szCs w:val="21"/>
              </w:rPr>
              <w:t>40%</w:t>
            </w:r>
            <w:r>
              <w:rPr>
                <w:rFonts w:hint="eastAsia"/>
                <w:bCs/>
                <w:szCs w:val="21"/>
              </w:rPr>
              <w:t>，近</w:t>
            </w:r>
            <w:r>
              <w:rPr>
                <w:bCs/>
                <w:szCs w:val="21"/>
              </w:rPr>
              <w:t>20</w:t>
            </w:r>
            <w:r>
              <w:rPr>
                <w:rFonts w:hint="eastAsia"/>
                <w:bCs/>
                <w:szCs w:val="21"/>
              </w:rPr>
              <w:t>个产品部门实行了零关税；发达国家平均税率由</w:t>
            </w:r>
            <w:r>
              <w:rPr>
                <w:bCs/>
                <w:szCs w:val="21"/>
              </w:rPr>
              <w:t>6.4%</w:t>
            </w:r>
            <w:r>
              <w:rPr>
                <w:rFonts w:hint="eastAsia"/>
                <w:bCs/>
                <w:szCs w:val="21"/>
              </w:rPr>
              <w:t>降为</w:t>
            </w:r>
            <w:r>
              <w:rPr>
                <w:bCs/>
                <w:szCs w:val="21"/>
              </w:rPr>
              <w:t>4%</w:t>
            </w:r>
            <w:r>
              <w:rPr>
                <w:rFonts w:hint="eastAsia"/>
                <w:bCs/>
                <w:szCs w:val="21"/>
              </w:rPr>
              <w:t>；农产品非关税措施全部关税化；纺织品的歧视性配额限制在</w:t>
            </w:r>
            <w:r>
              <w:rPr>
                <w:bCs/>
                <w:szCs w:val="21"/>
              </w:rPr>
              <w:t>10</w:t>
            </w:r>
            <w:r>
              <w:rPr>
                <w:rFonts w:hint="eastAsia"/>
                <w:bCs/>
                <w:szCs w:val="21"/>
              </w:rPr>
              <w:t>年内取消；服务贸易制定了自由化原则；建立了</w:t>
            </w:r>
            <w:r>
              <w:rPr>
                <w:bCs/>
                <w:szCs w:val="21"/>
              </w:rPr>
              <w:t>WTO</w:t>
            </w:r>
            <w:r>
              <w:rPr>
                <w:rFonts w:hint="eastAsia"/>
                <w:bCs/>
                <w:szCs w:val="21"/>
              </w:rPr>
              <w:t>取代</w:t>
            </w:r>
            <w:r>
              <w:rPr>
                <w:bCs/>
                <w:szCs w:val="21"/>
              </w:rPr>
              <w:t>GATT</w:t>
            </w:r>
          </w:p>
        </w:tc>
      </w:tr>
    </w:tbl>
    <w:p>
      <w:pPr>
        <w:ind w:firstLine="420" w:firstLineChars="200"/>
        <w:rPr>
          <w:rFonts w:hint="eastAsia"/>
          <w:bCs/>
        </w:rPr>
      </w:pPr>
    </w:p>
    <w:p>
      <w:pPr>
        <w:ind w:firstLine="420" w:firstLineChars="200"/>
        <w:rPr>
          <w:rFonts w:hint="eastAsia"/>
          <w:b/>
          <w:bCs/>
        </w:rPr>
      </w:pPr>
      <w:r>
        <w:rPr>
          <w:rFonts w:hint="eastAsia"/>
          <w:bCs/>
        </w:rPr>
        <w:t>乌拉圭回合</w:t>
      </w:r>
      <w:r>
        <w:rPr>
          <w:bCs/>
        </w:rPr>
        <w:t>”除上述传统议题外，还把服务、知识产权、争端解决、纺织品和服装、农产品、新世贸组织成立等问题纳入解决议题和范畴。</w:t>
      </w:r>
      <w:r>
        <w:rPr>
          <w:rFonts w:hint="eastAsia"/>
          <w:bCs/>
        </w:rPr>
        <w:t xml:space="preserve">至少使第二次世界大战前那种各自为政以及混乱、无序的失控局面在一定程度上得以改观。 </w:t>
      </w:r>
      <w:r>
        <w:rPr>
          <w:rFonts w:hint="eastAsia"/>
          <w:b/>
          <w:bCs/>
        </w:rPr>
        <w:t xml:space="preserve">     </w:t>
      </w:r>
    </w:p>
    <w:p>
      <w:pPr>
        <w:rPr>
          <w:rFonts w:hint="eastAsia"/>
          <w:b/>
          <w:bCs/>
        </w:rPr>
      </w:pPr>
      <w:r>
        <w:rPr>
          <w:rFonts w:hint="eastAsia"/>
          <w:b/>
          <w:bCs/>
        </w:rPr>
        <w:t>案例分析：乌拉圭回合谈判（GATT</w:t>
      </w:r>
      <w:r>
        <w:rPr>
          <w:rFonts w:ascii="Arial" w:hAnsi="Arial" w:cs="Arial"/>
          <w:color w:val="333333"/>
          <w:szCs w:val="21"/>
          <w:shd w:val="clear" w:color="auto" w:fill="FFFFFF"/>
        </w:rPr>
        <w:t>第八轮多边贸易谈判</w:t>
      </w:r>
      <w:r>
        <w:rPr>
          <w:rFonts w:hint="eastAsia" w:ascii="Arial" w:hAnsi="Arial" w:cs="Arial"/>
          <w:color w:val="333333"/>
          <w:szCs w:val="21"/>
          <w:shd w:val="clear" w:color="auto" w:fill="FFFFFF"/>
        </w:rPr>
        <w:t>)</w:t>
      </w:r>
    </w:p>
    <w:p>
      <w:pPr>
        <w:ind w:firstLine="420" w:firstLineChars="200"/>
        <w:rPr>
          <w:rFonts w:hint="eastAsia"/>
          <w:bCs/>
        </w:rPr>
      </w:pPr>
      <w:r>
        <w:rPr>
          <w:bCs/>
        </w:rPr>
        <w:t>1986年9月在乌拉圭的埃斯特角城举行了关贸总协定部长级会议，决定进行一场旨在全面改革多边贸易体制的新一轮谈判，故命名为"乌拉圭回合谈判"。</w:t>
      </w:r>
    </w:p>
    <w:p>
      <w:pPr>
        <w:ind w:firstLine="420" w:firstLineChars="200"/>
        <w:rPr>
          <w:rFonts w:hint="eastAsia"/>
          <w:bCs/>
        </w:rPr>
      </w:pPr>
      <w:r>
        <w:rPr>
          <w:bCs/>
        </w:rPr>
        <w:t>这是迄今为止最大的一次贸易谈判，历时7年半，于1994年4月在摩洛哥的马拉喀什结束。</w:t>
      </w:r>
    </w:p>
    <w:p>
      <w:pPr>
        <w:ind w:firstLine="420" w:firstLineChars="200"/>
        <w:rPr>
          <w:rFonts w:hint="eastAsia"/>
          <w:bCs/>
        </w:rPr>
      </w:pPr>
      <w:r>
        <w:rPr>
          <w:bCs/>
        </w:rPr>
        <w:t>谈判几乎涉及所有贸易，从牙刷到游艇，从银行到电信，从野生水稻基因到艾滋病治疗。参加方从最初的103个，增至谈判结束时的125个.</w:t>
      </w:r>
      <w:r>
        <w:rPr>
          <w:rFonts w:hint="eastAsia"/>
          <w:bCs/>
        </w:rPr>
        <w:t xml:space="preserve"> 谈判</w:t>
      </w:r>
      <w:r>
        <w:rPr>
          <w:bCs/>
        </w:rPr>
        <w:t>达成</w:t>
      </w:r>
      <w:r>
        <w:rPr>
          <w:rFonts w:hint="eastAsia"/>
          <w:bCs/>
        </w:rPr>
        <w:t>：</w:t>
      </w:r>
    </w:p>
    <w:p>
      <w:pPr>
        <w:ind w:firstLine="420" w:firstLineChars="200"/>
        <w:rPr>
          <w:bCs/>
        </w:rPr>
      </w:pPr>
      <w:r>
        <w:rPr>
          <w:bCs/>
        </w:rPr>
        <w:t>18个要求全体成员国"一揽子接受"的协议; 4个不要求全体成员国" 一揽子接受"的协议。大幅度减让关税， 使发达国家的工业产品关税下降40%，从平均6. 3%降至3.8%;首次在服务贸易、与贸易有关的投资措施、知识产权保护、争端解决机制、贸易政策评审机制等达成了多边协议。</w:t>
      </w:r>
    </w:p>
    <w:p>
      <w:pPr>
        <w:ind w:firstLine="420" w:firstLineChars="200"/>
        <w:rPr>
          <w:bCs/>
        </w:rPr>
      </w:pPr>
      <w:r>
        <w:rPr>
          <w:rFonts w:hint="eastAsia"/>
          <w:bCs/>
        </w:rPr>
        <w:t>1994年4月15日,摩洛哥马拉喀什市GATT乌拉圭回合部长会议决定成立世界贸易组织（World Trade Organization -- WTO），取代关贸总协定（GATT）。1995年1月1日, WTO正式成立。总部设在瑞士日内瓦.</w:t>
      </w:r>
    </w:p>
    <w:p>
      <w:pPr>
        <w:ind w:firstLine="420" w:firstLineChars="200"/>
        <w:rPr>
          <w:bCs/>
        </w:rPr>
      </w:pPr>
      <w:r>
        <w:rPr>
          <w:rFonts w:hint="eastAsia"/>
          <w:bCs/>
        </w:rPr>
        <w:t>WTO与IMF、世界银行（WB）一起被称为世界经济发展的三大支柱。</w:t>
      </w:r>
    </w:p>
    <w:p>
      <w:pPr>
        <w:rPr>
          <w:b/>
          <w:bCs/>
        </w:rPr>
      </w:pPr>
      <w:r>
        <w:rPr>
          <w:b/>
          <w:bCs/>
        </w:rPr>
        <w:t>6</w:t>
      </w:r>
      <w:r>
        <w:rPr>
          <w:rFonts w:hint="eastAsia"/>
          <w:b/>
          <w:bCs/>
        </w:rPr>
        <w:t>.1.3WTO对GATT的发展</w:t>
      </w:r>
    </w:p>
    <w:p>
      <w:pPr>
        <w:ind w:firstLine="420" w:firstLineChars="200"/>
        <w:rPr>
          <w:rFonts w:hint="eastAsia"/>
          <w:bCs/>
        </w:rPr>
      </w:pPr>
      <w:r>
        <w:rPr>
          <w:rFonts w:hint="eastAsia"/>
          <w:bCs/>
        </w:rPr>
        <w:t>WTO是在一个正式国际贸易机构，它是世界多边贸易体制的基础，具有自己的运行规律。是一个以贸易自由化为宗旨，以市场经济为基础，以非歧视和透明度为原则的国际多边贸易组织。而GATT 是在国际“临时”协定基础上建立的临时性国际组织；</w:t>
      </w:r>
    </w:p>
    <w:p>
      <w:pPr>
        <w:ind w:firstLine="420" w:firstLineChars="200"/>
        <w:rPr>
          <w:bCs/>
        </w:rPr>
      </w:pPr>
      <w:r>
        <w:rPr>
          <w:rFonts w:hint="eastAsia"/>
          <w:bCs/>
        </w:rPr>
        <w:t>WTO进一步明确了原总协定以及各附加协议中某些贸易惯例和法律概念的含义，如海关估价、补贴与反补贴、倾销与反倾销等，使WTO运作时面临更加清楚的各种界定。</w:t>
      </w:r>
    </w:p>
    <w:p>
      <w:pPr>
        <w:ind w:firstLine="420" w:firstLineChars="200"/>
        <w:rPr>
          <w:rFonts w:hint="eastAsia"/>
          <w:bCs/>
        </w:rPr>
      </w:pPr>
      <w:r>
        <w:rPr>
          <w:rFonts w:hint="eastAsia"/>
          <w:bCs/>
        </w:rPr>
        <w:t>WTO极大拓宽了国际多边贸易协调的领域与范畴，在纺织品、农产品、服务贸易、知识产权、环境保护等方面制定的过渡原则与条文，将GATT协调权限扩展到许多新领域。</w:t>
      </w:r>
    </w:p>
    <w:p>
      <w:pPr>
        <w:ind w:firstLine="420" w:firstLineChars="200"/>
        <w:rPr>
          <w:rFonts w:hint="eastAsia"/>
          <w:bCs/>
        </w:rPr>
      </w:pPr>
      <w:r>
        <w:rPr>
          <w:rFonts w:hint="eastAsia"/>
          <w:bCs/>
        </w:rPr>
        <w:t>WTO强化了GATT维护多边贸易体制的政策审议、贸易争端解决机制以及保障条款，使它们更加制度化和法制化，并完善了程序过程。</w:t>
      </w:r>
    </w:p>
    <w:p>
      <w:pPr>
        <w:ind w:firstLine="420" w:firstLineChars="200"/>
        <w:rPr>
          <w:bCs/>
        </w:rPr>
      </w:pPr>
      <w:r>
        <w:rPr>
          <w:rFonts w:hint="eastAsia"/>
          <w:bCs/>
        </w:rPr>
        <w:t>WTO在成员构成方面不断扩大，给予发展中国家相应的差别优惠待遇。截至2012年10月已有156个成员, 欧盟与东盟以集体身份成为成员。</w:t>
      </w:r>
    </w:p>
    <w:p>
      <w:pPr>
        <w:rPr>
          <w:rFonts w:hint="eastAsia"/>
          <w:b/>
          <w:bCs/>
        </w:rPr>
      </w:pPr>
      <w:r>
        <w:rPr>
          <w:b/>
          <w:bCs/>
        </w:rPr>
        <w:t>6.2</w:t>
      </w:r>
      <w:r>
        <w:rPr>
          <w:rFonts w:hint="eastAsia"/>
          <w:b/>
          <w:bCs/>
        </w:rPr>
        <w:t>WTO（</w:t>
      </w:r>
      <w:r>
        <w:rPr>
          <w:b/>
          <w:bCs/>
        </w:rPr>
        <w:t>World Trade Organization</w:t>
      </w:r>
      <w:r>
        <w:rPr>
          <w:rFonts w:hint="eastAsia"/>
          <w:b/>
          <w:bCs/>
        </w:rPr>
        <w:t>）宗旨与基本原则</w:t>
      </w:r>
    </w:p>
    <w:p>
      <w:pPr>
        <w:rPr>
          <w:rFonts w:hint="eastAsia"/>
          <w:b/>
          <w:bCs/>
        </w:rPr>
      </w:pPr>
      <w:r>
        <w:rPr>
          <w:b/>
          <w:bCs/>
        </w:rPr>
        <w:t>6</w:t>
      </w:r>
      <w:r>
        <w:rPr>
          <w:rFonts w:hint="eastAsia"/>
          <w:b/>
          <w:bCs/>
        </w:rPr>
        <w:t>.2.1宗旨</w:t>
      </w:r>
    </w:p>
    <w:p>
      <w:pPr>
        <w:ind w:firstLine="420" w:firstLineChars="200"/>
        <w:rPr>
          <w:bCs/>
        </w:rPr>
      </w:pPr>
      <w:r>
        <w:rPr>
          <w:rFonts w:hint="eastAsia"/>
          <w:bCs/>
        </w:rPr>
        <w:t xml:space="preserve">提高生活水平，保证充分就业和大幅度、稳步提高实际收入和有效需求；扩大货物和服务的生产与贸易；坚持走可持续发展之路，各成员方应促进对世界资源的最优利用、保护和维护环境，并以符合不同经济发展水平下各成员需要的方式，加强采取各种相应的措施；积极努力确保发展中国家尤其是最不发达国家在国际贸易增长中获得与其经济发展水平相适应的份额和利益；建立一体化的多边贸易体制。 </w:t>
      </w:r>
    </w:p>
    <w:p>
      <w:pPr>
        <w:rPr>
          <w:b/>
          <w:bCs/>
        </w:rPr>
      </w:pPr>
      <w:r>
        <w:rPr>
          <w:b/>
          <w:bCs/>
        </w:rPr>
        <w:t>6</w:t>
      </w:r>
      <w:r>
        <w:rPr>
          <w:rFonts w:hint="eastAsia"/>
          <w:b/>
          <w:bCs/>
        </w:rPr>
        <w:t>.2.2WTO 职能和法律地位</w:t>
      </w:r>
    </w:p>
    <w:p>
      <w:pPr>
        <w:ind w:firstLine="420" w:firstLineChars="200"/>
        <w:rPr>
          <w:rFonts w:hint="eastAsia"/>
          <w:bCs/>
        </w:rPr>
      </w:pPr>
      <w:r>
        <w:rPr>
          <w:rFonts w:hint="eastAsia"/>
          <w:bCs/>
        </w:rPr>
        <w:t>促进“ 建立世界贸易组织协议 ”和多边贸易协议的执行、管理和运作，并为其提供一个组织。为成员方提供谈判讲坛和谈判成果执行的机构。按争端解决规定和程序，主持解决成员方之间贸易纠纷。对成员方的贸易政策与法规进行定期审议。与国际货币基金组织和世界银行进行良好合作。</w:t>
      </w:r>
    </w:p>
    <w:p>
      <w:pPr>
        <w:rPr>
          <w:rFonts w:hint="eastAsia"/>
          <w:b/>
          <w:bCs/>
        </w:rPr>
      </w:pPr>
      <w:r>
        <w:rPr>
          <w:b/>
          <w:bCs/>
        </w:rPr>
        <w:t>6.2.3</w:t>
      </w:r>
      <w:r>
        <w:rPr>
          <w:rFonts w:hint="eastAsia"/>
          <w:b/>
          <w:bCs/>
        </w:rPr>
        <w:t xml:space="preserve">贯穿始终的基本原则 </w:t>
      </w:r>
    </w:p>
    <w:p>
      <w:pPr>
        <w:ind w:firstLine="422" w:firstLineChars="200"/>
        <w:rPr>
          <w:bCs/>
        </w:rPr>
      </w:pPr>
      <w:r>
        <w:rPr>
          <w:rFonts w:hint="eastAsia"/>
          <w:b/>
        </w:rPr>
        <w:t>非歧视原则。</w:t>
      </w:r>
      <w:r>
        <w:t>又称“无差别原则”。它要求成员双方在实施某种优惠和限制措施时，不能对成员对方实施歧视待遇。非歧视原则是WTO</w:t>
      </w:r>
      <w:r>
        <w:rPr>
          <w:rFonts w:hint="eastAsia"/>
        </w:rPr>
        <w:t>的基石和核心，体现在所有相关协议和文件</w:t>
      </w:r>
      <w:r>
        <w:t>中。 ——“</w:t>
      </w:r>
      <w:r>
        <w:rPr>
          <w:rFonts w:hint="eastAsia"/>
        </w:rPr>
        <w:t>在各成员之间以及在进口商品和本国制造商品之间进行歧视是非法的</w:t>
      </w:r>
      <w:r>
        <w:t>”。</w:t>
      </w:r>
      <w:r>
        <w:rPr>
          <w:rFonts w:hint="eastAsia"/>
        </w:rPr>
        <w:t>包括：</w:t>
      </w:r>
      <w:r>
        <w:rPr>
          <w:rFonts w:hint="eastAsia"/>
          <w:b/>
          <w:bCs/>
        </w:rPr>
        <w:t>最惠国待遇</w:t>
      </w:r>
      <w:r>
        <w:rPr>
          <w:rFonts w:hint="eastAsia"/>
          <w:b/>
        </w:rPr>
        <w:t>。</w:t>
      </w:r>
      <w:r>
        <w:rPr>
          <w:rFonts w:hint="eastAsia"/>
          <w:bCs/>
        </w:rPr>
        <w:t>签订双边或多边贸易条约的缔约一方在贸易、关税、航运、公民法律地位等方面，如给予任何第三国的减让、特权、优惠或豁免时，缔约另一方或其他缔约方也可以得到相同的待遇。</w:t>
      </w:r>
      <w:r>
        <w:rPr>
          <w:rFonts w:hint="eastAsia"/>
          <w:b/>
          <w:bCs/>
        </w:rPr>
        <w:t>互惠待遇。</w:t>
      </w:r>
      <w:r>
        <w:rPr>
          <w:rFonts w:hint="eastAsia"/>
          <w:bCs/>
        </w:rPr>
        <w:t>也称“对等原则”。两成员方在国际贸易中相互给与</w:t>
      </w:r>
      <w:r>
        <w:rPr>
          <w:bCs/>
        </w:rPr>
        <w:t>对方以贸易上的优惠待遇。它明确成员方在关税与贸易谈判中必须采取的基本立场和相互之间必须建立的某种贸易关系。</w:t>
      </w:r>
      <w:r>
        <w:rPr>
          <w:rFonts w:hint="eastAsia"/>
          <w:b/>
          <w:bCs/>
        </w:rPr>
        <w:t>国民待遇</w:t>
      </w:r>
      <w:r>
        <w:rPr>
          <w:rFonts w:hint="eastAsia"/>
          <w:b/>
        </w:rPr>
        <w:t>。</w:t>
      </w:r>
      <w:r>
        <w:rPr>
          <w:rFonts w:hint="eastAsia"/>
          <w:bCs/>
        </w:rPr>
        <w:t>缔约国之间相互保证给与另一方的自然人（公民）、法人（企业）和商船在本国境内享有与本国自然人、法人和商船同等的待遇。</w:t>
      </w:r>
    </w:p>
    <w:p>
      <w:pPr>
        <w:ind w:firstLine="422" w:firstLineChars="200"/>
      </w:pPr>
      <w:r>
        <w:rPr>
          <w:rFonts w:hint="eastAsia"/>
          <w:b/>
          <w:bCs/>
        </w:rPr>
        <w:t>透明度的原则</w:t>
      </w:r>
      <w:r>
        <w:rPr>
          <w:rFonts w:hint="eastAsia"/>
          <w:bCs/>
        </w:rPr>
        <w:t>（Transparency）。成员方应公布所制定和实施的贸易措施及变化情况，没公布的措施不得实施，同时应将这些措施及变化情况通知WTO。此外，成员方所参加的有关影响国际贸易政策的国际协定，也应及时公布和通知WTO。</w:t>
      </w:r>
    </w:p>
    <w:p>
      <w:r>
        <w:rPr>
          <w:rFonts w:hint="eastAsia"/>
        </w:rPr>
        <w:t xml:space="preserve">   </w:t>
      </w:r>
      <w:r>
        <w:rPr>
          <w:rFonts w:hint="eastAsia"/>
          <w:b/>
        </w:rPr>
        <w:t xml:space="preserve"> 经济发展原则(Economic development).</w:t>
      </w:r>
      <w:r>
        <w:rPr>
          <w:rFonts w:hint="eastAsia"/>
        </w:rPr>
        <w:t>也称鼓励经济发展与经济改革原则. 以帮助和促进发展中国家的经济发展为目的，针对发展中国家和经济接轨国家制定，是给予这些国家的特殊优惠待遇. 如：1）制定“政府对经济发展援助”条款，允许发展中国家在一定范围内实施进口数量限制或是提高关税;2）“贸易和发展条款”，仅要求发达国家单方面承担义务而发展中国家无偿享有某些特定优惠以及确立了发达国家给予发展中和转型国家更长过渡期待遇和普惠制待遇的合法性。</w:t>
      </w:r>
    </w:p>
    <w:p>
      <w:pPr>
        <w:rPr>
          <w:rFonts w:hint="eastAsia"/>
          <w:b/>
        </w:rPr>
      </w:pPr>
      <w:r>
        <w:rPr>
          <w:rFonts w:hint="eastAsia"/>
        </w:rPr>
        <w:t xml:space="preserve">  </w:t>
      </w:r>
      <w:r>
        <w:t xml:space="preserve"> </w:t>
      </w:r>
      <w:r>
        <w:rPr>
          <w:rFonts w:hint="eastAsia"/>
          <w:b/>
        </w:rPr>
        <w:t>促进公平竞争原则（Justice）</w:t>
      </w:r>
      <w:r>
        <w:rPr>
          <w:rFonts w:hint="eastAsia"/>
        </w:rPr>
        <w:t>。WTO不允许缔约国以不公正的贸易手段进行不公平竞争，特别禁止采取倾销和补贴的形式出口商品，对倾销和补贴都做了明确的规定，制定了具体而详细的实施办法。</w:t>
      </w:r>
    </w:p>
    <w:p>
      <w:pPr>
        <w:ind w:firstLine="422" w:firstLineChars="200"/>
      </w:pPr>
      <w:r>
        <w:rPr>
          <w:rFonts w:hint="eastAsia"/>
          <w:b/>
        </w:rPr>
        <w:t>市场经济和自由竞争原则.</w:t>
      </w:r>
      <w:r>
        <w:rPr>
          <w:rFonts w:hint="eastAsia"/>
        </w:rPr>
        <w:t xml:space="preserve"> WTO是一个多边贸易组织，主张各成员方各成员方开放市场，提高市场准入度，从而实现各成员国之间的贸易自由化。但这必须以各成员国实行市场经济为基础；因此，WTO成员必须是实行市场经济的国家。</w:t>
      </w:r>
    </w:p>
    <w:p>
      <w:pPr>
        <w:ind w:firstLine="422" w:firstLineChars="200"/>
        <w:rPr>
          <w:bCs/>
        </w:rPr>
      </w:pPr>
      <w:r>
        <w:rPr>
          <w:rFonts w:hint="eastAsia"/>
          <w:b/>
        </w:rPr>
        <w:t>其他原则。</w:t>
      </w:r>
      <w:r>
        <w:rPr>
          <w:rFonts w:hint="eastAsia"/>
        </w:rPr>
        <w:t>包括</w:t>
      </w:r>
      <w:r>
        <w:rPr>
          <w:rFonts w:hint="eastAsia"/>
          <w:bCs/>
        </w:rPr>
        <w:t>可预见的和不断增长的市场准入程度原则、促进公平竞争原则</w:t>
      </w:r>
      <w:r>
        <w:rPr>
          <w:rFonts w:hint="eastAsia" w:ascii="MS Mincho" w:hAnsi="MS Mincho" w:cs="MS Mincho"/>
          <w:bCs/>
        </w:rPr>
        <w:t>，</w:t>
      </w:r>
      <w:r>
        <w:rPr>
          <w:rFonts w:hint="eastAsia"/>
          <w:bCs/>
        </w:rPr>
        <w:t>主要是致力于开放、公平、无扭曲竞争；</w:t>
      </w:r>
      <w:r>
        <w:rPr>
          <w:rFonts w:hint="eastAsia" w:ascii="宋体" w:hAnsi="宋体" w:cs="宋体"/>
          <w:bCs/>
        </w:rPr>
        <w:t>反对任何借口和任何形式的出口倾销和补贴</w:t>
      </w:r>
      <w:r>
        <w:rPr>
          <w:bCs/>
        </w:rPr>
        <w:t xml:space="preserve"> </w:t>
      </w:r>
      <w:r>
        <w:rPr>
          <w:rFonts w:hint="eastAsia"/>
          <w:bCs/>
        </w:rPr>
        <w:t>；</w:t>
      </w:r>
      <w:r>
        <w:rPr>
          <w:rFonts w:hint="eastAsia" w:ascii="宋体" w:hAnsi="宋体" w:cs="宋体"/>
          <w:bCs/>
        </w:rPr>
        <w:t>反对</w:t>
      </w:r>
      <w:r>
        <w:rPr>
          <w:rFonts w:hint="eastAsia"/>
          <w:bCs/>
        </w:rPr>
        <w:t>滥用任何生产要素进行不正当竞争等。</w:t>
      </w:r>
      <w:r>
        <w:rPr>
          <w:bCs/>
        </w:rPr>
        <w:t xml:space="preserve"> </w:t>
      </w:r>
    </w:p>
    <w:p>
      <w:pPr>
        <w:rPr>
          <w:b/>
        </w:rPr>
      </w:pPr>
      <w:r>
        <w:rPr>
          <w:b/>
        </w:rPr>
        <w:t>6</w:t>
      </w:r>
      <w:r>
        <w:rPr>
          <w:rFonts w:hint="eastAsia"/>
          <w:b/>
        </w:rPr>
        <w:t>.3争端解决机制(The Solution Mechanism for Disputes in WTO)</w:t>
      </w:r>
    </w:p>
    <w:p>
      <w:pPr>
        <w:ind w:firstLine="422" w:firstLineChars="200"/>
        <w:rPr>
          <w:rFonts w:hint="eastAsia"/>
          <w:b/>
        </w:rPr>
      </w:pPr>
      <w:r>
        <w:rPr>
          <w:rFonts w:hint="eastAsia"/>
          <w:b/>
        </w:rPr>
        <w:t>1)争端解决机构：</w:t>
      </w:r>
    </w:p>
    <w:p>
      <w:pPr>
        <w:ind w:firstLine="420" w:firstLineChars="200"/>
        <w:rPr>
          <w:rFonts w:hint="eastAsia"/>
        </w:rPr>
      </w:pPr>
      <w:r>
        <w:rPr>
          <w:rFonts w:hint="eastAsia"/>
        </w:rPr>
        <w:t>根据WTO成员承诺，在发生贸易争端时，当事各方不应采取单边对抗行动，而应通过争端解决机制寻求救济并遵守其所做出裁决。争端解决机构直接隶属于部长会议，包括争端解决机构本身、专家小组、上诉机构、WTO秘书处和总干事。没有自己的主席、工作人员和工作程序。</w:t>
      </w:r>
    </w:p>
    <w:p>
      <w:pPr>
        <w:ind w:firstLine="422" w:firstLineChars="200"/>
        <w:rPr>
          <w:rFonts w:hint="eastAsia"/>
          <w:b/>
        </w:rPr>
      </w:pPr>
      <w:r>
        <w:rPr>
          <w:rFonts w:hint="eastAsia"/>
          <w:b/>
        </w:rPr>
        <w:t>2)争端解决程序：</w:t>
      </w:r>
    </w:p>
    <w:p>
      <w:pPr>
        <w:ind w:firstLine="420" w:firstLineChars="200"/>
        <w:rPr>
          <w:rFonts w:hint="eastAsia"/>
        </w:rPr>
      </w:pPr>
      <w:r>
        <w:rPr>
          <w:rFonts w:hint="eastAsia"/>
        </w:rPr>
        <w:t>——磋商程序、专家组程序、上诉程序、执行和监督程序。</w:t>
      </w:r>
    </w:p>
    <w:p>
      <w:pPr>
        <w:ind w:firstLine="420" w:firstLineChars="200"/>
      </w:pPr>
      <w:r>
        <w:rPr>
          <w:rFonts w:hint="eastAsia"/>
        </w:rPr>
        <w:t>磋商---成立专家小组---通过专家组报告---上诉机构审议---争端解决机构裁决---执行和监督　</w:t>
      </w:r>
    </w:p>
    <w:p>
      <w:pPr>
        <w:ind w:firstLine="420" w:firstLineChars="200"/>
      </w:pPr>
      <w:r>
        <w:rPr>
          <w:rFonts w:hint="eastAsia"/>
        </w:rPr>
        <w:t>(1)磋商：纠纷发生后，接到磋商申请的另一方当事人应在接到申请书后的10日内作出答复，并在30天内就行协商、60天内解决争端。特殊或紧急情况，时间可以缩短。在解决争端的60天内，争端任一方可要求第三方参与斡旋、调解和调停等。</w:t>
      </w:r>
      <w:r>
        <w:t xml:space="preserve"> </w:t>
      </w:r>
    </w:p>
    <w:p>
      <w:pPr>
        <w:ind w:firstLine="420" w:firstLineChars="200"/>
      </w:pPr>
      <w:r>
        <w:rPr>
          <w:rFonts w:hint="eastAsia"/>
        </w:rPr>
        <w:t>(2)成立专家小组：如有关成员在10天内对磋商置之不理或在60天后未获解决，受损害一方可要求争端解决机构成立专家小组。专家小组一般由3-5人组成，依当事人请求，对争端案件进行审查，听取双方陈述，调查分析事实，提出调查结果，帮助争端解决机构作出建议或裁决。专家组成立后一般应在6个月内向争端各方提交终期报告，紧急情况下，时间将缩短为3个月。</w:t>
      </w:r>
      <w:r>
        <w:t xml:space="preserve"> </w:t>
      </w:r>
    </w:p>
    <w:p>
      <w:pPr>
        <w:ind w:firstLine="420" w:firstLineChars="200"/>
      </w:pPr>
      <w:r>
        <w:rPr>
          <w:rFonts w:hint="eastAsia"/>
        </w:rPr>
        <w:t>(3)通过专家组报告：争端解决机构在接到专家组报告后20-60天内研究通过，除非当事方决定上诉，或经协商一致反对通过这一报告。</w:t>
      </w:r>
    </w:p>
    <w:p>
      <w:pPr>
        <w:ind w:firstLine="420" w:firstLineChars="200"/>
      </w:pPr>
      <w:r>
        <w:rPr>
          <w:rFonts w:hint="eastAsia"/>
        </w:rPr>
        <w:t>(4)上诉机构审议：专家小组的终期报告公布后，争端各方均有上诉机会。上诉由争端解决机构设立的7人常设上诉机构受理，有其中的3人审理。上诉机构的报告应在自上诉决定之日起60日内做出。上诉机构可维持、修正、撤消专家小组的裁决，并向争端解决机构提交审议报告。</w:t>
      </w:r>
      <w:r>
        <w:t xml:space="preserve"> </w:t>
      </w:r>
    </w:p>
    <w:p>
      <w:pPr>
        <w:ind w:firstLine="420" w:firstLineChars="200"/>
      </w:pPr>
      <w:r>
        <w:rPr>
          <w:rFonts w:hint="eastAsia"/>
        </w:rPr>
        <w:t>(5)争端解决机构裁决：争端解决机构应在上诉机构的报告向WTO成员散发后的30天内通过该报告，一经采纳，则争端各方必须无条件接受。</w:t>
      </w:r>
      <w:r>
        <w:t xml:space="preserve"> </w:t>
      </w:r>
    </w:p>
    <w:p>
      <w:pPr>
        <w:ind w:firstLine="420" w:firstLineChars="200"/>
      </w:pPr>
      <w:r>
        <w:rPr>
          <w:rFonts w:hint="eastAsia"/>
        </w:rPr>
        <w:t>(6)执行和监督：争端解决机构监督裁决和建议的执行情况。如果违背义务的一方未能履行建议并拒绝提供补偿时，受侵害的一方可要求争端解决机构授权采取报复措施，中止协议项下的减让或其它义务。</w:t>
      </w:r>
    </w:p>
    <w:p>
      <w:pPr>
        <w:rPr>
          <w:b/>
        </w:rPr>
      </w:pPr>
      <w:r>
        <w:rPr>
          <w:rFonts w:hint="eastAsia"/>
          <w:b/>
        </w:rPr>
        <w:t>案例：中国在WTO起诉欧盟第一案胜诉</w:t>
      </w:r>
    </w:p>
    <w:p>
      <w:pPr>
        <w:ind w:firstLine="420" w:firstLineChars="200"/>
      </w:pPr>
      <w:r>
        <w:rPr>
          <w:rFonts w:hint="eastAsia"/>
        </w:rPr>
        <w:t>中国是世界上最大的螺丝、螺母和螺栓等碳钢紧固件生产国，欧盟是这些产品的主要市场。2009年1月，欧盟决定对中国碳钢紧固件产品征收26.5%至85%的反倾销税。2009年7月31日，中国将欧盟有关立法及反倾销措施诉诸世贸组织争端解决机制。</w:t>
      </w:r>
    </w:p>
    <w:p>
      <w:pPr>
        <w:ind w:firstLine="420" w:firstLineChars="200"/>
        <w:rPr>
          <w:rFonts w:hint="eastAsia"/>
        </w:rPr>
      </w:pPr>
      <w:r>
        <w:rPr>
          <w:rFonts w:hint="eastAsia"/>
        </w:rPr>
        <w:t>2011年7月15日,世贸组织上诉机构发布报告，最终裁定中国在与欧盟关于紧固件的贸易争端中胜诉。此案中方胜诉，有助于改善中国企业在包括欧盟在内的国际市场的竞争环境，也将增强世贸成员对世贸规则和多边贸易体制的信心。</w:t>
      </w:r>
    </w:p>
    <w:p>
      <w:pPr>
        <w:jc w:val="center"/>
        <w:rPr>
          <w:b/>
          <w:bCs/>
          <w:szCs w:val="21"/>
        </w:rPr>
      </w:pPr>
    </w:p>
    <w:p>
      <w:pPr>
        <w:jc w:val="center"/>
        <w:rPr>
          <w:b/>
          <w:bCs/>
          <w:szCs w:val="21"/>
        </w:rPr>
      </w:pPr>
      <w:r>
        <w:rPr>
          <w:rFonts w:hint="eastAsia"/>
          <w:b/>
          <w:bCs/>
          <w:szCs w:val="21"/>
        </w:rPr>
        <w:t>作业</w:t>
      </w:r>
    </w:p>
    <w:p>
      <w:pPr>
        <w:jc w:val="left"/>
        <w:rPr>
          <w:rFonts w:hint="eastAsia"/>
          <w:b/>
          <w:bCs/>
          <w:szCs w:val="21"/>
        </w:rPr>
      </w:pPr>
      <w:r>
        <w:rPr>
          <w:rFonts w:hint="eastAsia"/>
          <w:b/>
          <w:bCs/>
          <w:szCs w:val="21"/>
        </w:rPr>
        <w:t>名词解释</w:t>
      </w:r>
    </w:p>
    <w:p>
      <w:pPr>
        <w:jc w:val="left"/>
        <w:rPr>
          <w:rFonts w:hint="eastAsia"/>
          <w:bCs/>
          <w:szCs w:val="21"/>
        </w:rPr>
      </w:pPr>
      <w:r>
        <w:rPr>
          <w:rFonts w:hint="eastAsia"/>
          <w:bCs/>
          <w:szCs w:val="21"/>
        </w:rPr>
        <w:t>最惠国待遇    国民待遇    透明度    市场经济地位</w:t>
      </w:r>
    </w:p>
    <w:p>
      <w:pPr>
        <w:jc w:val="left"/>
        <w:rPr>
          <w:b/>
          <w:bCs/>
          <w:szCs w:val="21"/>
        </w:rPr>
      </w:pPr>
    </w:p>
    <w:p>
      <w:pPr>
        <w:jc w:val="left"/>
        <w:rPr>
          <w:rFonts w:hint="eastAsia"/>
          <w:b/>
          <w:bCs/>
          <w:szCs w:val="21"/>
        </w:rPr>
      </w:pPr>
      <w:r>
        <w:rPr>
          <w:rFonts w:hint="eastAsia"/>
          <w:b/>
          <w:bCs/>
          <w:szCs w:val="21"/>
        </w:rPr>
        <w:t>简答论述</w:t>
      </w:r>
    </w:p>
    <w:p>
      <w:pPr>
        <w:jc w:val="left"/>
        <w:rPr>
          <w:rFonts w:hint="eastAsia"/>
          <w:bCs/>
          <w:szCs w:val="21"/>
        </w:rPr>
      </w:pPr>
      <w:r>
        <w:rPr>
          <w:rFonts w:hint="eastAsia"/>
          <w:bCs/>
          <w:szCs w:val="21"/>
        </w:rPr>
        <w:t>简述WTO对GATT 有哪些发展？</w:t>
      </w:r>
    </w:p>
    <w:p>
      <w:pPr>
        <w:jc w:val="left"/>
        <w:rPr>
          <w:rFonts w:hint="eastAsia"/>
          <w:bCs/>
          <w:szCs w:val="21"/>
        </w:rPr>
      </w:pPr>
      <w:r>
        <w:rPr>
          <w:rFonts w:hint="eastAsia"/>
          <w:bCs/>
          <w:szCs w:val="21"/>
        </w:rPr>
        <w:t>WTO的宗旨和原则是什么？</w:t>
      </w:r>
    </w:p>
    <w:p>
      <w:pPr>
        <w:jc w:val="left"/>
        <w:rPr>
          <w:bCs/>
          <w:sz w:val="36"/>
          <w:szCs w:val="36"/>
        </w:rPr>
      </w:pPr>
      <w:r>
        <w:rPr>
          <w:rFonts w:hint="eastAsia"/>
          <w:bCs/>
          <w:szCs w:val="21"/>
        </w:rPr>
        <w:t>简述WTO贸易争端解决机制的程序 。</w:t>
      </w:r>
      <w:r>
        <w:rPr>
          <w:rFonts w:hint="eastAsia"/>
          <w:bCs/>
          <w:sz w:val="36"/>
          <w:szCs w:val="36"/>
        </w:rPr>
        <w:t xml:space="preserv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MS Mincho">
    <w:panose1 w:val="02020609040205080304"/>
    <w:charset w:val="80"/>
    <w:family w:val="modern"/>
    <w:pitch w:val="default"/>
    <w:sig w:usb0="E00002FF" w:usb1="6AC7FDFB" w:usb2="00000012" w:usb3="00000000" w:csb0="4002009F" w:csb1="DF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attachedTemplate r:id="rId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39840E3"/>
    <w:rsid w:val="270178DB"/>
    <w:rsid w:val="439840E3"/>
    <w:rsid w:val="6D53502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ha\AppData\Roaming\Kingsoft\wps\addons\pool\win-i386\knewfileruby_1.0.0.12\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1</TotalTime>
  <ScaleCrop>false</ScaleCrop>
  <LinksUpToDate>false</LinksUpToDate>
  <CharactersWithSpaces>0</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2018-10-11T07:16:00Z</dcterms:created>
  <dc:creator>haha</dc:creator>
  <cp:lastModifiedBy>haha</cp:lastModifiedBy>
  <dcterms:modified xsi:type="dcterms:W3CDTF">2018-10-11T07:17:48Z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