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66116504"/>
    <w:p w14:paraId="71887708" w14:textId="7109E7F8" w:rsidR="009C1708" w:rsidRDefault="00E6384A">
      <w:pPr>
        <w:pStyle w:val="af0"/>
        <w:spacing w:after="0"/>
      </w:pPr>
      <w:r>
        <w:fldChar w:fldCharType="begin"/>
      </w:r>
      <w: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bookmarkStart w:id="1" w:name="_Toc66126579"/>
      <w:r>
        <w:fldChar w:fldCharType="end"/>
      </w:r>
      <w:bookmarkEnd w:id="0"/>
      <w:bookmarkEnd w:id="1"/>
      <w:r>
        <w:rPr>
          <w:rFonts w:hint="eastAsia"/>
        </w:rPr>
        <w:t>新能源电力系统运行与规划实验报告</w:t>
      </w:r>
    </w:p>
    <w:tbl>
      <w:tblPr>
        <w:tblStyle w:val="af8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1327"/>
        <w:gridCol w:w="1664"/>
        <w:gridCol w:w="3686"/>
        <w:gridCol w:w="1827"/>
      </w:tblGrid>
      <w:tr w:rsidR="009C1708" w14:paraId="5A94ACAC" w14:textId="77777777" w:rsidTr="009C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9" w:type="pct"/>
          </w:tcPr>
          <w:p w14:paraId="1B4B60B3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姓名</w:t>
            </w:r>
          </w:p>
        </w:tc>
        <w:tc>
          <w:tcPr>
            <w:tcW w:w="690" w:type="pct"/>
          </w:tcPr>
          <w:p w14:paraId="35C970FE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班级</w:t>
            </w:r>
          </w:p>
        </w:tc>
        <w:tc>
          <w:tcPr>
            <w:tcW w:w="865" w:type="pct"/>
          </w:tcPr>
          <w:p w14:paraId="0C00A26F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学号</w:t>
            </w:r>
          </w:p>
        </w:tc>
        <w:tc>
          <w:tcPr>
            <w:tcW w:w="1916" w:type="pct"/>
          </w:tcPr>
          <w:p w14:paraId="0F642DDB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课程</w:t>
            </w:r>
          </w:p>
        </w:tc>
        <w:tc>
          <w:tcPr>
            <w:tcW w:w="951" w:type="pct"/>
          </w:tcPr>
          <w:p w14:paraId="113FE083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指导老师</w:t>
            </w:r>
          </w:p>
        </w:tc>
      </w:tr>
      <w:tr w:rsidR="009C1708" w14:paraId="1C37759C" w14:textId="77777777" w:rsidTr="009C1708">
        <w:trPr>
          <w:jc w:val="center"/>
        </w:trPr>
        <w:tc>
          <w:tcPr>
            <w:tcW w:w="579" w:type="pct"/>
          </w:tcPr>
          <w:p w14:paraId="14B12D56" w14:textId="77777777" w:rsidR="009C1708" w:rsidRDefault="00BB3C7B">
            <w:pPr>
              <w:pStyle w:val="ab"/>
              <w:pBdr>
                <w:bottom w:val="none" w:sz="0" w:space="0" w:color="auto"/>
              </w:pBdr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聂永欣</w:t>
            </w:r>
          </w:p>
        </w:tc>
        <w:tc>
          <w:tcPr>
            <w:tcW w:w="690" w:type="pct"/>
          </w:tcPr>
          <w:p w14:paraId="6C24F077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电气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810</w:t>
            </w:r>
          </w:p>
        </w:tc>
        <w:tc>
          <w:tcPr>
            <w:tcW w:w="865" w:type="pct"/>
          </w:tcPr>
          <w:p w14:paraId="6029F638" w14:textId="77777777" w:rsidR="009C1708" w:rsidRDefault="00BB3C7B">
            <w:pPr>
              <w:pStyle w:val="ab"/>
              <w:pBdr>
                <w:bottom w:val="none" w:sz="0" w:space="0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2186113564</w:t>
            </w:r>
            <w:bookmarkStart w:id="2" w:name="_GoBack"/>
            <w:bookmarkEnd w:id="2"/>
          </w:p>
        </w:tc>
        <w:tc>
          <w:tcPr>
            <w:tcW w:w="1916" w:type="pct"/>
          </w:tcPr>
          <w:p w14:paraId="44D7BF40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新能源电力系统运行与规划</w:t>
            </w:r>
          </w:p>
        </w:tc>
        <w:tc>
          <w:tcPr>
            <w:tcW w:w="951" w:type="pct"/>
          </w:tcPr>
          <w:p w14:paraId="23D0CC39" w14:textId="77777777" w:rsidR="009C1708" w:rsidRDefault="00E6384A">
            <w:pPr>
              <w:pStyle w:val="ab"/>
              <w:pBdr>
                <w:bottom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刘俊</w:t>
            </w:r>
            <w:r>
              <w:rPr>
                <w:rFonts w:ascii="宋体" w:eastAsia="宋体" w:hAnsi="宋体" w:cs="宋体" w:hint="eastAsia"/>
                <w:b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</w:rPr>
              <w:t>宁联辉</w:t>
            </w:r>
            <w:proofErr w:type="gramEnd"/>
          </w:p>
        </w:tc>
      </w:tr>
    </w:tbl>
    <w:p w14:paraId="16A79F6A" w14:textId="77777777" w:rsidR="009C1708" w:rsidRDefault="00E6384A">
      <w:pPr>
        <w:pStyle w:val="a"/>
      </w:pPr>
      <w:r>
        <w:rPr>
          <w:rFonts w:hint="eastAsia"/>
        </w:rPr>
        <w:t>实验目的</w:t>
      </w:r>
    </w:p>
    <w:p w14:paraId="379B72C2" w14:textId="77777777" w:rsidR="009C1708" w:rsidRDefault="00E6384A">
      <w:pPr>
        <w:pStyle w:val="3"/>
      </w:pPr>
      <w:r>
        <w:rPr>
          <w:rFonts w:hint="eastAsia"/>
        </w:rPr>
        <w:t>通过实验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t>掌握太阳能和风力发电的基础知识和工作原理</w:t>
      </w:r>
      <w:r>
        <w:rPr>
          <w:rFonts w:hint="eastAsia"/>
        </w:rPr>
        <w:t>，</w:t>
      </w:r>
      <w:r>
        <w:t>并了解其发电的特点</w:t>
      </w:r>
      <w:r>
        <w:rPr>
          <w:rFonts w:hint="eastAsia"/>
        </w:rPr>
        <w:t>；</w:t>
      </w:r>
      <w:r>
        <w:t>同时</w:t>
      </w:r>
      <w:r>
        <w:t>,</w:t>
      </w:r>
      <w:r>
        <w:t>认识蓄电池的构造、充放电原理</w:t>
      </w:r>
      <w:r>
        <w:rPr>
          <w:rFonts w:hint="eastAsia"/>
        </w:rPr>
        <w:t>，</w:t>
      </w:r>
      <w:r>
        <w:t>了解蓄电池充放电在微电网中如何起能量平衡的作用</w:t>
      </w:r>
      <w:r>
        <w:rPr>
          <w:rFonts w:hint="eastAsia"/>
        </w:rPr>
        <w:t>。</w:t>
      </w:r>
    </w:p>
    <w:p w14:paraId="618E60BB" w14:textId="77777777" w:rsidR="009C1708" w:rsidRDefault="00E6384A">
      <w:pPr>
        <w:pStyle w:val="3"/>
      </w:pPr>
      <w:r>
        <w:rPr>
          <w:rFonts w:hint="eastAsia"/>
        </w:rPr>
        <w:t>通过实验二，</w:t>
      </w:r>
      <w:proofErr w:type="gramStart"/>
      <w:r>
        <w:rPr>
          <w:rFonts w:hint="eastAsia"/>
        </w:rPr>
        <w:t>验证微网的</w:t>
      </w:r>
      <w:proofErr w:type="gramEnd"/>
      <w:r>
        <w:rPr>
          <w:rFonts w:hint="eastAsia"/>
        </w:rPr>
        <w:t>并、</w:t>
      </w:r>
      <w:proofErr w:type="gramStart"/>
      <w:r>
        <w:rPr>
          <w:rFonts w:hint="eastAsia"/>
        </w:rPr>
        <w:t>离网运</w:t>
      </w:r>
      <w:proofErr w:type="gramEnd"/>
      <w:r>
        <w:rPr>
          <w:rFonts w:hint="eastAsia"/>
        </w:rPr>
        <w:t>行方式及其过</w:t>
      </w:r>
      <w:r>
        <w:t>程的系统运行特性。</w:t>
      </w:r>
      <w:r>
        <w:rPr>
          <w:rFonts w:hint="eastAsia"/>
        </w:rPr>
        <w:t>。</w:t>
      </w:r>
    </w:p>
    <w:p w14:paraId="2E21C11F" w14:textId="77777777" w:rsidR="009C1708" w:rsidRDefault="00E6384A">
      <w:pPr>
        <w:pStyle w:val="3"/>
      </w:pPr>
      <w:r>
        <w:rPr>
          <w:rFonts w:hint="eastAsia"/>
        </w:rPr>
        <w:t>通过实验三，研究分布式能源的运行、控制、保护的策</w:t>
      </w:r>
      <w:r>
        <w:t>略，掌握分布式电源并网关键技术和设计方法。</w:t>
      </w:r>
    </w:p>
    <w:p w14:paraId="5FFA9E46" w14:textId="77777777" w:rsidR="009C1708" w:rsidRDefault="00E6384A">
      <w:pPr>
        <w:pStyle w:val="a"/>
      </w:pPr>
      <w:r>
        <w:rPr>
          <w:rFonts w:hint="eastAsia"/>
        </w:rPr>
        <w:t>实验内容及实验结果</w:t>
      </w:r>
    </w:p>
    <w:p w14:paraId="2C96BF5E" w14:textId="77777777" w:rsidR="009C1708" w:rsidRDefault="00E6384A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：新能源变换技术仿真实验</w:t>
      </w:r>
    </w:p>
    <w:p w14:paraId="2E384E1E" w14:textId="77777777" w:rsidR="009C1708" w:rsidRDefault="00E6384A">
      <w:pPr>
        <w:pStyle w:val="2"/>
      </w:pPr>
      <w:r>
        <w:rPr>
          <w:rFonts w:hint="eastAsia"/>
        </w:rPr>
        <w:t>实验内容</w:t>
      </w:r>
    </w:p>
    <w:p w14:paraId="4119ADFD" w14:textId="77777777" w:rsidR="009C1708" w:rsidRDefault="00E6384A">
      <w:pPr>
        <w:pStyle w:val="af1"/>
        <w:spacing w:before="156" w:after="156"/>
        <w:ind w:firstLine="480"/>
      </w:pPr>
      <w:proofErr w:type="gramStart"/>
      <w:r>
        <w:rPr>
          <w:rFonts w:hint="eastAsia"/>
        </w:rPr>
        <w:t>在微网与</w:t>
      </w:r>
      <w:proofErr w:type="gramEnd"/>
      <w:r>
        <w:rPr>
          <w:rFonts w:hint="eastAsia"/>
        </w:rPr>
        <w:t>新能源实验平台上</w:t>
      </w:r>
      <w:r>
        <w:t>,</w:t>
      </w:r>
      <w:r>
        <w:t>进行单晶光伏发电、模拟光伏发电、和储能单元等</w:t>
      </w:r>
      <w:r>
        <w:t>7</w:t>
      </w:r>
      <w:r>
        <w:t>个模块的基本操作过程实验。</w:t>
      </w:r>
    </w:p>
    <w:p w14:paraId="11349BA1" w14:textId="77777777" w:rsidR="009C1708" w:rsidRDefault="00E6384A" w:rsidP="00C327C4">
      <w:pPr>
        <w:pStyle w:val="3"/>
        <w:numPr>
          <w:ilvl w:val="0"/>
          <w:numId w:val="10"/>
        </w:num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实验室微网管理控制</w:t>
      </w:r>
      <w:proofErr w:type="gramEnd"/>
      <w:r>
        <w:rPr>
          <w:rFonts w:hint="eastAsia"/>
        </w:rPr>
        <w:t>软件，观察实验室</w:t>
      </w:r>
      <w:proofErr w:type="gramStart"/>
      <w:r>
        <w:rPr>
          <w:rFonts w:hint="eastAsia"/>
        </w:rPr>
        <w:t>的微网新能</w:t>
      </w:r>
      <w:proofErr w:type="gramEnd"/>
      <w:r>
        <w:rPr>
          <w:rFonts w:hint="eastAsia"/>
        </w:rPr>
        <w:t>源电力系统拓扑结构，了解其组成与各部分的作用；</w:t>
      </w:r>
    </w:p>
    <w:p w14:paraId="2A43255D" w14:textId="77777777" w:rsidR="009C1708" w:rsidRDefault="00E6384A" w:rsidP="00C327C4">
      <w:pPr>
        <w:pStyle w:val="3"/>
      </w:pPr>
      <w:proofErr w:type="gramStart"/>
      <w:r>
        <w:rPr>
          <w:rFonts w:hint="eastAsia"/>
        </w:rPr>
        <w:t>在</w:t>
      </w:r>
      <w:r>
        <w:rPr>
          <w:rFonts w:hint="eastAsia"/>
        </w:rPr>
        <w:t>微网管理控制</w:t>
      </w:r>
      <w:proofErr w:type="gramEnd"/>
      <w:r>
        <w:rPr>
          <w:rFonts w:hint="eastAsia"/>
        </w:rPr>
        <w:t>软件中，选择超级电容器，点击并网待机，选择遥控，确认后进入热备，再点击并网启动，进入运行状态。设置有功为</w:t>
      </w:r>
      <w:r>
        <w:rPr>
          <w:rFonts w:hint="eastAsia"/>
        </w:rPr>
        <w:t>-15kW</w:t>
      </w:r>
      <w:r>
        <w:rPr>
          <w:rFonts w:hint="eastAsia"/>
        </w:rPr>
        <w:t>，观察充电曲线；再设置有功为</w:t>
      </w:r>
      <w:r>
        <w:rPr>
          <w:rFonts w:hint="eastAsia"/>
        </w:rPr>
        <w:t>15kW</w:t>
      </w:r>
      <w:r>
        <w:rPr>
          <w:rFonts w:hint="eastAsia"/>
        </w:rPr>
        <w:t>，观察放电曲线。</w:t>
      </w:r>
    </w:p>
    <w:p w14:paraId="6CFD2B43" w14:textId="77777777" w:rsidR="009C1708" w:rsidRDefault="00E6384A" w:rsidP="00C327C4">
      <w:pPr>
        <w:pStyle w:val="3"/>
      </w:pPr>
      <w:r>
        <w:rPr>
          <w:rFonts w:hint="eastAsia"/>
        </w:rPr>
        <w:t>在模拟光伏中选择三种光伏</w:t>
      </w:r>
      <w:r>
        <w:rPr>
          <w:rFonts w:hint="eastAsia"/>
        </w:rPr>
        <w:t>PV</w:t>
      </w:r>
      <w:r>
        <w:rPr>
          <w:rFonts w:hint="eastAsia"/>
        </w:rPr>
        <w:t>曲线，循环切换三种状态，观察系统</w:t>
      </w:r>
      <w:r>
        <w:rPr>
          <w:rFonts w:hint="eastAsia"/>
        </w:rPr>
        <w:t>MPPT</w:t>
      </w:r>
      <w:r>
        <w:rPr>
          <w:rFonts w:hint="eastAsia"/>
        </w:rPr>
        <w:t>法如何跟踪最大功率点。</w:t>
      </w:r>
    </w:p>
    <w:p w14:paraId="4771984F" w14:textId="77777777" w:rsidR="009C1708" w:rsidRDefault="00E6384A" w:rsidP="00C327C4">
      <w:pPr>
        <w:pStyle w:val="3"/>
      </w:pPr>
      <w:r>
        <w:rPr>
          <w:rFonts w:hint="eastAsia"/>
        </w:rPr>
        <w:t>将超级电容器设置为自动控制模式，将模拟</w:t>
      </w:r>
      <w:proofErr w:type="gramStart"/>
      <w:r>
        <w:rPr>
          <w:rFonts w:hint="eastAsia"/>
        </w:rPr>
        <w:t>光伏和真实</w:t>
      </w:r>
      <w:proofErr w:type="gramEnd"/>
      <w:r>
        <w:rPr>
          <w:rFonts w:hint="eastAsia"/>
        </w:rPr>
        <w:t>光伏切入切出，观察它们切入切出瞬间超级电容器和联络线上的功率变化。</w:t>
      </w:r>
    </w:p>
    <w:p w14:paraId="6BECE8FC" w14:textId="77777777" w:rsidR="009C1708" w:rsidRDefault="00E6384A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现象</w:t>
      </w:r>
    </w:p>
    <w:p w14:paraId="7AB30707" w14:textId="77777777" w:rsidR="009C1708" w:rsidRDefault="00E6384A" w:rsidP="00D40562">
      <w:pPr>
        <w:pStyle w:val="af1"/>
        <w:spacing w:before="156" w:after="156"/>
        <w:ind w:firstLine="480"/>
      </w:pPr>
      <w:r>
        <w:rPr>
          <w:rFonts w:hint="eastAsia"/>
        </w:rPr>
        <w:t>设置超级电容器有</w:t>
      </w:r>
      <w:r>
        <w:rPr>
          <w:rFonts w:hint="eastAsia"/>
        </w:rPr>
        <w:t>功功率为</w:t>
      </w:r>
      <w:r>
        <w:rPr>
          <w:rFonts w:hint="eastAsia"/>
        </w:rPr>
        <w:t>-15kW</w:t>
      </w:r>
      <w:r>
        <w:rPr>
          <w:rFonts w:hint="eastAsia"/>
        </w:rPr>
        <w:t>，使超级电容器进入充电状态，可以看出在开始充电的状态下会先出现一个尖峰，即出现了瞬时的过冲，然后进入稳定充电状态。充电时间在</w:t>
      </w:r>
      <w:r>
        <w:rPr>
          <w:rFonts w:hint="eastAsia"/>
        </w:rPr>
        <w:t>50s</w:t>
      </w:r>
      <w:r>
        <w:rPr>
          <w:rFonts w:hint="eastAsia"/>
        </w:rPr>
        <w:t>左右，说明超级电容器容量为</w:t>
      </w:r>
      <w:r>
        <w:rPr>
          <w:rFonts w:hint="eastAsia"/>
        </w:rPr>
        <w:t>750kWs</w:t>
      </w:r>
      <w:r>
        <w:rPr>
          <w:rFonts w:hint="eastAsia"/>
        </w:rPr>
        <w:t>左右。</w:t>
      </w:r>
    </w:p>
    <w:p w14:paraId="41217E92" w14:textId="77777777" w:rsidR="009C1708" w:rsidRDefault="00E6384A">
      <w:pPr>
        <w:jc w:val="center"/>
      </w:pPr>
      <w:r>
        <w:rPr>
          <w:noProof/>
        </w:rPr>
        <w:lastRenderedPageBreak/>
        <w:drawing>
          <wp:inline distT="0" distB="0" distL="0" distR="0" wp14:anchorId="3C28B9E4" wp14:editId="01703361">
            <wp:extent cx="6161405" cy="2168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4" t="18710" r="14943" b="38490"/>
                    <a:stretch>
                      <a:fillRect/>
                    </a:stretch>
                  </pic:blipFill>
                  <pic:spPr>
                    <a:xfrm>
                      <a:off x="0" y="0"/>
                      <a:ext cx="6248000" cy="219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7796" w14:textId="77777777" w:rsidR="009C1708" w:rsidRDefault="00E6384A">
      <w:pPr>
        <w:pStyle w:val="a0"/>
      </w:pPr>
      <w:r>
        <w:rPr>
          <w:rFonts w:hint="eastAsia"/>
        </w:rPr>
        <w:t>超级电容器充电过程</w:t>
      </w:r>
    </w:p>
    <w:p w14:paraId="7C559971" w14:textId="77777777" w:rsidR="009C1708" w:rsidRDefault="00E6384A">
      <w:pPr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设置超级电容器有功功率为</w:t>
      </w:r>
      <w:r>
        <w:rPr>
          <w:rFonts w:ascii="宋体" w:eastAsia="宋体" w:hAnsi="宋体" w:cs="宋体" w:hint="eastAsia"/>
          <w:sz w:val="24"/>
          <w:szCs w:val="24"/>
        </w:rPr>
        <w:t>15kW</w:t>
      </w:r>
      <w:r>
        <w:rPr>
          <w:rFonts w:ascii="宋体" w:eastAsia="宋体" w:hAnsi="宋体" w:cs="宋体" w:hint="eastAsia"/>
          <w:sz w:val="24"/>
          <w:szCs w:val="24"/>
        </w:rPr>
        <w:t>，使超级电容器进入放电状态，放电时间在</w:t>
      </w:r>
      <w:r>
        <w:rPr>
          <w:rFonts w:ascii="宋体" w:eastAsia="宋体" w:hAnsi="宋体" w:cs="宋体" w:hint="eastAsia"/>
          <w:sz w:val="24"/>
          <w:szCs w:val="24"/>
        </w:rPr>
        <w:t>50s</w:t>
      </w:r>
      <w:r>
        <w:rPr>
          <w:rFonts w:ascii="宋体" w:eastAsia="宋体" w:hAnsi="宋体" w:cs="宋体" w:hint="eastAsia"/>
          <w:sz w:val="24"/>
          <w:szCs w:val="24"/>
        </w:rPr>
        <w:t>左右，也说明超级电容器容量为</w:t>
      </w:r>
      <w:r>
        <w:rPr>
          <w:rFonts w:ascii="宋体" w:eastAsia="宋体" w:hAnsi="宋体" w:cs="宋体" w:hint="eastAsia"/>
          <w:sz w:val="24"/>
          <w:szCs w:val="24"/>
        </w:rPr>
        <w:t>750kWs</w:t>
      </w:r>
      <w:r>
        <w:rPr>
          <w:rFonts w:ascii="宋体" w:eastAsia="宋体" w:hAnsi="宋体" w:cs="宋体" w:hint="eastAsia"/>
          <w:sz w:val="24"/>
          <w:szCs w:val="24"/>
        </w:rPr>
        <w:t>左右。</w:t>
      </w:r>
    </w:p>
    <w:p w14:paraId="7AEC9017" w14:textId="77777777" w:rsidR="009C1708" w:rsidRDefault="00E6384A">
      <w:pPr>
        <w:jc w:val="center"/>
      </w:pPr>
      <w:r>
        <w:rPr>
          <w:noProof/>
        </w:rPr>
        <w:drawing>
          <wp:inline distT="0" distB="0" distL="0" distR="0" wp14:anchorId="486FB1A8" wp14:editId="7FFF5451">
            <wp:extent cx="6205220" cy="18427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16369" r="2359" b="40468"/>
                    <a:stretch>
                      <a:fillRect/>
                    </a:stretch>
                  </pic:blipFill>
                  <pic:spPr>
                    <a:xfrm>
                      <a:off x="0" y="0"/>
                      <a:ext cx="6284013" cy="186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AEED" w14:textId="77777777" w:rsidR="009C1708" w:rsidRDefault="00E6384A">
      <w:pPr>
        <w:pStyle w:val="a0"/>
      </w:pPr>
      <w:r>
        <w:rPr>
          <w:rFonts w:hint="eastAsia"/>
        </w:rPr>
        <w:t>超级电容器放电过程</w:t>
      </w:r>
    </w:p>
    <w:p w14:paraId="78239B94" w14:textId="77777777" w:rsidR="009C1708" w:rsidRDefault="009C1708">
      <w:pPr>
        <w:pStyle w:val="af1"/>
        <w:adjustRightInd w:val="0"/>
        <w:snapToGrid w:val="0"/>
        <w:spacing w:beforeLines="0" w:before="0" w:afterLines="0" w:after="0" w:line="20" w:lineRule="exact"/>
        <w:ind w:firstLine="480"/>
      </w:pPr>
    </w:p>
    <w:p w14:paraId="091462AC" w14:textId="77777777" w:rsidR="009C1708" w:rsidRDefault="00E6384A">
      <w:pPr>
        <w:pStyle w:val="1"/>
      </w:pPr>
      <w:r>
        <w:rPr>
          <w:rFonts w:hint="eastAsia"/>
        </w:rPr>
        <w:t>实验二：新能源接入系统方式仿真实验</w:t>
      </w:r>
    </w:p>
    <w:p w14:paraId="6E1A1528" w14:textId="77777777" w:rsidR="009C1708" w:rsidRDefault="00E6384A">
      <w:pPr>
        <w:pStyle w:val="2"/>
      </w:pPr>
      <w:r>
        <w:rPr>
          <w:rFonts w:hint="eastAsia"/>
        </w:rPr>
        <w:t>实验内容</w:t>
      </w:r>
    </w:p>
    <w:p w14:paraId="79AA93F7" w14:textId="77777777" w:rsidR="009C1708" w:rsidRDefault="00E6384A">
      <w:pPr>
        <w:pStyle w:val="af1"/>
        <w:spacing w:before="156" w:after="156"/>
        <w:ind w:firstLine="480"/>
      </w:pPr>
      <w:r>
        <w:rPr>
          <w:rFonts w:hint="eastAsia"/>
        </w:rPr>
        <w:t>在并、</w:t>
      </w:r>
      <w:proofErr w:type="gramStart"/>
      <w:r>
        <w:rPr>
          <w:rFonts w:hint="eastAsia"/>
        </w:rPr>
        <w:t>离网切换</w:t>
      </w:r>
      <w:proofErr w:type="gramEnd"/>
      <w:r>
        <w:rPr>
          <w:rFonts w:hint="eastAsia"/>
        </w:rPr>
        <w:t>时</w:t>
      </w:r>
      <w:r>
        <w:t>，通过</w:t>
      </w:r>
      <w:proofErr w:type="gramStart"/>
      <w:r>
        <w:t>故障录波观</w:t>
      </w:r>
      <w:proofErr w:type="gramEnd"/>
      <w:r>
        <w:t>测微网内分布式电源与负荷之间功率不匹配程度，</w:t>
      </w:r>
      <w:proofErr w:type="gramStart"/>
      <w:r>
        <w:t>微网</w:t>
      </w:r>
      <w:proofErr w:type="gramEnd"/>
      <w:r>
        <w:t>与电网断开后对主电源冲击情况；</w:t>
      </w:r>
      <w:proofErr w:type="gramStart"/>
      <w:r>
        <w:rPr>
          <w:rFonts w:hint="eastAsia"/>
        </w:rPr>
        <w:t>离网运行</w:t>
      </w:r>
      <w:proofErr w:type="gramEnd"/>
      <w:r>
        <w:rPr>
          <w:rFonts w:hint="eastAsia"/>
        </w:rPr>
        <w:t>时</w:t>
      </w:r>
      <w:r>
        <w:t>，通过</w:t>
      </w:r>
      <w:proofErr w:type="gramStart"/>
      <w:r>
        <w:t>该微网平</w:t>
      </w:r>
      <w:proofErr w:type="gramEnd"/>
      <w:r>
        <w:t>台实验，了解</w:t>
      </w:r>
      <w:proofErr w:type="gramStart"/>
      <w:r>
        <w:t>微网在离</w:t>
      </w:r>
      <w:proofErr w:type="gramEnd"/>
      <w:r>
        <w:t>网运行时，用蓄电池</w:t>
      </w:r>
      <w:proofErr w:type="gramStart"/>
      <w:r>
        <w:t>作为微网</w:t>
      </w:r>
      <w:proofErr w:type="gramEnd"/>
      <w:r>
        <w:t>的主电源，控制系统的频率和电压恒定，使光伏发电和风力发电工作在最大功率输出状态；运用控制策略进行瞬时功率平衡，应对可能的功率波动。</w:t>
      </w:r>
    </w:p>
    <w:p w14:paraId="1FFB756D" w14:textId="77777777" w:rsidR="009C1708" w:rsidRDefault="00E6384A">
      <w:pPr>
        <w:pStyle w:val="2"/>
      </w:pPr>
      <w:r>
        <w:rPr>
          <w:rFonts w:hint="eastAsia"/>
        </w:rPr>
        <w:t>实验现象</w:t>
      </w:r>
    </w:p>
    <w:p w14:paraId="0CD49278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选取三种状态下的光伏</w:t>
      </w:r>
      <w:r>
        <w:rPr>
          <w:rFonts w:hint="eastAsia"/>
        </w:rPr>
        <w:t>PV</w:t>
      </w:r>
      <w:r>
        <w:rPr>
          <w:rFonts w:hint="eastAsia"/>
        </w:rPr>
        <w:t>特性曲线，观察</w:t>
      </w:r>
      <w:r>
        <w:rPr>
          <w:rFonts w:hint="eastAsia"/>
        </w:rPr>
        <w:t>MPPT</w:t>
      </w:r>
      <w:r>
        <w:rPr>
          <w:rFonts w:hint="eastAsia"/>
        </w:rPr>
        <w:t>跟踪最大功率点的情况。首先切换到最大出力较低的状态，可以观察到经过一段时间工作点到了最大功率点附近，</w:t>
      </w:r>
      <w:r>
        <w:rPr>
          <w:rFonts w:hint="eastAsia"/>
        </w:rPr>
        <w:t>MPPT</w:t>
      </w:r>
      <w:r>
        <w:rPr>
          <w:rFonts w:hint="eastAsia"/>
        </w:rPr>
        <w:t>跟踪到的工作点功率是最大功率的</w:t>
      </w:r>
      <w:r>
        <w:rPr>
          <w:rFonts w:hint="eastAsia"/>
        </w:rPr>
        <w:t>82.88%</w:t>
      </w:r>
      <w:r>
        <w:rPr>
          <w:rFonts w:hint="eastAsia"/>
        </w:rPr>
        <w:t>。</w:t>
      </w:r>
    </w:p>
    <w:p w14:paraId="5203BE17" w14:textId="77777777" w:rsidR="009C1708" w:rsidRDefault="00E6384A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0152AE60" wp14:editId="5BF85198">
            <wp:extent cx="5278755" cy="3681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508B" w14:textId="77777777" w:rsidR="009C1708" w:rsidRDefault="00C83659" w:rsidP="00C83659">
      <w:pPr>
        <w:pStyle w:val="a0"/>
      </w:pPr>
      <w:r>
        <w:rPr>
          <w:rFonts w:hint="eastAsia"/>
        </w:rPr>
        <w:t>最大出力较低的状态</w:t>
      </w:r>
    </w:p>
    <w:p w14:paraId="453EDCAE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经过一段时间后切换到最大出力较大的状态。工作点经过一段时间的移动之后从低点移动到第二条</w:t>
      </w:r>
      <w:r>
        <w:rPr>
          <w:rFonts w:hint="eastAsia"/>
        </w:rPr>
        <w:t>PV</w:t>
      </w:r>
      <w:r>
        <w:rPr>
          <w:rFonts w:hint="eastAsia"/>
        </w:rPr>
        <w:t>曲线的顶点附近，即跟踪到最大功率点附近，工作点出力时最大功率的</w:t>
      </w:r>
      <w:r>
        <w:rPr>
          <w:rFonts w:hint="eastAsia"/>
        </w:rPr>
        <w:t>99.99%</w:t>
      </w:r>
    </w:p>
    <w:p w14:paraId="17A4E68A" w14:textId="77777777" w:rsidR="009C1708" w:rsidRDefault="00E6384A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605F2150" wp14:editId="3C8DF159">
            <wp:extent cx="5278755" cy="3681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021E" w14:textId="77777777" w:rsidR="009C1708" w:rsidRDefault="00C83659" w:rsidP="00C83659">
      <w:pPr>
        <w:pStyle w:val="a0"/>
      </w:pPr>
      <w:r>
        <w:rPr>
          <w:rFonts w:hint="eastAsia"/>
        </w:rPr>
        <w:t>最大出力较大的状态</w:t>
      </w:r>
    </w:p>
    <w:p w14:paraId="55B70566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经过一段时间后切换到最大出力最大的状态。工作点经过一段时间的移动之后从低点移动到第三条</w:t>
      </w:r>
      <w:r>
        <w:rPr>
          <w:rFonts w:hint="eastAsia"/>
        </w:rPr>
        <w:t>PV</w:t>
      </w:r>
      <w:r>
        <w:rPr>
          <w:rFonts w:hint="eastAsia"/>
        </w:rPr>
        <w:t>曲线的顶点附近，即跟踪到最大功率点附近，工作点出力时最大功率的</w:t>
      </w:r>
      <w:r>
        <w:rPr>
          <w:rFonts w:hint="eastAsia"/>
        </w:rPr>
        <w:t>99.99%</w:t>
      </w:r>
      <w:r>
        <w:rPr>
          <w:rFonts w:hint="eastAsia"/>
        </w:rPr>
        <w:t>。</w:t>
      </w:r>
    </w:p>
    <w:p w14:paraId="6957055A" w14:textId="77777777" w:rsidR="009C1708" w:rsidRDefault="00E6384A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2C70C3C4" wp14:editId="7D130746">
            <wp:extent cx="5278755" cy="3681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2BBB" w14:textId="77777777" w:rsidR="00C83659" w:rsidRDefault="00C83659" w:rsidP="00C83659">
      <w:pPr>
        <w:pStyle w:val="a0"/>
        <w:rPr>
          <w:rFonts w:hint="eastAsia"/>
        </w:rPr>
      </w:pPr>
      <w:r>
        <w:rPr>
          <w:rFonts w:hint="eastAsia"/>
        </w:rPr>
        <w:t>最大出力最大的状态</w:t>
      </w:r>
    </w:p>
    <w:p w14:paraId="0C1B7D34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结合上述三种情况，可以看出按照</w:t>
      </w:r>
      <w:r>
        <w:rPr>
          <w:rFonts w:hint="eastAsia"/>
        </w:rPr>
        <w:t>MPPT</w:t>
      </w:r>
      <w:r>
        <w:rPr>
          <w:rFonts w:hint="eastAsia"/>
        </w:rPr>
        <w:t>跟踪方式，当光伏的</w:t>
      </w:r>
      <w:r>
        <w:rPr>
          <w:rFonts w:hint="eastAsia"/>
        </w:rPr>
        <w:t>PV</w:t>
      </w:r>
      <w:r>
        <w:rPr>
          <w:rFonts w:hint="eastAsia"/>
        </w:rPr>
        <w:t>曲线变化，亦相当于实际中光照强度发生突然的变化，系统都能跟踪到最大功率的附近，使</w:t>
      </w:r>
      <w:proofErr w:type="gramStart"/>
      <w:r>
        <w:rPr>
          <w:rFonts w:hint="eastAsia"/>
        </w:rPr>
        <w:t>光伏能始终</w:t>
      </w:r>
      <w:proofErr w:type="gramEnd"/>
      <w:r>
        <w:rPr>
          <w:rFonts w:hint="eastAsia"/>
        </w:rPr>
        <w:t>达到最大出力，尽可</w:t>
      </w:r>
      <w:r>
        <w:rPr>
          <w:rFonts w:hint="eastAsia"/>
        </w:rPr>
        <w:t>能提高光能的利用率。</w:t>
      </w:r>
    </w:p>
    <w:p w14:paraId="159EE652" w14:textId="77777777" w:rsidR="009C1708" w:rsidRDefault="00E6384A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而当系统选择跟踪最大功率时，光照强度的突然变化势必会导致系统出力的突然变化，从而影响到联络线功率输送，对整个电网产生影响，并且对电网的频率稳定带来挑战，因此需要超级电容器或锂电池等储能装置，在出力突然增大时吸收电能，在出力减少时放出电能，稳定系统的对外出力。</w:t>
      </w:r>
    </w:p>
    <w:p w14:paraId="0BF694A2" w14:textId="77777777" w:rsidR="009C1708" w:rsidRDefault="009C1708">
      <w:pPr>
        <w:spacing w:line="220" w:lineRule="atLeast"/>
      </w:pPr>
    </w:p>
    <w:p w14:paraId="0DB0D136" w14:textId="77777777" w:rsidR="009C1708" w:rsidRDefault="00E6384A">
      <w:pPr>
        <w:pStyle w:val="1"/>
      </w:pPr>
      <w:r>
        <w:rPr>
          <w:rFonts w:hint="eastAsia"/>
        </w:rPr>
        <w:t>实验三：新能源接入对系统影响抑制措施仿真实</w:t>
      </w:r>
      <w:r>
        <w:t>验</w:t>
      </w:r>
    </w:p>
    <w:p w14:paraId="5356CD99" w14:textId="77777777" w:rsidR="009C1708" w:rsidRDefault="00E6384A">
      <w:pPr>
        <w:pStyle w:val="2"/>
      </w:pPr>
      <w:r>
        <w:rPr>
          <w:rFonts w:hint="eastAsia"/>
        </w:rPr>
        <w:t>实验内容</w:t>
      </w:r>
    </w:p>
    <w:p w14:paraId="441A3D46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新能源具有随机性和波动性的特点</w:t>
      </w:r>
      <w:r>
        <w:t>，大规模新能源接入电网时，会对其稳定性和电能质量带来极大影响，本实验利用该平台，研究如何利用储能系统稳定间歇电源接入点母线电压、</w:t>
      </w:r>
      <w:proofErr w:type="gramStart"/>
      <w:r>
        <w:t>改善微网电能</w:t>
      </w:r>
      <w:proofErr w:type="gramEnd"/>
      <w:r>
        <w:t>质量、改进间歇电源输出特性、提升间歇电源的可调度性和提升微电网自治运行、无缝切换的能力；研究分布式能源的运行、控制、保护的策略，掌握分布式电源并网关键技术和设计方法。</w:t>
      </w:r>
    </w:p>
    <w:p w14:paraId="3DAD8657" w14:textId="77777777" w:rsidR="009C1708" w:rsidRDefault="00E6384A">
      <w:pPr>
        <w:pStyle w:val="2"/>
      </w:pPr>
      <w:r>
        <w:rPr>
          <w:rFonts w:hint="eastAsia"/>
        </w:rPr>
        <w:t>实验现象</w:t>
      </w:r>
    </w:p>
    <w:p w14:paraId="45077E43" w14:textId="77777777" w:rsidR="009C1708" w:rsidRPr="006F3996" w:rsidRDefault="00E6384A" w:rsidP="006F3996">
      <w:pPr>
        <w:pStyle w:val="af1"/>
        <w:spacing w:before="156" w:after="156"/>
        <w:ind w:firstLine="480"/>
      </w:pPr>
      <w:r w:rsidRPr="006F3996">
        <w:rPr>
          <w:rFonts w:hint="eastAsia"/>
        </w:rPr>
        <w:t>为了观察超级电容器对稳定系统对外出力，平滑滤波的作用，先尝试在没有真实光</w:t>
      </w:r>
      <w:proofErr w:type="gramStart"/>
      <w:r w:rsidRPr="006F3996">
        <w:rPr>
          <w:rFonts w:hint="eastAsia"/>
        </w:rPr>
        <w:t>伏加入</w:t>
      </w:r>
      <w:proofErr w:type="gramEnd"/>
      <w:r w:rsidRPr="006F3996">
        <w:rPr>
          <w:rFonts w:hint="eastAsia"/>
        </w:rPr>
        <w:t>的情况下，突然切入模拟光伏：</w:t>
      </w:r>
    </w:p>
    <w:p w14:paraId="4B83B531" w14:textId="77777777" w:rsidR="009C1708" w:rsidRDefault="001161B4" w:rsidP="001161B4">
      <w:pPr>
        <w:pStyle w:val="af1"/>
        <w:spacing w:before="156" w:after="156"/>
        <w:ind w:firstLine="480"/>
        <w:rPr>
          <w:rFonts w:hint="eastAsia"/>
        </w:rPr>
      </w:pPr>
      <w:r>
        <w:rPr>
          <w:rFonts w:hint="eastAsia"/>
        </w:rPr>
        <w:t>注：下图中，</w:t>
      </w:r>
      <w:r w:rsidRPr="001161B4">
        <w:t>QF7P</w:t>
      </w:r>
      <w:r w:rsidRPr="001161B4">
        <w:t>为超级电容器功率时间曲线；</w:t>
      </w:r>
      <w:r w:rsidRPr="001161B4">
        <w:t>QF9P</w:t>
      </w:r>
      <w:r w:rsidRPr="001161B4">
        <w:t>为参考曲线；</w:t>
      </w:r>
      <w:r w:rsidRPr="001161B4">
        <w:t>QF4P</w:t>
      </w:r>
      <w:r w:rsidRPr="001161B4">
        <w:t>为模拟光伏功率时间曲线；</w:t>
      </w:r>
      <w:r w:rsidRPr="001161B4">
        <w:t>QF6P</w:t>
      </w:r>
      <w:r w:rsidRPr="001161B4">
        <w:t>为真实光伏功率时间曲线；</w:t>
      </w:r>
      <w:r w:rsidRPr="001161B4">
        <w:t>K2P</w:t>
      </w:r>
      <w:r w:rsidRPr="001161B4">
        <w:t>为联络线功率时间曲线</w:t>
      </w:r>
      <w:r w:rsidR="00FA1B87">
        <w:rPr>
          <w:rFonts w:hint="eastAsia"/>
        </w:rPr>
        <w:t>。</w:t>
      </w:r>
    </w:p>
    <w:p w14:paraId="16CB0560" w14:textId="77777777" w:rsidR="009C1708" w:rsidRDefault="00E6384A">
      <w:pPr>
        <w:jc w:val="center"/>
      </w:pPr>
      <w:r>
        <w:rPr>
          <w:noProof/>
        </w:rPr>
        <w:lastRenderedPageBreak/>
        <w:drawing>
          <wp:inline distT="0" distB="0" distL="0" distR="0" wp14:anchorId="5E0AF6CC" wp14:editId="65AADF60">
            <wp:extent cx="5278755" cy="34613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EEEC" w14:textId="77777777" w:rsidR="009C1708" w:rsidRDefault="00E6384A" w:rsidP="006F3996">
      <w:pPr>
        <w:pStyle w:val="a0"/>
      </w:pPr>
      <w:proofErr w:type="gramStart"/>
      <w:r>
        <w:rPr>
          <w:rFonts w:hint="eastAsia"/>
        </w:rPr>
        <w:t>无真实光</w:t>
      </w:r>
      <w:proofErr w:type="gramEnd"/>
      <w:r>
        <w:rPr>
          <w:rFonts w:hint="eastAsia"/>
        </w:rPr>
        <w:t>伏，模拟光伏加入</w:t>
      </w:r>
    </w:p>
    <w:p w14:paraId="7D6F8C4D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可以观察出，当模拟光伏功率突然爬升的时候，超级电容器自动响应并进入了充电状态，开始</w:t>
      </w:r>
      <w:proofErr w:type="gramStart"/>
      <w:r>
        <w:rPr>
          <w:rFonts w:hint="eastAsia"/>
        </w:rPr>
        <w:t>吸收部</w:t>
      </w:r>
      <w:proofErr w:type="gramEnd"/>
      <w:r>
        <w:rPr>
          <w:rFonts w:hint="eastAsia"/>
        </w:rPr>
        <w:t>分突增的有功功率。而因为有超级电容器的加入，联络线的功率虽然在模拟光伏功率突然爬升的时候也随之爬升，但是增大的幅度明显小于模拟光伏的幅度，并且很快的重新下降，之后才慢慢爬升。说明超级电容器可以在光伏功率突然增加时稳定系统出力。</w:t>
      </w:r>
    </w:p>
    <w:p w14:paraId="3B666B7F" w14:textId="77777777" w:rsidR="009C1708" w:rsidRDefault="00E6384A">
      <w:pPr>
        <w:jc w:val="center"/>
      </w:pPr>
      <w:r>
        <w:rPr>
          <w:noProof/>
        </w:rPr>
        <w:drawing>
          <wp:inline distT="0" distB="0" distL="0" distR="0" wp14:anchorId="67485BF6" wp14:editId="5DFCD065">
            <wp:extent cx="5278755" cy="34613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B4FC" w14:textId="77777777" w:rsidR="009C1708" w:rsidRDefault="00E6384A" w:rsidP="006F3996">
      <w:pPr>
        <w:pStyle w:val="a0"/>
      </w:pPr>
      <w:r>
        <w:rPr>
          <w:rFonts w:hint="eastAsia"/>
        </w:rPr>
        <w:t>有真实光伏，模拟光伏加入</w:t>
      </w:r>
    </w:p>
    <w:p w14:paraId="44CA1D2F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可以观察出，在有真实光伏的情况下，模拟光</w:t>
      </w:r>
      <w:proofErr w:type="gramStart"/>
      <w:r>
        <w:rPr>
          <w:rFonts w:hint="eastAsia"/>
        </w:rPr>
        <w:t>伏突然</w:t>
      </w:r>
      <w:proofErr w:type="gramEnd"/>
      <w:r>
        <w:rPr>
          <w:rFonts w:hint="eastAsia"/>
        </w:rPr>
        <w:t>接入时超级电容器</w:t>
      </w:r>
      <w:r>
        <w:rPr>
          <w:rFonts w:hint="eastAsia"/>
        </w:rPr>
        <w:t>和联络线的功率曲线表现和没有真实光伏下相同，说明了接近实际情况下超级电容器也能发挥作用。</w:t>
      </w:r>
    </w:p>
    <w:p w14:paraId="18CE74A9" w14:textId="77777777" w:rsidR="009C1708" w:rsidRDefault="00E6384A">
      <w:pPr>
        <w:jc w:val="center"/>
      </w:pPr>
      <w:r>
        <w:rPr>
          <w:noProof/>
        </w:rPr>
        <w:lastRenderedPageBreak/>
        <w:drawing>
          <wp:inline distT="0" distB="0" distL="0" distR="0" wp14:anchorId="46D39F56" wp14:editId="3F948E9E">
            <wp:extent cx="5278755" cy="3449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300A" w14:textId="77777777" w:rsidR="009C1708" w:rsidRDefault="00E6384A" w:rsidP="006F3996">
      <w:pPr>
        <w:pStyle w:val="a0"/>
      </w:pPr>
      <w:r>
        <w:rPr>
          <w:rFonts w:hint="eastAsia"/>
        </w:rPr>
        <w:t>有</w:t>
      </w:r>
      <w:r>
        <w:rPr>
          <w:rFonts w:hint="eastAsia"/>
        </w:rPr>
        <w:t>真实光伏，模拟光</w:t>
      </w:r>
      <w:proofErr w:type="gramStart"/>
      <w:r>
        <w:rPr>
          <w:rFonts w:hint="eastAsia"/>
        </w:rPr>
        <w:t>伏</w:t>
      </w:r>
      <w:r>
        <w:rPr>
          <w:rFonts w:hint="eastAsia"/>
        </w:rPr>
        <w:t>突然</w:t>
      </w:r>
      <w:proofErr w:type="gramEnd"/>
      <w:r>
        <w:rPr>
          <w:rFonts w:hint="eastAsia"/>
        </w:rPr>
        <w:t>切除</w:t>
      </w:r>
    </w:p>
    <w:p w14:paraId="0F65D5C3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切除后模拟光伏功率曲线突然下降，超级电容器的功率曲线随即迅速爬升，开始放电补充系统出力，稳定系统功率。可以看出联络线功率虽然在模拟光伏功率曲线突然下降时随之下降，但是下降幅度明显小于模拟光</w:t>
      </w:r>
      <w:proofErr w:type="gramStart"/>
      <w:r>
        <w:rPr>
          <w:rFonts w:hint="eastAsia"/>
        </w:rPr>
        <w:t>伏下降</w:t>
      </w:r>
      <w:proofErr w:type="gramEnd"/>
      <w:r>
        <w:rPr>
          <w:rFonts w:hint="eastAsia"/>
        </w:rPr>
        <w:t>的幅度，而且之后又重新上升，直到超级电容器放电结束才继续下降。说明超级电容器也可以在光伏功率突然减小时稳定系统出力。</w:t>
      </w:r>
    </w:p>
    <w:p w14:paraId="50C6636B" w14:textId="77777777" w:rsidR="009C1708" w:rsidRDefault="00E6384A">
      <w:pPr>
        <w:jc w:val="center"/>
      </w:pPr>
      <w:r>
        <w:rPr>
          <w:noProof/>
        </w:rPr>
        <w:drawing>
          <wp:inline distT="0" distB="0" distL="0" distR="0" wp14:anchorId="41301E36" wp14:editId="6E03DD26">
            <wp:extent cx="5278755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E7F2" w14:textId="77777777" w:rsidR="009C1708" w:rsidRDefault="00E6384A" w:rsidP="006F3996">
      <w:pPr>
        <w:pStyle w:val="a0"/>
      </w:pPr>
      <w:r>
        <w:rPr>
          <w:rFonts w:hint="eastAsia"/>
        </w:rPr>
        <w:t>先将</w:t>
      </w:r>
      <w:r>
        <w:rPr>
          <w:rFonts w:hint="eastAsia"/>
        </w:rPr>
        <w:t>模拟光伏切除</w:t>
      </w:r>
      <w:r>
        <w:rPr>
          <w:rFonts w:hint="eastAsia"/>
        </w:rPr>
        <w:t>，</w:t>
      </w:r>
      <w:r>
        <w:rPr>
          <w:rFonts w:hint="eastAsia"/>
        </w:rPr>
        <w:t>再</w:t>
      </w:r>
      <w:r>
        <w:rPr>
          <w:rFonts w:hint="eastAsia"/>
        </w:rPr>
        <w:t>接入真实</w:t>
      </w:r>
      <w:r>
        <w:rPr>
          <w:rFonts w:hint="eastAsia"/>
        </w:rPr>
        <w:t>光伏</w:t>
      </w:r>
    </w:p>
    <w:p w14:paraId="002F1439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可以看出随着光伏的切入切出，超级电容器先进入放电状态，再进入充电状态，分别补充了模拟光伏切除后迅速下降的功率，吸收了真实光伏接入后迅速上升的功率，使联络线的功率可以以较小的幅度波动，使系统对外出力更加平滑。</w:t>
      </w:r>
    </w:p>
    <w:p w14:paraId="29277200" w14:textId="77777777" w:rsidR="009C1708" w:rsidRDefault="00E6384A">
      <w:pPr>
        <w:jc w:val="center"/>
      </w:pPr>
      <w:r>
        <w:rPr>
          <w:noProof/>
        </w:rPr>
        <w:lastRenderedPageBreak/>
        <w:drawing>
          <wp:inline distT="0" distB="0" distL="0" distR="0" wp14:anchorId="2547EB59" wp14:editId="531C8894">
            <wp:extent cx="5278755" cy="34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32AE" w14:textId="77777777" w:rsidR="009C1708" w:rsidRDefault="00E6384A" w:rsidP="006F3996">
      <w:pPr>
        <w:pStyle w:val="a0"/>
      </w:pPr>
      <w:r>
        <w:rPr>
          <w:rFonts w:hint="eastAsia"/>
        </w:rPr>
        <w:t>模拟光伏切入</w:t>
      </w:r>
      <w:r>
        <w:rPr>
          <w:rFonts w:hint="eastAsia"/>
        </w:rPr>
        <w:t>再切出</w:t>
      </w:r>
      <w:r>
        <w:rPr>
          <w:rFonts w:hint="eastAsia"/>
        </w:rPr>
        <w:t>，然后再切除真实</w:t>
      </w:r>
      <w:r>
        <w:rPr>
          <w:rFonts w:hint="eastAsia"/>
        </w:rPr>
        <w:t>光伏</w:t>
      </w:r>
    </w:p>
    <w:p w14:paraId="519E2CC7" w14:textId="77777777" w:rsidR="009C1708" w:rsidRDefault="00E6384A" w:rsidP="006F3996">
      <w:pPr>
        <w:pStyle w:val="af1"/>
        <w:spacing w:before="156" w:after="156"/>
        <w:ind w:firstLine="480"/>
      </w:pPr>
      <w:r>
        <w:rPr>
          <w:rFonts w:hint="eastAsia"/>
        </w:rPr>
        <w:t>可以看出超级电容器</w:t>
      </w:r>
      <w:proofErr w:type="gramStart"/>
      <w:r>
        <w:rPr>
          <w:rFonts w:hint="eastAsia"/>
        </w:rPr>
        <w:t>仙</w:t>
      </w:r>
      <w:proofErr w:type="gramEnd"/>
      <w:r>
        <w:rPr>
          <w:rFonts w:hint="eastAsia"/>
        </w:rPr>
        <w:t>进入充电状态，再进入放电状态，接着再有一次放电跃升，分别吸收了模拟光伏接入多出的功率，以及放出功率弥补模拟</w:t>
      </w:r>
      <w:proofErr w:type="gramStart"/>
      <w:r>
        <w:rPr>
          <w:rFonts w:hint="eastAsia"/>
        </w:rPr>
        <w:t>光伏和真实</w:t>
      </w:r>
      <w:proofErr w:type="gramEnd"/>
      <w:r>
        <w:rPr>
          <w:rFonts w:hint="eastAsia"/>
        </w:rPr>
        <w:t>光伏切除后的功率下跌，使联络线的功率曲线更平滑。还可以看出超级电容器的优点在于调节速度快，响应快。光伏的出力变化只在短短的</w:t>
      </w:r>
      <w:r>
        <w:rPr>
          <w:rFonts w:hint="eastAsia"/>
        </w:rPr>
        <w:t>几秒时间内，超级电容器可以快速做出响应并做出调节，并且只要在超级电容器充放电功率以内，光伏出力的连续增加或减少，都能得到连续的补偿。</w:t>
      </w:r>
    </w:p>
    <w:sectPr w:rsidR="009C1708"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SK--GBK1-0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6F42AC"/>
    <w:multiLevelType w:val="singleLevel"/>
    <w:tmpl w:val="C36F42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2F49915"/>
    <w:multiLevelType w:val="singleLevel"/>
    <w:tmpl w:val="E2F4991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F61D9B5"/>
    <w:multiLevelType w:val="singleLevel"/>
    <w:tmpl w:val="1F61D9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77D7EBD"/>
    <w:multiLevelType w:val="multilevel"/>
    <w:tmpl w:val="377D7EBD"/>
    <w:lvl w:ilvl="0">
      <w:start w:val="1"/>
      <w:numFmt w:val="decimal"/>
      <w:pStyle w:val="a"/>
      <w:lvlText w:val="%1"/>
      <w:lvlJc w:val="left"/>
      <w:pPr>
        <w:tabs>
          <w:tab w:val="left" w:pos="284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44827C3"/>
    <w:multiLevelType w:val="multilevel"/>
    <w:tmpl w:val="544827C3"/>
    <w:lvl w:ilvl="0">
      <w:start w:val="1"/>
      <w:numFmt w:val="decimal"/>
      <w:lvlText w:val="%1"/>
      <w:lvlJc w:val="left"/>
      <w:pPr>
        <w:tabs>
          <w:tab w:val="left" w:pos="284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4">
      <w:start w:val="1"/>
      <w:numFmt w:val="decimal"/>
      <w:pStyle w:val="a0"/>
      <w:suff w:val="space"/>
      <w:lvlText w:val="Figure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5">
      <w:start w:val="1"/>
      <w:numFmt w:val="decimal"/>
      <w:pStyle w:val="a1"/>
      <w:suff w:val="space"/>
      <w:lvlText w:val="Table 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4865BCA"/>
    <w:multiLevelType w:val="multilevel"/>
    <w:tmpl w:val="54865BCA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C0D82"/>
    <w:multiLevelType w:val="multilevel"/>
    <w:tmpl w:val="567C0D82"/>
    <w:lvl w:ilvl="0">
      <w:start w:val="1"/>
      <w:numFmt w:val="decimal"/>
      <w:pStyle w:val="a2"/>
      <w:lvlText w:val="%1."/>
      <w:lvlJc w:val="center"/>
      <w:pPr>
        <w:ind w:left="420" w:hanging="420"/>
      </w:pPr>
      <w:rPr>
        <w:rFonts w:hint="eastAsia"/>
        <w:caps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E874A7"/>
    <w:multiLevelType w:val="singleLevel"/>
    <w:tmpl w:val="58E874A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DB"/>
    <w:rsid w:val="00001565"/>
    <w:rsid w:val="00035BDB"/>
    <w:rsid w:val="00037FEB"/>
    <w:rsid w:val="00056323"/>
    <w:rsid w:val="000665DD"/>
    <w:rsid w:val="00080A42"/>
    <w:rsid w:val="00082669"/>
    <w:rsid w:val="000915A1"/>
    <w:rsid w:val="00097880"/>
    <w:rsid w:val="000A45F2"/>
    <w:rsid w:val="000B258F"/>
    <w:rsid w:val="000D4737"/>
    <w:rsid w:val="000D55E2"/>
    <w:rsid w:val="000F1D7E"/>
    <w:rsid w:val="000F5480"/>
    <w:rsid w:val="00100CC5"/>
    <w:rsid w:val="001161B4"/>
    <w:rsid w:val="001448C5"/>
    <w:rsid w:val="00151B1B"/>
    <w:rsid w:val="00154259"/>
    <w:rsid w:val="00156849"/>
    <w:rsid w:val="00163630"/>
    <w:rsid w:val="0017371F"/>
    <w:rsid w:val="0017614E"/>
    <w:rsid w:val="00176B99"/>
    <w:rsid w:val="00185B71"/>
    <w:rsid w:val="0019044F"/>
    <w:rsid w:val="00190579"/>
    <w:rsid w:val="001D6867"/>
    <w:rsid w:val="001E24DF"/>
    <w:rsid w:val="001F229A"/>
    <w:rsid w:val="001F7C47"/>
    <w:rsid w:val="00202228"/>
    <w:rsid w:val="00203EE5"/>
    <w:rsid w:val="00206116"/>
    <w:rsid w:val="0021371B"/>
    <w:rsid w:val="00214EEE"/>
    <w:rsid w:val="00216A66"/>
    <w:rsid w:val="002176DC"/>
    <w:rsid w:val="0024060E"/>
    <w:rsid w:val="00251000"/>
    <w:rsid w:val="00284E58"/>
    <w:rsid w:val="002850CF"/>
    <w:rsid w:val="00297249"/>
    <w:rsid w:val="002A4B94"/>
    <w:rsid w:val="002A51C7"/>
    <w:rsid w:val="002B0FF6"/>
    <w:rsid w:val="002B43F8"/>
    <w:rsid w:val="002B74CF"/>
    <w:rsid w:val="002C5EA3"/>
    <w:rsid w:val="002F14A1"/>
    <w:rsid w:val="002F7FD4"/>
    <w:rsid w:val="003068C0"/>
    <w:rsid w:val="0031547A"/>
    <w:rsid w:val="003269BA"/>
    <w:rsid w:val="0034031F"/>
    <w:rsid w:val="00364757"/>
    <w:rsid w:val="00372A24"/>
    <w:rsid w:val="00392571"/>
    <w:rsid w:val="003B26AF"/>
    <w:rsid w:val="003B44FB"/>
    <w:rsid w:val="003F19AD"/>
    <w:rsid w:val="004128F3"/>
    <w:rsid w:val="00454598"/>
    <w:rsid w:val="004559A9"/>
    <w:rsid w:val="00482691"/>
    <w:rsid w:val="004851A6"/>
    <w:rsid w:val="00492319"/>
    <w:rsid w:val="004A4272"/>
    <w:rsid w:val="004A78AA"/>
    <w:rsid w:val="004B0484"/>
    <w:rsid w:val="004B0ACE"/>
    <w:rsid w:val="004C59EB"/>
    <w:rsid w:val="004E03D4"/>
    <w:rsid w:val="004E4666"/>
    <w:rsid w:val="004F58CA"/>
    <w:rsid w:val="00504EF8"/>
    <w:rsid w:val="00505C92"/>
    <w:rsid w:val="0051266A"/>
    <w:rsid w:val="00515BF4"/>
    <w:rsid w:val="00535F15"/>
    <w:rsid w:val="00542932"/>
    <w:rsid w:val="005439D1"/>
    <w:rsid w:val="00544BE8"/>
    <w:rsid w:val="00552D27"/>
    <w:rsid w:val="00561E3C"/>
    <w:rsid w:val="005662D3"/>
    <w:rsid w:val="00571C00"/>
    <w:rsid w:val="00573969"/>
    <w:rsid w:val="0058196A"/>
    <w:rsid w:val="0058678C"/>
    <w:rsid w:val="00587331"/>
    <w:rsid w:val="005964FC"/>
    <w:rsid w:val="005E09CE"/>
    <w:rsid w:val="005E21F1"/>
    <w:rsid w:val="005F0C60"/>
    <w:rsid w:val="005F1B33"/>
    <w:rsid w:val="006020C1"/>
    <w:rsid w:val="00607EDD"/>
    <w:rsid w:val="00612E6E"/>
    <w:rsid w:val="006237AB"/>
    <w:rsid w:val="006327E4"/>
    <w:rsid w:val="00651EAD"/>
    <w:rsid w:val="0068461A"/>
    <w:rsid w:val="00694302"/>
    <w:rsid w:val="0069501F"/>
    <w:rsid w:val="006E38C5"/>
    <w:rsid w:val="006E4307"/>
    <w:rsid w:val="006E457B"/>
    <w:rsid w:val="006F3996"/>
    <w:rsid w:val="00713BE8"/>
    <w:rsid w:val="00717C0D"/>
    <w:rsid w:val="007205C3"/>
    <w:rsid w:val="007278C9"/>
    <w:rsid w:val="00754CE4"/>
    <w:rsid w:val="00764E0F"/>
    <w:rsid w:val="00774645"/>
    <w:rsid w:val="007809A0"/>
    <w:rsid w:val="00783914"/>
    <w:rsid w:val="007A6CDB"/>
    <w:rsid w:val="007B0F1B"/>
    <w:rsid w:val="007D2FCE"/>
    <w:rsid w:val="007D7882"/>
    <w:rsid w:val="007E2FA5"/>
    <w:rsid w:val="007F420C"/>
    <w:rsid w:val="007F7392"/>
    <w:rsid w:val="00802234"/>
    <w:rsid w:val="00810B60"/>
    <w:rsid w:val="008179F0"/>
    <w:rsid w:val="00821D79"/>
    <w:rsid w:val="00822D30"/>
    <w:rsid w:val="00852365"/>
    <w:rsid w:val="0087157E"/>
    <w:rsid w:val="00873CAB"/>
    <w:rsid w:val="008A0B19"/>
    <w:rsid w:val="008A0ED0"/>
    <w:rsid w:val="008C0FE7"/>
    <w:rsid w:val="008C479A"/>
    <w:rsid w:val="008D033E"/>
    <w:rsid w:val="008F3A73"/>
    <w:rsid w:val="008F3AA4"/>
    <w:rsid w:val="008F47C5"/>
    <w:rsid w:val="00904A27"/>
    <w:rsid w:val="00904E9A"/>
    <w:rsid w:val="00922CAF"/>
    <w:rsid w:val="009269D8"/>
    <w:rsid w:val="009414E3"/>
    <w:rsid w:val="0096184C"/>
    <w:rsid w:val="00964787"/>
    <w:rsid w:val="009669BC"/>
    <w:rsid w:val="009717C9"/>
    <w:rsid w:val="009720EB"/>
    <w:rsid w:val="0097692F"/>
    <w:rsid w:val="00994093"/>
    <w:rsid w:val="009A2A8F"/>
    <w:rsid w:val="009B096B"/>
    <w:rsid w:val="009C1708"/>
    <w:rsid w:val="009D2C62"/>
    <w:rsid w:val="009F3591"/>
    <w:rsid w:val="009F3861"/>
    <w:rsid w:val="009F4FC4"/>
    <w:rsid w:val="00A0215A"/>
    <w:rsid w:val="00A0376F"/>
    <w:rsid w:val="00A42FBA"/>
    <w:rsid w:val="00A60467"/>
    <w:rsid w:val="00A610EB"/>
    <w:rsid w:val="00A8436C"/>
    <w:rsid w:val="00A856F2"/>
    <w:rsid w:val="00A869B0"/>
    <w:rsid w:val="00AA6095"/>
    <w:rsid w:val="00AA6A1C"/>
    <w:rsid w:val="00AB5EE4"/>
    <w:rsid w:val="00AB6740"/>
    <w:rsid w:val="00AB737A"/>
    <w:rsid w:val="00AC1234"/>
    <w:rsid w:val="00AD1D82"/>
    <w:rsid w:val="00AD7272"/>
    <w:rsid w:val="00AE448E"/>
    <w:rsid w:val="00AF4923"/>
    <w:rsid w:val="00AF5C5C"/>
    <w:rsid w:val="00B04957"/>
    <w:rsid w:val="00B14215"/>
    <w:rsid w:val="00B279AC"/>
    <w:rsid w:val="00B4278C"/>
    <w:rsid w:val="00B467AE"/>
    <w:rsid w:val="00B66596"/>
    <w:rsid w:val="00B71748"/>
    <w:rsid w:val="00B8034B"/>
    <w:rsid w:val="00B86BB7"/>
    <w:rsid w:val="00B90617"/>
    <w:rsid w:val="00BB2016"/>
    <w:rsid w:val="00BB3C7B"/>
    <w:rsid w:val="00BB3D27"/>
    <w:rsid w:val="00BB599E"/>
    <w:rsid w:val="00BC0505"/>
    <w:rsid w:val="00BD38D1"/>
    <w:rsid w:val="00BD61E8"/>
    <w:rsid w:val="00C01AF9"/>
    <w:rsid w:val="00C10940"/>
    <w:rsid w:val="00C23EB1"/>
    <w:rsid w:val="00C26824"/>
    <w:rsid w:val="00C2696B"/>
    <w:rsid w:val="00C327C4"/>
    <w:rsid w:val="00C32BB0"/>
    <w:rsid w:val="00C47022"/>
    <w:rsid w:val="00C51F9B"/>
    <w:rsid w:val="00C60096"/>
    <w:rsid w:val="00C62E9F"/>
    <w:rsid w:val="00C74A37"/>
    <w:rsid w:val="00C83659"/>
    <w:rsid w:val="00C8491B"/>
    <w:rsid w:val="00C87051"/>
    <w:rsid w:val="00CA2AFF"/>
    <w:rsid w:val="00CA43C6"/>
    <w:rsid w:val="00CA4949"/>
    <w:rsid w:val="00CC2CB2"/>
    <w:rsid w:val="00CD08D6"/>
    <w:rsid w:val="00CE56D3"/>
    <w:rsid w:val="00CF1FDE"/>
    <w:rsid w:val="00CF368A"/>
    <w:rsid w:val="00D23757"/>
    <w:rsid w:val="00D40562"/>
    <w:rsid w:val="00D42ECD"/>
    <w:rsid w:val="00D45A5F"/>
    <w:rsid w:val="00D51E6A"/>
    <w:rsid w:val="00D6148F"/>
    <w:rsid w:val="00D6460F"/>
    <w:rsid w:val="00D64839"/>
    <w:rsid w:val="00D7348F"/>
    <w:rsid w:val="00D86626"/>
    <w:rsid w:val="00D91F6F"/>
    <w:rsid w:val="00D96880"/>
    <w:rsid w:val="00D96C3E"/>
    <w:rsid w:val="00DA088C"/>
    <w:rsid w:val="00DA5B28"/>
    <w:rsid w:val="00DA629E"/>
    <w:rsid w:val="00DB449D"/>
    <w:rsid w:val="00DD0347"/>
    <w:rsid w:val="00DD2925"/>
    <w:rsid w:val="00DD3075"/>
    <w:rsid w:val="00DD7364"/>
    <w:rsid w:val="00DF1694"/>
    <w:rsid w:val="00DF37E8"/>
    <w:rsid w:val="00DF5FC0"/>
    <w:rsid w:val="00E07CAA"/>
    <w:rsid w:val="00E27B9F"/>
    <w:rsid w:val="00E45E8A"/>
    <w:rsid w:val="00E51DF0"/>
    <w:rsid w:val="00E56FC0"/>
    <w:rsid w:val="00E5767D"/>
    <w:rsid w:val="00E6384A"/>
    <w:rsid w:val="00E63E8B"/>
    <w:rsid w:val="00E67721"/>
    <w:rsid w:val="00E72ADB"/>
    <w:rsid w:val="00E778AE"/>
    <w:rsid w:val="00E80FAB"/>
    <w:rsid w:val="00E819E6"/>
    <w:rsid w:val="00E85FB0"/>
    <w:rsid w:val="00E9361D"/>
    <w:rsid w:val="00EB3CEF"/>
    <w:rsid w:val="00EB6FF5"/>
    <w:rsid w:val="00EE7627"/>
    <w:rsid w:val="00EF0AF5"/>
    <w:rsid w:val="00EF71F3"/>
    <w:rsid w:val="00F00044"/>
    <w:rsid w:val="00F0342B"/>
    <w:rsid w:val="00F04984"/>
    <w:rsid w:val="00F05191"/>
    <w:rsid w:val="00F15218"/>
    <w:rsid w:val="00F72FAF"/>
    <w:rsid w:val="00F73D75"/>
    <w:rsid w:val="00F8414F"/>
    <w:rsid w:val="00F97AAF"/>
    <w:rsid w:val="00FA1B87"/>
    <w:rsid w:val="00FA29E5"/>
    <w:rsid w:val="00FB065E"/>
    <w:rsid w:val="00FC15CC"/>
    <w:rsid w:val="00FE2594"/>
    <w:rsid w:val="00FF2C7D"/>
    <w:rsid w:val="12886D3B"/>
    <w:rsid w:val="16A91291"/>
    <w:rsid w:val="1818484C"/>
    <w:rsid w:val="21D26898"/>
    <w:rsid w:val="22CC404C"/>
    <w:rsid w:val="3C523B00"/>
    <w:rsid w:val="5E15709D"/>
    <w:rsid w:val="630C4F78"/>
    <w:rsid w:val="715864B2"/>
    <w:rsid w:val="72B945AD"/>
    <w:rsid w:val="79F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050C9"/>
  <w15:docId w15:val="{974FF8F0-5085-4340-86DD-583E825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link w:val="a8"/>
    <w:uiPriority w:val="35"/>
    <w:unhideWhenUsed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3"/>
    <w:next w:val="a3"/>
    <w:uiPriority w:val="39"/>
    <w:unhideWhenUsed/>
    <w:qFormat/>
    <w:pPr>
      <w:widowControl/>
      <w:ind w:left="442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9">
    <w:name w:val="footer"/>
    <w:basedOn w:val="a3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unhideWhenUsed/>
    <w:qFormat/>
    <w:pPr>
      <w:widowControl/>
      <w:tabs>
        <w:tab w:val="left" w:pos="442"/>
        <w:tab w:val="right" w:leader="dot" w:pos="10466"/>
      </w:tabs>
      <w:adjustRightInd w:val="0"/>
      <w:snapToGrid w:val="0"/>
      <w:spacing w:beforeLines="50" w:before="156" w:afterLines="50" w:after="156"/>
      <w:jc w:val="center"/>
    </w:pPr>
    <w:rPr>
      <w:rFonts w:ascii="方正小标宋简体" w:eastAsia="方正小标宋简体" w:hAnsi="Times New Roman" w:cs="Times New Roman"/>
      <w:b/>
      <w:kern w:val="0"/>
      <w:sz w:val="52"/>
      <w:szCs w:val="52"/>
    </w:rPr>
  </w:style>
  <w:style w:type="paragraph" w:styleId="TOC2">
    <w:name w:val="toc 2"/>
    <w:basedOn w:val="a3"/>
    <w:next w:val="a3"/>
    <w:uiPriority w:val="39"/>
    <w:unhideWhenUsed/>
    <w:qFormat/>
    <w:pPr>
      <w:widowControl/>
      <w:tabs>
        <w:tab w:val="left" w:pos="840"/>
        <w:tab w:val="right" w:leader="dot" w:pos="10466"/>
      </w:tabs>
      <w:ind w:left="221"/>
    </w:pPr>
    <w:rPr>
      <w:rFonts w:ascii="Times New Roman" w:eastAsia="楷体" w:hAnsi="Times New Roman" w:cs="Times New Roman"/>
      <w:kern w:val="0"/>
      <w:sz w:val="24"/>
    </w:rPr>
  </w:style>
  <w:style w:type="table" w:styleId="ad">
    <w:name w:val="Table Grid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styleId="af">
    <w:name w:val="List Paragraph"/>
    <w:basedOn w:val="a3"/>
    <w:uiPriority w:val="34"/>
    <w:pPr>
      <w:ind w:firstLineChars="200" w:firstLine="420"/>
    </w:pPr>
  </w:style>
  <w:style w:type="character" w:customStyle="1" w:styleId="11">
    <w:name w:val="标题 1 字符"/>
    <w:basedOn w:val="a4"/>
    <w:link w:val="10"/>
    <w:uiPriority w:val="9"/>
    <w:rPr>
      <w:b/>
      <w:bCs/>
      <w:kern w:val="44"/>
      <w:sz w:val="44"/>
      <w:szCs w:val="44"/>
    </w:rPr>
  </w:style>
  <w:style w:type="paragraph" w:customStyle="1" w:styleId="af0">
    <w:name w:val="论文题目"/>
    <w:basedOn w:val="10"/>
    <w:next w:val="a3"/>
    <w:qFormat/>
    <w:pPr>
      <w:adjustRightInd w:val="0"/>
      <w:snapToGrid w:val="0"/>
      <w:spacing w:before="120" w:after="120" w:line="240" w:lineRule="auto"/>
      <w:jc w:val="center"/>
    </w:pPr>
    <w:rPr>
      <w:rFonts w:ascii="Times New Roman" w:eastAsia="方正小标宋简体" w:hAnsi="Times New Roman"/>
    </w:rPr>
  </w:style>
  <w:style w:type="paragraph" w:customStyle="1" w:styleId="af1">
    <w:name w:val="论文正文"/>
    <w:basedOn w:val="a3"/>
    <w:link w:val="af2"/>
    <w:qFormat/>
    <w:pPr>
      <w:spacing w:beforeLines="50" w:before="50" w:afterLines="50" w:after="50"/>
      <w:ind w:firstLineChars="200" w:firstLine="200"/>
    </w:pPr>
    <w:rPr>
      <w:rFonts w:ascii="Times New Roman" w:eastAsia="宋体" w:hAnsi="Times New Roman"/>
      <w:sz w:val="24"/>
    </w:rPr>
  </w:style>
  <w:style w:type="paragraph" w:customStyle="1" w:styleId="a">
    <w:name w:val="大标题"/>
    <w:basedOn w:val="10"/>
    <w:next w:val="af1"/>
    <w:link w:val="af3"/>
    <w:qFormat/>
    <w:pPr>
      <w:numPr>
        <w:numId w:val="1"/>
      </w:numPr>
      <w:spacing w:before="120" w:after="80" w:line="360" w:lineRule="auto"/>
      <w:jc w:val="center"/>
    </w:pPr>
    <w:rPr>
      <w:rFonts w:ascii="Times New Roman" w:eastAsia="方正小标宋简体" w:hAnsi="Times New Roman"/>
      <w:sz w:val="36"/>
    </w:rPr>
  </w:style>
  <w:style w:type="paragraph" w:customStyle="1" w:styleId="1">
    <w:name w:val="标题1"/>
    <w:basedOn w:val="20"/>
    <w:next w:val="af1"/>
    <w:link w:val="12"/>
    <w:qFormat/>
    <w:pPr>
      <w:widowControl/>
      <w:numPr>
        <w:ilvl w:val="1"/>
        <w:numId w:val="1"/>
      </w:numPr>
      <w:spacing w:before="120" w:after="60" w:line="360" w:lineRule="auto"/>
      <w:jc w:val="left"/>
    </w:pPr>
    <w:rPr>
      <w:rFonts w:ascii="Times New Roman" w:eastAsia="方正小标宋简体" w:hAnsi="Times New Roman"/>
      <w:sz w:val="30"/>
    </w:rPr>
  </w:style>
  <w:style w:type="character" w:customStyle="1" w:styleId="af3">
    <w:name w:val="大标题 字符"/>
    <w:basedOn w:val="11"/>
    <w:link w:val="a"/>
    <w:qFormat/>
    <w:rPr>
      <w:rFonts w:ascii="Times New Roman" w:eastAsia="方正小标宋简体" w:hAnsi="Times New Roman"/>
      <w:b/>
      <w:bCs/>
      <w:kern w:val="44"/>
      <w:sz w:val="36"/>
      <w:szCs w:val="44"/>
    </w:rPr>
  </w:style>
  <w:style w:type="paragraph" w:customStyle="1" w:styleId="2">
    <w:name w:val="标题2"/>
    <w:basedOn w:val="30"/>
    <w:next w:val="af1"/>
    <w:link w:val="22"/>
    <w:qFormat/>
    <w:pPr>
      <w:numPr>
        <w:ilvl w:val="2"/>
        <w:numId w:val="1"/>
      </w:numPr>
      <w:spacing w:before="60" w:after="60" w:line="240" w:lineRule="auto"/>
    </w:pPr>
    <w:rPr>
      <w:rFonts w:ascii="Times New Roman" w:eastAsia="方正小标宋简体" w:hAnsi="Times New Roman"/>
      <w:sz w:val="24"/>
    </w:rPr>
  </w:style>
  <w:style w:type="character" w:customStyle="1" w:styleId="12">
    <w:name w:val="标题1 字符"/>
    <w:basedOn w:val="11"/>
    <w:link w:val="1"/>
    <w:qFormat/>
    <w:rPr>
      <w:rFonts w:ascii="Times New Roman" w:eastAsia="方正小标宋简体" w:hAnsi="Times New Roman" w:cstheme="majorBidi"/>
      <w:b/>
      <w:bCs/>
      <w:kern w:val="44"/>
      <w:sz w:val="30"/>
      <w:szCs w:val="32"/>
    </w:rPr>
  </w:style>
  <w:style w:type="paragraph" w:customStyle="1" w:styleId="3">
    <w:name w:val="标题3"/>
    <w:basedOn w:val="4"/>
    <w:next w:val="af1"/>
    <w:qFormat/>
    <w:pPr>
      <w:numPr>
        <w:numId w:val="2"/>
      </w:numPr>
      <w:spacing w:before="60" w:after="60" w:line="240" w:lineRule="auto"/>
    </w:pPr>
    <w:rPr>
      <w:rFonts w:ascii="Times New Roman" w:eastAsia="宋体" w:hAnsi="Times New Roman"/>
      <w:b w:val="0"/>
      <w:sz w:val="24"/>
    </w:rPr>
  </w:style>
  <w:style w:type="character" w:customStyle="1" w:styleId="21">
    <w:name w:val="标题 2 字符"/>
    <w:basedOn w:val="a4"/>
    <w:link w:val="2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1"/>
    <w:link w:val="2"/>
    <w:rPr>
      <w:rFonts w:ascii="Times New Roman" w:eastAsia="方正小标宋简体" w:hAnsi="Times New Roman" w:cstheme="majorBidi"/>
      <w:b/>
      <w:bCs/>
      <w:sz w:val="24"/>
      <w:szCs w:val="32"/>
    </w:rPr>
  </w:style>
  <w:style w:type="character" w:customStyle="1" w:styleId="31">
    <w:name w:val="标题 3 字符"/>
    <w:basedOn w:val="a4"/>
    <w:link w:val="30"/>
    <w:uiPriority w:val="9"/>
    <w:semiHidden/>
    <w:rPr>
      <w:b/>
      <w:bCs/>
      <w:sz w:val="32"/>
      <w:szCs w:val="32"/>
    </w:rPr>
  </w:style>
  <w:style w:type="paragraph" w:customStyle="1" w:styleId="a2">
    <w:name w:val="图注"/>
    <w:basedOn w:val="af1"/>
    <w:next w:val="a7"/>
    <w:link w:val="af4"/>
    <w:pPr>
      <w:keepNext/>
      <w:numPr>
        <w:numId w:val="3"/>
      </w:numPr>
      <w:jc w:val="center"/>
    </w:pPr>
  </w:style>
  <w:style w:type="paragraph" w:customStyle="1" w:styleId="a0">
    <w:name w:val="图名"/>
    <w:basedOn w:val="a7"/>
    <w:next w:val="af1"/>
    <w:link w:val="af5"/>
    <w:qFormat/>
    <w:pPr>
      <w:keepNext/>
      <w:numPr>
        <w:ilvl w:val="4"/>
        <w:numId w:val="4"/>
      </w:numPr>
      <w:jc w:val="center"/>
    </w:pPr>
    <w:rPr>
      <w:rFonts w:ascii="Times New Roman" w:eastAsia="楷体" w:hAnsi="Times New Roman"/>
      <w:sz w:val="21"/>
    </w:rPr>
  </w:style>
  <w:style w:type="character" w:customStyle="1" w:styleId="af2">
    <w:name w:val="论文正文 字符"/>
    <w:basedOn w:val="a4"/>
    <w:link w:val="af1"/>
    <w:rPr>
      <w:rFonts w:ascii="Times New Roman" w:eastAsia="宋体" w:hAnsi="Times New Roman"/>
      <w:sz w:val="24"/>
    </w:rPr>
  </w:style>
  <w:style w:type="character" w:customStyle="1" w:styleId="af4">
    <w:name w:val="图注 字符"/>
    <w:basedOn w:val="af2"/>
    <w:link w:val="a2"/>
    <w:qFormat/>
    <w:rPr>
      <w:rFonts w:ascii="Times New Roman" w:eastAsia="Times New Roman" w:hAnsi="Times New Roman"/>
      <w:sz w:val="24"/>
    </w:rPr>
  </w:style>
  <w:style w:type="character" w:customStyle="1" w:styleId="40">
    <w:name w:val="标题 4 字符"/>
    <w:basedOn w:val="a4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1">
    <w:name w:val="表名"/>
    <w:basedOn w:val="a7"/>
    <w:next w:val="af1"/>
    <w:link w:val="af6"/>
    <w:qFormat/>
    <w:pPr>
      <w:numPr>
        <w:ilvl w:val="5"/>
        <w:numId w:val="4"/>
      </w:numPr>
      <w:jc w:val="center"/>
    </w:pPr>
    <w:rPr>
      <w:rFonts w:ascii="Times New Roman" w:eastAsia="楷体" w:hAnsi="Times New Roman"/>
      <w:b/>
      <w:sz w:val="24"/>
    </w:rPr>
  </w:style>
  <w:style w:type="character" w:customStyle="1" w:styleId="a8">
    <w:name w:val="题注 字符"/>
    <w:basedOn w:val="a4"/>
    <w:link w:val="a7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f5">
    <w:name w:val="图名 字符"/>
    <w:basedOn w:val="a8"/>
    <w:link w:val="a0"/>
    <w:qFormat/>
    <w:rPr>
      <w:rFonts w:ascii="Times New Roman" w:eastAsia="楷体" w:hAnsi="Times New Roman" w:cstheme="majorBidi"/>
      <w:sz w:val="20"/>
      <w:szCs w:val="20"/>
    </w:rPr>
  </w:style>
  <w:style w:type="paragraph" w:customStyle="1" w:styleId="af7">
    <w:name w:val="图表标题"/>
    <w:basedOn w:val="a3"/>
    <w:next w:val="a3"/>
    <w:qFormat/>
    <w:pPr>
      <w:jc w:val="center"/>
    </w:pPr>
    <w:rPr>
      <w:rFonts w:ascii="Times New Roman" w:eastAsia="宋体" w:hAnsi="Times New Roman"/>
      <w:b/>
      <w:sz w:val="24"/>
      <w:szCs w:val="21"/>
    </w:rPr>
  </w:style>
  <w:style w:type="character" w:customStyle="1" w:styleId="af6">
    <w:name w:val="表名 字符"/>
    <w:basedOn w:val="a8"/>
    <w:link w:val="a1"/>
    <w:qFormat/>
    <w:rPr>
      <w:rFonts w:ascii="Times New Roman" w:eastAsia="楷体" w:hAnsi="Times New Roman" w:cstheme="majorBidi"/>
      <w:b/>
      <w:sz w:val="24"/>
      <w:szCs w:val="20"/>
    </w:rPr>
  </w:style>
  <w:style w:type="table" w:customStyle="1" w:styleId="af8">
    <w:name w:val="三线表"/>
    <w:basedOn w:val="a5"/>
    <w:uiPriority w:val="99"/>
    <w:qFormat/>
    <w:pPr>
      <w:jc w:val="center"/>
    </w:pPr>
    <w:rPr>
      <w:rFonts w:eastAsia="Times New Roman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bottom w:val="single" w:sz="8" w:space="0" w:color="000000" w:themeColor="text1"/>
        </w:tcBorders>
      </w:tcPr>
    </w:tblStylePr>
  </w:style>
  <w:style w:type="paragraph" w:customStyle="1" w:styleId="TOC10">
    <w:name w:val="TOC 标题1"/>
    <w:basedOn w:val="10"/>
    <w:next w:val="a3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customStyle="1" w:styleId="13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a4"/>
    <w:qFormat/>
    <w:rPr>
      <w:rFonts w:ascii="FZSSK--GBK1-0" w:hAnsi="FZSSK--GBK1-0" w:hint="default"/>
      <w:color w:val="242021"/>
      <w:sz w:val="22"/>
      <w:szCs w:val="22"/>
    </w:rPr>
  </w:style>
  <w:style w:type="paragraph" w:customStyle="1" w:styleId="AMDisplayEquation">
    <w:name w:val="AMDisplayEquation"/>
    <w:basedOn w:val="af1"/>
    <w:next w:val="a3"/>
    <w:link w:val="AMDisplayEquation0"/>
    <w:qFormat/>
    <w:pPr>
      <w:tabs>
        <w:tab w:val="center" w:pos="4820"/>
        <w:tab w:val="right" w:pos="9640"/>
      </w:tabs>
      <w:spacing w:before="156" w:after="156"/>
      <w:ind w:firstLine="480"/>
    </w:pPr>
  </w:style>
  <w:style w:type="character" w:customStyle="1" w:styleId="AMDisplayEquation0">
    <w:name w:val="AMDisplayEquation 字符"/>
    <w:basedOn w:val="af2"/>
    <w:link w:val="AMDisplayEquation"/>
    <w:qFormat/>
    <w:rPr>
      <w:rFonts w:ascii="Times New Roman" w:eastAsia="宋体" w:hAnsi="Times New Roman"/>
      <w:sz w:val="24"/>
    </w:rPr>
  </w:style>
  <w:style w:type="character" w:customStyle="1" w:styleId="AMEquationSection">
    <w:name w:val="AMEquationSection"/>
    <w:basedOn w:val="a4"/>
    <w:qFormat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F114A-F4C5-480C-B21B-AA11727B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聂永欣</dc:creator>
  <cp:lastModifiedBy>聂永欣</cp:lastModifiedBy>
  <cp:revision>272</cp:revision>
  <cp:lastPrinted>2021-06-16T04:03:00Z</cp:lastPrinted>
  <dcterms:created xsi:type="dcterms:W3CDTF">2021-01-25T12:48:00Z</dcterms:created>
  <dcterms:modified xsi:type="dcterms:W3CDTF">2021-06-16T04:04:00Z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  <property fmtid="{D5CDD505-2E9C-101B-9397-08002B2CF9AE}" pid="6" name="KSOProductBuildVer">
    <vt:lpwstr>2052-11.1.0.10314</vt:lpwstr>
  </property>
</Properties>
</file>